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879" w:type="dxa"/>
        <w:tblInd w:w="0" w:type="dxa"/>
        <w:tblBorders>
          <w:top w:val="single" w:color="D2D2DF" w:sz="2" w:space="0"/>
          <w:left w:val="single" w:color="D2D2DF" w:sz="2" w:space="0"/>
          <w:bottom w:val="single" w:color="D2D2DF" w:sz="2" w:space="0"/>
          <w:right w:val="single" w:color="D2D2DF" w:sz="2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10"/>
        <w:gridCol w:w="3017"/>
        <w:gridCol w:w="5550"/>
        <w:gridCol w:w="101"/>
        <w:gridCol w:w="101"/>
      </w:tblGrid>
      <w:tr>
        <w:tblPrEx>
          <w:tblBorders>
            <w:top w:val="single" w:color="D2D2DF" w:sz="2" w:space="0"/>
            <w:left w:val="single" w:color="D2D2DF" w:sz="2" w:space="0"/>
            <w:bottom w:val="single" w:color="D2D2DF" w:sz="2" w:space="0"/>
            <w:right w:val="single" w:color="D2D2DF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9" w:hRule="atLeast"/>
        </w:trPr>
        <w:tc>
          <w:tcPr>
            <w:tcW w:w="5110" w:type="dxa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6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附件2：</w:t>
            </w:r>
          </w:p>
        </w:tc>
        <w:tc>
          <w:tcPr>
            <w:tcW w:w="3017" w:type="dxa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</w:p>
        </w:tc>
        <w:tc>
          <w:tcPr>
            <w:tcW w:w="5550" w:type="dxa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</w:p>
        </w:tc>
        <w:tc>
          <w:tcPr>
            <w:tcW w:w="101" w:type="dxa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</w:p>
        </w:tc>
        <w:tc>
          <w:tcPr>
            <w:tcW w:w="101" w:type="dxa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</w:p>
        </w:tc>
      </w:tr>
      <w:tr>
        <w:tblPrEx>
          <w:tblBorders>
            <w:top w:val="single" w:color="D2D2DF" w:sz="2" w:space="0"/>
            <w:left w:val="single" w:color="D2D2DF" w:sz="2" w:space="0"/>
            <w:bottom w:val="single" w:color="D2D2DF" w:sz="2" w:space="0"/>
            <w:right w:val="single" w:color="D2D2DF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7" w:hRule="atLeast"/>
        </w:trPr>
        <w:tc>
          <w:tcPr>
            <w:tcW w:w="13879" w:type="dxa"/>
            <w:gridSpan w:val="5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中标候选人在投标文件中填报的主要项目业绩</w:t>
            </w: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679"/>
        <w:gridCol w:w="3915"/>
        <w:gridCol w:w="6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联合体投标人牵头人或独立投标人</w:t>
            </w:r>
          </w:p>
        </w:tc>
        <w:tc>
          <w:tcPr>
            <w:tcW w:w="39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联合体成员</w:t>
            </w: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主要项目业绩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7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陕西交通控股集团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391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陕西路桥集团有限公司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陕西高速机械化工程有限公司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陕西省通达公路建设集团有限责任公司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陕西高速电子工程有限公司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陕西交通电子工程科技有限公司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陕西高速交通工贸有限公司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陕西高速诚信交通工程有限公司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陕西交通建设养护工程有限公司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陕西建工集团有限公司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陕西华山路桥集团有限公司</w:t>
            </w: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渭南至蒲城高速公路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陕西省安康至汉中公路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陕西省毛坝至巴山（陕川界）公路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安康毛坝高速公路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西安至铜川高速公路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陕西省潼关（豫陕界） 至临潼（靳家）高速公路改扩建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陕西省商州至西安公路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三星电子快速干道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铜川至黄陵高速公路半截沟联络线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绛帐至法门寺公路改扩建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陕西省汉中至略阳（陕甘界）公路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陕西省黄陵至铜川公路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陕西省临潼（靳家）至西安髙速公路改扩建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渭南至玉山高速公路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铜川至旬邑高速公路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陕西省白河（鄂陕界）至安康公路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西咸北环线高速公路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陕西省延安至黄陵高速公路扩容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汉中至陕川界高速公路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西禹高速公路港务区互通式立交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宝鸡至汉中高速公路坪坎至汉中段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延安至延川高速公路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银昆线陕甘界至陇县火烧寨高速公路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安康至平利高速公路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宝鸡过境公路（凉泉至苟家岭段）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陕西省西安至宝鸡高速公路改扩建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吴起至定边公路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柞水至山阳高速公路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陕西省平利至镇坪（陕渝界）公路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银百线湫坡头（陕甘界）至旬邑高速公路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子长至姚店高速公路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陕西省宝鸡至坪坎公路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太白至凤县髙速公路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西乡至镇巴高速公路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安康至岚皋（陕渝界）高速公路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7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中国铁建股份有限公司</w:t>
            </w:r>
          </w:p>
        </w:tc>
        <w:tc>
          <w:tcPr>
            <w:tcW w:w="391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中铁十八局集团有限公司</w:t>
            </w:r>
          </w:p>
        </w:tc>
        <w:tc>
          <w:tcPr>
            <w:tcW w:w="666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德州至商丘高速公路夏津至聊城段BOT项目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济南至徐州高速公路济宁至鱼台（鲁苏界）段BOT项目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67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中国葛洲坝集团股份有限公司</w:t>
            </w:r>
          </w:p>
        </w:tc>
        <w:tc>
          <w:tcPr>
            <w:tcW w:w="391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  <w:tc>
          <w:tcPr>
            <w:tcW w:w="6660" w:type="dxa"/>
            <w:vAlign w:val="top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zh-CN"/>
              </w:rPr>
              <w:t>四川省内江至遂宁高速公路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66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国家高速德上线巨野至单县（鲁皖界）段项目</w:t>
            </w:r>
          </w:p>
        </w:tc>
      </w:tr>
    </w:tbl>
    <w:p>
      <w:pPr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850878"/>
    <w:rsid w:val="0F1B64D9"/>
    <w:rsid w:val="1FD46D99"/>
    <w:rsid w:val="35EC0B3B"/>
    <w:rsid w:val="426F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Times New Roman" w:hAnsi="Times New Roman" w:cs="Times New Roman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2021-09-03T04:02:00Z</dcterms:created>
  <dc:creator>萧强</dc:creator>
  <cp:lastModifiedBy>萧强</cp:lastModifiedBy>
  <dcterms:modified xsi:type="dcterms:W3CDTF">2021-09-03T07:12:50Z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5158CCD60F2F42D481F91AE8B15084A7</vt:lpwstr>
  </property>
</Properties>
</file>