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sz w:val="32"/>
        </w:rPr>
      </w:pPr>
      <w:r>
        <w:rPr>
          <w:rFonts w:hint="eastAsia" w:ascii="仿宋_GB2312" w:hAnsi="仿宋_GB2312" w:eastAsia="仿宋_GB2312" w:cs="仿宋_GB2312"/>
          <w:b/>
          <w:sz w:val="32"/>
          <w:lang w:val="en-US" w:eastAsia="zh-CN"/>
        </w:rPr>
        <w:t>国家高速公路网（G85）银昆线</w:t>
      </w: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宝鸡至坪坎</w:t>
      </w:r>
      <w:r>
        <w:rPr>
          <w:rFonts w:hint="eastAsia" w:ascii="仿宋_GB2312" w:hAnsi="仿宋_GB2312" w:eastAsia="仿宋_GB2312" w:cs="仿宋_GB2312"/>
          <w:b/>
          <w:sz w:val="32"/>
        </w:rPr>
        <w:t>高速公路</w:t>
      </w: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机电剩余工程施工招标</w:t>
      </w:r>
      <w:r>
        <w:rPr>
          <w:rFonts w:hint="eastAsia" w:ascii="仿宋_GB2312" w:hAnsi="仿宋_GB2312" w:eastAsia="仿宋_GB2312" w:cs="仿宋_GB2312"/>
          <w:b/>
          <w:sz w:val="32"/>
        </w:rPr>
        <w:t>结果及信用加分情况公示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  <w:lang w:eastAsia="zh-CN"/>
        </w:rPr>
        <w:t>宝鸡至坪坎</w:t>
      </w:r>
      <w:r>
        <w:rPr>
          <w:rFonts w:hint="eastAsia" w:ascii="仿宋_GB2312" w:hAnsi="仿宋_GB2312" w:eastAsia="仿宋_GB2312" w:cs="仿宋_GB2312"/>
          <w:sz w:val="28"/>
        </w:rPr>
        <w:t>高速公路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机电剩余</w:t>
      </w:r>
      <w:r>
        <w:rPr>
          <w:rFonts w:hint="eastAsia" w:ascii="仿宋_GB2312" w:hAnsi="仿宋_GB2312" w:eastAsia="仿宋_GB2312" w:cs="仿宋_GB2312"/>
          <w:sz w:val="28"/>
        </w:rPr>
        <w:t>工程施工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招标</w:t>
      </w:r>
      <w:r>
        <w:rPr>
          <w:rFonts w:hint="eastAsia" w:ascii="仿宋_GB2312" w:hAnsi="仿宋_GB2312" w:eastAsia="仿宋_GB2312" w:cs="仿宋_GB2312"/>
          <w:sz w:val="28"/>
        </w:rPr>
        <w:t>在国内进行公开招标。项目法人陕西省交通建设集团公司组织完成了评标工作。现将中标候选人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名单</w:t>
      </w:r>
      <w:r>
        <w:rPr>
          <w:rFonts w:hint="eastAsia" w:ascii="仿宋_GB2312" w:hAnsi="仿宋_GB2312" w:eastAsia="仿宋_GB2312" w:cs="仿宋_GB2312"/>
          <w:sz w:val="28"/>
        </w:rPr>
        <w:t>公示如下：</w:t>
      </w:r>
    </w:p>
    <w:p>
      <w:pPr>
        <w:widowControl/>
        <w:spacing w:before="156" w:beforeLines="50" w:after="156" w:afterLines="50"/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</w:rPr>
        <w:t>中标候选人名单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820"/>
        <w:gridCol w:w="2978"/>
        <w:gridCol w:w="2070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  <w:t>组别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  <w:t>标段</w:t>
            </w:r>
          </w:p>
        </w:tc>
        <w:tc>
          <w:tcPr>
            <w:tcW w:w="174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  <w:t>中标候选人</w:t>
            </w:r>
          </w:p>
        </w:tc>
        <w:tc>
          <w:tcPr>
            <w:tcW w:w="121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  <w:t>预期中标价(元)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restart"/>
            <w:shd w:val="clear" w:color="auto" w:fill="auto"/>
            <w:noWrap w:val="0"/>
            <w:vAlign w:val="center"/>
          </w:tcPr>
          <w:p>
            <w:pPr>
              <w:pStyle w:val="4"/>
              <w:spacing w:line="240" w:lineRule="atLeast"/>
              <w:ind w:firstLine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C组</w:t>
            </w: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pStyle w:val="4"/>
              <w:spacing w:line="240" w:lineRule="atLeast"/>
              <w:ind w:firstLine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JD-4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湖南省湘筑交通科技有限公司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￥23,277,967.00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-2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陕西高速交通工贸有限公司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￥23,202,344.00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-2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山东博安智能科技股份有限公司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￥23,241,024.00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-2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4"/>
              <w:spacing w:line="240" w:lineRule="atLeast"/>
              <w:ind w:firstLine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pStyle w:val="4"/>
              <w:spacing w:line="240" w:lineRule="atLeast"/>
              <w:ind w:firstLine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JD-5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山西四和交通工程有限责任公司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￥41,313,753.00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陕西阳明交通科技有限公司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￥41,337,194.00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重庆市华驰交通科技有限公司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￥41,289,872.00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07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D组</w:t>
            </w:r>
          </w:p>
          <w:p>
            <w:pPr>
              <w:pStyle w:val="2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JD-6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北京云星宇交通科技股份有限公司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￥27,657,950.37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广西交科集团有限公司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￥27,564,117.37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上海电科智能系统股份有限公司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￥27,676,367.80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JD-7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千方捷通科技股份有限公司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￥12,401,119.00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厦门兴南洋信息技术有限公司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￥12,375,591.00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浙江高速信息工程技术有限公司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￥12,443,654.00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JD-8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贵州桥梁建设集团有限责任公司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￥51,967,013.00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湖南省湘筑交通科技有限公司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￥51,584,599.00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中铁建大桥工程局集团电气化工程有限公司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￥52,026,902.00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JD-9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江西方兴科技有限公司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￥37,469,001.00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中交路桥建设有限公司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￥37,493,797.00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中咨华科交通建设技术有限公司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￥37,443,811.00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restart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E组</w:t>
            </w: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JD-10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云南康迪科技有限公司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￥24,626,680.00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江苏建铁信息技术有限公司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￥24,610,357.00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中交路桥建设有限公司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￥24,642,730.00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JD-11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中铁十四局集团电气化工程有限公司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￥15,180,313.00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山西欣奥特自动化工程有限公司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￥15,190,292.00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天津市高速公路科技发展有限公司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￥15,200,078.00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JD-12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甘肃恒智信息科技有限责任公司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￥31,488,867.00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中交机电工程局有限公司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￥31,501,758.00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中铁十二局集团电气化工程有限公司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￥31,386,064.00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JD-13</w:t>
            </w: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中咨泰克交通工程集团有限公司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￥30,762,456.00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中咨华科交通建设技术有限公司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￥30,782,334.00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7" w:type="pct"/>
            <w:vMerge w:val="continue"/>
            <w:shd w:val="clear" w:color="auto" w:fill="auto"/>
            <w:noWrap w:val="0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81" w:type="pct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47" w:type="pc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广西交科集团有限公司</w:t>
            </w:r>
          </w:p>
        </w:tc>
        <w:tc>
          <w:tcPr>
            <w:tcW w:w="1214" w:type="pct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￥30,802,533.00</w:t>
            </w:r>
          </w:p>
        </w:tc>
        <w:tc>
          <w:tcPr>
            <w:tcW w:w="11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第三中标候选人</w:t>
            </w:r>
          </w:p>
        </w:tc>
      </w:tr>
    </w:tbl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以上评标结果接受社会监督，本次招标活动的投标人或有其他利害关系人对上述公示持有异议的，请于公示发布之日起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3日内</w:t>
      </w:r>
      <w:r>
        <w:rPr>
          <w:rFonts w:hint="eastAsia" w:ascii="仿宋_GB2312" w:hAnsi="仿宋_GB2312" w:eastAsia="仿宋_GB2312" w:cs="仿宋_GB2312"/>
          <w:sz w:val="28"/>
        </w:rPr>
        <w:t>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</w:rPr>
        <w:t>同时，按照陕西省交通运输厅《关于公布陕西省20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28"/>
        </w:rPr>
        <w:t>年度高速公路施工企业信用评价结果的通知》（陕交函〔20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</w:rPr>
        <w:t>〕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sz w:val="28"/>
        </w:rPr>
        <w:t>号）</w:t>
      </w:r>
      <w:r>
        <w:rPr>
          <w:rFonts w:hint="eastAsia" w:ascii="仿宋_GB2312" w:hAnsi="仿宋_GB2312" w:eastAsia="仿宋_GB2312" w:cs="仿宋_GB2312"/>
          <w:sz w:val="28"/>
        </w:rPr>
        <w:t>中关于“评评标结束后，招标人若对信用评价结果进行了应用，应将应用情况随中标公示及时报送省厅”的要求，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现将</w:t>
      </w:r>
      <w:r>
        <w:rPr>
          <w:rFonts w:hint="eastAsia" w:ascii="仿宋_GB2312" w:hAnsi="仿宋_GB2312" w:eastAsia="仿宋_GB2312" w:cs="仿宋_GB2312"/>
          <w:sz w:val="28"/>
        </w:rPr>
        <w:t>本次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机电剩余工程</w:t>
      </w:r>
      <w:r>
        <w:rPr>
          <w:rFonts w:hint="eastAsia" w:ascii="仿宋_GB2312" w:hAnsi="仿宋_GB2312" w:eastAsia="仿宋_GB2312" w:cs="仿宋_GB2312"/>
          <w:sz w:val="28"/>
        </w:rPr>
        <w:t>施工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招标申请加分有效的投标人名单公布如下：</w:t>
      </w:r>
    </w:p>
    <w:tbl>
      <w:tblPr>
        <w:tblStyle w:val="10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813"/>
        <w:gridCol w:w="2017"/>
        <w:gridCol w:w="2334"/>
        <w:gridCol w:w="1441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序号</w:t>
            </w:r>
          </w:p>
        </w:tc>
        <w:tc>
          <w:tcPr>
            <w:tcW w:w="4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工程类别</w:t>
            </w:r>
          </w:p>
        </w:tc>
        <w:tc>
          <w:tcPr>
            <w:tcW w:w="1183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企业代码</w:t>
            </w:r>
          </w:p>
        </w:tc>
        <w:tc>
          <w:tcPr>
            <w:tcW w:w="136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企业名称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  <w:t>信用评价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  <w:t>等级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信用评价加分情况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</w:t>
            </w:r>
          </w:p>
        </w:tc>
        <w:tc>
          <w:tcPr>
            <w:tcW w:w="4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机电工程</w:t>
            </w:r>
          </w:p>
        </w:tc>
        <w:tc>
          <w:tcPr>
            <w:tcW w:w="1183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91610000220542936X</w:t>
            </w:r>
          </w:p>
        </w:tc>
        <w:tc>
          <w:tcPr>
            <w:tcW w:w="136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陕西高速交通工贸有限公司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连续3年</w:t>
            </w:r>
            <w:r>
              <w:rPr>
                <w:rFonts w:hint="eastAsia" w:ascii="仿宋_GB2312" w:hAnsi="仿宋_GB2312" w:eastAsia="仿宋_GB2312" w:cs="仿宋_GB2312"/>
              </w:rPr>
              <w:t>AA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0.2分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</w:p>
        </w:tc>
        <w:tc>
          <w:tcPr>
            <w:tcW w:w="4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机电工程</w:t>
            </w:r>
          </w:p>
        </w:tc>
        <w:tc>
          <w:tcPr>
            <w:tcW w:w="1183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  <w:t>91500108450404096Q</w:t>
            </w:r>
          </w:p>
        </w:tc>
        <w:tc>
          <w:tcPr>
            <w:tcW w:w="136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重庆市华驰交通科技有限公司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延续2018年AA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加分已满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</w:p>
        </w:tc>
        <w:tc>
          <w:tcPr>
            <w:tcW w:w="4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机电工程</w:t>
            </w:r>
          </w:p>
        </w:tc>
        <w:tc>
          <w:tcPr>
            <w:tcW w:w="1183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  <w:t>916100002205523415</w:t>
            </w:r>
          </w:p>
        </w:tc>
        <w:tc>
          <w:tcPr>
            <w:tcW w:w="136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陕西公路交通科技开发咨询公司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延续2018年AA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加分已满</w:t>
            </w:r>
          </w:p>
        </w:tc>
      </w:tr>
    </w:tbl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项目法人陕西省交通建设集团公司对上述内容在其网站同时公示。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投诉电话：029－88869152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附件：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instrText xml:space="preserve"> HYPERLINK "https://www.spccg.com/manage/ueditor/upload/file/20191210/6371156350502796808173542.rar" \o "附件1：中标候选人的排序、名称、投标报价，对工程质量要求、安全目标和工期的响应情况表.rar" \t "https://www.spccg.com/_self" </w:instrTex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中标候选人的排序、名称、投标报价，对工程质量要求、安全目标和工期的响应情况表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end"/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instrText xml:space="preserve"> HYPERLINK "https://www.spccg.com/manage/ueditor/upload/file/20191210/6371156353723400027557012.rar" \o "附件2：中标候选人在投标文件中承诺的主要人员姓名、个人业绩、相关证书编号.rar" \t "https://www.spccg.com/_self" </w:instrTex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中标候选人在投标文件中承诺的主要人员姓名、个人业绩、相关证书编号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end"/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instrText xml:space="preserve"> HYPERLINK "https://www.spccg.com/manage/ueditor/upload/file/20191210/6371156356267902578162432.rar" \o "附件3：中标候选人填报的项目业绩表.rar" \t "https://www.spccg.com/_self" </w:instrTex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中标候选人在投标文件中填报的主要项目业绩表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instrText xml:space="preserve"> HYPERLINK "https://www.spccg.com/manage/ueditor/upload/file/20191210/6371156359483405788330748.rar" \o "附件4：被否决投标的投标人名称、否决依据和原因表.rar" \t "https://www.spccg.com/_self" </w:instrTex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t>被否决投标的投标人名称、否决依据和原因表</w:t>
      </w:r>
      <w:r>
        <w:rPr>
          <w:rFonts w:hint="eastAsia" w:ascii="仿宋_GB2312" w:hAnsi="仿宋_GB2312" w:eastAsia="仿宋_GB2312" w:cs="仿宋_GB2312"/>
          <w:kern w:val="2"/>
          <w:sz w:val="28"/>
          <w:szCs w:val="22"/>
          <w:lang w:val="en-US" w:eastAsia="zh-CN" w:bidi="ar-SA"/>
        </w:rPr>
        <w:fldChar w:fldCharType="end"/>
      </w:r>
    </w:p>
    <w:p/>
    <w:p>
      <w:pPr>
        <w:jc w:val="right"/>
        <w:rPr>
          <w:rFonts w:ascii="Times New Roman" w:hAnsi="Times New Roman" w:eastAsia="宋体" w:cs="Times New Roman"/>
          <w:kern w:val="0"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eastAsia="宋体" w:cs="Times New Roman"/>
          <w:kern w:val="0"/>
          <w:sz w:val="28"/>
          <w:szCs w:val="24"/>
        </w:rPr>
        <w:t>20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20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10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26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AA"/>
    <w:rsid w:val="00050FDC"/>
    <w:rsid w:val="00091086"/>
    <w:rsid w:val="00106F1E"/>
    <w:rsid w:val="001675AA"/>
    <w:rsid w:val="002164D3"/>
    <w:rsid w:val="002A01E0"/>
    <w:rsid w:val="002F08B9"/>
    <w:rsid w:val="00326E40"/>
    <w:rsid w:val="00380CE5"/>
    <w:rsid w:val="003A10BC"/>
    <w:rsid w:val="003F5281"/>
    <w:rsid w:val="0046098C"/>
    <w:rsid w:val="004D35B7"/>
    <w:rsid w:val="005234F6"/>
    <w:rsid w:val="00534CBB"/>
    <w:rsid w:val="007853A1"/>
    <w:rsid w:val="007D285F"/>
    <w:rsid w:val="00877B8E"/>
    <w:rsid w:val="00A6479A"/>
    <w:rsid w:val="00AD13FF"/>
    <w:rsid w:val="00C20934"/>
    <w:rsid w:val="00CE1AC0"/>
    <w:rsid w:val="00DC46FC"/>
    <w:rsid w:val="00EF034D"/>
    <w:rsid w:val="00EF507E"/>
    <w:rsid w:val="00F0677A"/>
    <w:rsid w:val="00F47394"/>
    <w:rsid w:val="088E0077"/>
    <w:rsid w:val="12D30569"/>
    <w:rsid w:val="1CF036E8"/>
    <w:rsid w:val="24A06D10"/>
    <w:rsid w:val="3CE15AAC"/>
    <w:rsid w:val="4C5201B7"/>
    <w:rsid w:val="5A552D6A"/>
    <w:rsid w:val="62835B0A"/>
    <w:rsid w:val="64FD6913"/>
    <w:rsid w:val="6BBF61D0"/>
    <w:rsid w:val="6C277264"/>
    <w:rsid w:val="6EE44711"/>
    <w:rsid w:val="6F8C5ABE"/>
    <w:rsid w:val="6FB6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35"/>
    <w:pPr>
      <w:widowControl/>
      <w:spacing w:after="200"/>
      <w:jc w:val="left"/>
    </w:pPr>
    <w:rPr>
      <w:rFonts w:ascii="Calibri" w:hAnsi="Calibri"/>
      <w:b/>
      <w:color w:val="2DA2BF"/>
      <w:kern w:val="0"/>
      <w:sz w:val="18"/>
      <w:szCs w:val="20"/>
    </w:rPr>
  </w:style>
  <w:style w:type="paragraph" w:styleId="3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4">
    <w:name w:val="Body Text Indent"/>
    <w:basedOn w:val="1"/>
    <w:link w:val="21"/>
    <w:qFormat/>
    <w:uiPriority w:val="99"/>
    <w:pPr>
      <w:ind w:firstLine="720"/>
    </w:pPr>
    <w:rPr>
      <w:sz w:val="30"/>
    </w:rPr>
  </w:style>
  <w:style w:type="paragraph" w:styleId="5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FollowedHyperlink"/>
    <w:basedOn w:val="11"/>
    <w:semiHidden/>
    <w:unhideWhenUsed/>
    <w:qFormat/>
    <w:uiPriority w:val="99"/>
    <w:rPr>
      <w:color w:val="000000"/>
      <w:u w:val="none"/>
    </w:rPr>
  </w:style>
  <w:style w:type="character" w:styleId="14">
    <w:name w:val="HTML Definition"/>
    <w:basedOn w:val="11"/>
    <w:semiHidden/>
    <w:unhideWhenUsed/>
    <w:qFormat/>
    <w:uiPriority w:val="99"/>
    <w:rPr>
      <w:i/>
    </w:rPr>
  </w:style>
  <w:style w:type="character" w:styleId="15">
    <w:name w:val="Hyperlink"/>
    <w:basedOn w:val="11"/>
    <w:semiHidden/>
    <w:unhideWhenUsed/>
    <w:qFormat/>
    <w:uiPriority w:val="99"/>
    <w:rPr>
      <w:color w:val="000000"/>
      <w:u w:val="none"/>
    </w:rPr>
  </w:style>
  <w:style w:type="character" w:styleId="16">
    <w:name w:val="HTML Code"/>
    <w:basedOn w:val="11"/>
    <w:semiHidden/>
    <w:unhideWhenUsed/>
    <w:qFormat/>
    <w:uiPriority w:val="99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7">
    <w:name w:val="HTML Keyboard"/>
    <w:basedOn w:val="11"/>
    <w:semiHidden/>
    <w:unhideWhenUsed/>
    <w:qFormat/>
    <w:uiPriority w:val="99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8">
    <w:name w:val="HTML Sample"/>
    <w:basedOn w:val="11"/>
    <w:semiHidden/>
    <w:unhideWhenUsed/>
    <w:qFormat/>
    <w:uiPriority w:val="99"/>
    <w:rPr>
      <w:rFonts w:ascii="Consolas" w:hAnsi="Consolas" w:eastAsia="Consolas" w:cs="Consolas"/>
      <w:sz w:val="21"/>
      <w:szCs w:val="21"/>
    </w:rPr>
  </w:style>
  <w:style w:type="character" w:customStyle="1" w:styleId="19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20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21">
    <w:name w:val="正文文本缩进 字符"/>
    <w:link w:val="4"/>
    <w:qFormat/>
    <w:uiPriority w:val="99"/>
    <w:rPr>
      <w:sz w:val="30"/>
    </w:rPr>
  </w:style>
  <w:style w:type="character" w:customStyle="1" w:styleId="22">
    <w:name w:val="正文文本缩进 字符1"/>
    <w:basedOn w:val="11"/>
    <w:semiHidden/>
    <w:qFormat/>
    <w:uiPriority w:val="99"/>
  </w:style>
  <w:style w:type="character" w:customStyle="1" w:styleId="23">
    <w:name w:val="批注框文本 字符"/>
    <w:basedOn w:val="11"/>
    <w:link w:val="5"/>
    <w:semiHidden/>
    <w:qFormat/>
    <w:uiPriority w:val="99"/>
    <w:rPr>
      <w:sz w:val="18"/>
      <w:szCs w:val="18"/>
    </w:rPr>
  </w:style>
  <w:style w:type="character" w:customStyle="1" w:styleId="24">
    <w:name w:val="nth-child(2)"/>
    <w:basedOn w:val="11"/>
    <w:qFormat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1084</Characters>
  <Lines>9</Lines>
  <Paragraphs>2</Paragraphs>
  <TotalTime>1</TotalTime>
  <ScaleCrop>false</ScaleCrop>
  <LinksUpToDate>false</LinksUpToDate>
  <CharactersWithSpaces>1272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2018-06-21T07:20:00Z</dcterms:created>
  <dc:creator>李 勇</dc:creator>
  <cp:lastModifiedBy>小超</cp:lastModifiedBy>
  <cp:lastPrinted>2019-01-20T13:50:00Z</cp:lastPrinted>
  <dcterms:modified xsi:type="dcterms:W3CDTF">2020-10-26T06:41:53Z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