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78146">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lang w:val="en-US" w:eastAsia="zh-CN"/>
        </w:rPr>
        <w:t>渭南至蒲城高速公路卤阳湖服务区工程施工</w:t>
      </w:r>
      <w:r>
        <w:rPr>
          <w:rFonts w:ascii="Times New Roman" w:hAnsiTheme="minorEastAsia" w:eastAsiaTheme="minorEastAsia"/>
          <w:b/>
          <w:sz w:val="36"/>
          <w:szCs w:val="36"/>
        </w:rPr>
        <w:t>招标</w:t>
      </w:r>
    </w:p>
    <w:p w14:paraId="69D30C4D">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39855C7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_GB2312"/>
          <w:sz w:val="32"/>
          <w:szCs w:val="32"/>
        </w:rPr>
      </w:pPr>
      <w:r>
        <w:rPr>
          <w:rFonts w:hint="eastAsia" w:ascii="仿宋_GB2312" w:hAnsi="仿宋_GB2312" w:eastAsia="仿宋_GB2312" w:cs="仿宋_GB2312"/>
          <w:color w:val="auto"/>
          <w:kern w:val="2"/>
          <w:sz w:val="32"/>
          <w:szCs w:val="32"/>
          <w:highlight w:val="none"/>
          <w:lang w:val="en-US" w:eastAsia="zh-CN" w:bidi="ar-SA"/>
        </w:rPr>
        <w:t>渭蒲高速公路起于蒲城县以东的转湾村，设立交与蒲城县及省道106相接，向南设东杨枢纽立交与京昆高速相接，经卤阳湖现代产业园、吝店、固市后跨渭河至赤水镇，设赤水枢纽立交与连霍高速相接。渭蒲高速项目在卤阳湖设置服务区1处，东、西两个场区，但该服务区未与渭蒲高速同步建设。现阶段将在原设计的基础上，对卤阳湖服务区范围内进行主线平纵面拟合，根据预留用地及既有设施，重新设计进出服务区的A、B两条匝道及场区布置。房建总用地约207.86亩，总建筑面积约为4353.96平方米，主要设置综合服务楼、机修间、加油站等设施。估算投资9972.66万元</w:t>
      </w:r>
      <w:r>
        <w:rPr>
          <w:rFonts w:hint="eastAsia" w:ascii="仿宋" w:hAnsi="仿宋" w:eastAsia="仿宋" w:cs="仿宋_GB2312"/>
          <w:sz w:val="32"/>
          <w:szCs w:val="32"/>
          <w:lang w:val="en-US" w:eastAsia="zh-CN"/>
        </w:rPr>
        <w:t>。</w:t>
      </w:r>
    </w:p>
    <w:tbl>
      <w:tblPr>
        <w:tblStyle w:val="9"/>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2249"/>
        <w:gridCol w:w="5232"/>
      </w:tblGrid>
      <w:tr w14:paraId="05515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415" w:type="dxa"/>
            <w:noWrap w:val="0"/>
            <w:vAlign w:val="center"/>
          </w:tcPr>
          <w:p w14:paraId="1781900F">
            <w:pPr>
              <w:pStyle w:val="5"/>
              <w:widowControl/>
              <w:spacing w:line="280" w:lineRule="exact"/>
              <w:jc w:val="center"/>
              <w:rPr>
                <w:rFonts w:hint="eastAsia" w:ascii="宋体" w:hAnsi="宋体" w:eastAsia="宋体" w:cs="宋体"/>
                <w:b/>
                <w:bCs/>
                <w:color w:val="auto"/>
                <w:spacing w:val="5"/>
                <w:sz w:val="21"/>
                <w:szCs w:val="21"/>
                <w:highlight w:val="none"/>
                <w:lang w:eastAsia="zh-CN"/>
              </w:rPr>
            </w:pPr>
            <w:r>
              <w:rPr>
                <w:rFonts w:hint="eastAsia" w:ascii="宋体" w:hAnsi="宋体" w:eastAsia="宋体" w:cs="宋体"/>
                <w:b/>
                <w:bCs/>
                <w:color w:val="auto"/>
                <w:spacing w:val="5"/>
                <w:sz w:val="21"/>
                <w:szCs w:val="21"/>
                <w:highlight w:val="none"/>
                <w:lang w:eastAsia="zh-CN"/>
              </w:rPr>
              <w:t>项目</w:t>
            </w:r>
          </w:p>
        </w:tc>
        <w:tc>
          <w:tcPr>
            <w:tcW w:w="2249" w:type="dxa"/>
            <w:noWrap w:val="0"/>
            <w:vAlign w:val="center"/>
          </w:tcPr>
          <w:p w14:paraId="4F7F7894">
            <w:pPr>
              <w:pStyle w:val="5"/>
              <w:widowControl/>
              <w:spacing w:line="280" w:lineRule="exact"/>
              <w:jc w:val="center"/>
              <w:rPr>
                <w:rFonts w:hint="eastAsia" w:ascii="宋体" w:hAnsi="宋体" w:eastAsia="宋体" w:cs="宋体"/>
                <w:b/>
                <w:bCs/>
                <w:color w:val="auto"/>
                <w:spacing w:val="5"/>
                <w:sz w:val="21"/>
                <w:szCs w:val="21"/>
                <w:highlight w:val="none"/>
                <w:lang w:eastAsia="zh-CN"/>
              </w:rPr>
            </w:pPr>
            <w:r>
              <w:rPr>
                <w:rFonts w:hint="eastAsia" w:ascii="宋体" w:hAnsi="宋体" w:eastAsia="宋体" w:cs="宋体"/>
                <w:b/>
                <w:bCs/>
                <w:color w:val="auto"/>
                <w:spacing w:val="5"/>
                <w:sz w:val="21"/>
                <w:szCs w:val="21"/>
                <w:highlight w:val="none"/>
                <w:lang w:eastAsia="zh-CN"/>
              </w:rPr>
              <w:t>工程范围</w:t>
            </w:r>
          </w:p>
        </w:tc>
        <w:tc>
          <w:tcPr>
            <w:tcW w:w="5232" w:type="dxa"/>
            <w:noWrap w:val="0"/>
            <w:vAlign w:val="center"/>
          </w:tcPr>
          <w:p w14:paraId="56491B55">
            <w:pPr>
              <w:pStyle w:val="5"/>
              <w:widowControl/>
              <w:spacing w:line="280" w:lineRule="exact"/>
              <w:jc w:val="center"/>
              <w:rPr>
                <w:rFonts w:hint="eastAsia" w:ascii="宋体" w:hAnsi="宋体" w:eastAsia="宋体" w:cs="宋体"/>
                <w:b/>
                <w:bCs/>
                <w:color w:val="auto"/>
                <w:spacing w:val="5"/>
                <w:sz w:val="21"/>
                <w:szCs w:val="21"/>
                <w:highlight w:val="none"/>
                <w:lang w:eastAsia="zh-CN"/>
              </w:rPr>
            </w:pPr>
            <w:r>
              <w:rPr>
                <w:rFonts w:hint="eastAsia" w:ascii="宋体" w:hAnsi="宋体" w:eastAsia="宋体" w:cs="宋体"/>
                <w:b/>
                <w:bCs/>
                <w:color w:val="auto"/>
                <w:spacing w:val="5"/>
                <w:sz w:val="21"/>
                <w:szCs w:val="21"/>
                <w:highlight w:val="none"/>
                <w:lang w:eastAsia="zh-CN"/>
              </w:rPr>
              <w:t>工程内容</w:t>
            </w:r>
          </w:p>
        </w:tc>
      </w:tr>
      <w:tr w14:paraId="4AED3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1415" w:type="dxa"/>
            <w:noWrap w:val="0"/>
            <w:vAlign w:val="center"/>
          </w:tcPr>
          <w:p w14:paraId="5FBF75B5">
            <w:pPr>
              <w:pStyle w:val="5"/>
              <w:widowControl/>
              <w:spacing w:line="280" w:lineRule="exact"/>
              <w:jc w:val="center"/>
              <w:rPr>
                <w:rFonts w:hint="eastAsia" w:ascii="宋体" w:hAnsi="宋体" w:eastAsia="宋体" w:cs="宋体"/>
                <w:color w:val="auto"/>
                <w:spacing w:val="7"/>
                <w:kern w:val="2"/>
                <w:sz w:val="21"/>
                <w:szCs w:val="21"/>
                <w:highlight w:val="none"/>
                <w:lang w:val="en-US" w:eastAsia="zh-CN" w:bidi="ar-SA"/>
              </w:rPr>
            </w:pPr>
            <w:r>
              <w:rPr>
                <w:rFonts w:hint="eastAsia" w:ascii="宋体" w:hAnsi="宋体" w:eastAsia="宋体" w:cs="宋体"/>
                <w:color w:val="auto"/>
                <w:spacing w:val="5"/>
                <w:sz w:val="21"/>
                <w:szCs w:val="21"/>
                <w:highlight w:val="none"/>
                <w:lang w:eastAsia="zh-CN"/>
              </w:rPr>
              <w:t>FSG-LYH</w:t>
            </w:r>
          </w:p>
        </w:tc>
        <w:tc>
          <w:tcPr>
            <w:tcW w:w="2249" w:type="dxa"/>
            <w:noWrap w:val="0"/>
            <w:vAlign w:val="center"/>
          </w:tcPr>
          <w:p w14:paraId="41FA77F4">
            <w:pPr>
              <w:pStyle w:val="3"/>
              <w:jc w:val="left"/>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000000"/>
                <w:spacing w:val="7"/>
                <w:sz w:val="21"/>
                <w:szCs w:val="21"/>
                <w:highlight w:val="none"/>
                <w:lang w:val="en-US" w:eastAsia="zh-CN"/>
              </w:rPr>
              <w:t>卤阳湖服务区用地红线范围内所有设施</w:t>
            </w:r>
          </w:p>
        </w:tc>
        <w:tc>
          <w:tcPr>
            <w:tcW w:w="5232" w:type="dxa"/>
            <w:noWrap w:val="0"/>
            <w:vAlign w:val="center"/>
          </w:tcPr>
          <w:p w14:paraId="3E82DE70">
            <w:pPr>
              <w:pStyle w:val="3"/>
              <w:jc w:val="left"/>
              <w:rPr>
                <w:rFonts w:hint="eastAsia" w:ascii="宋体" w:hAnsi="宋体" w:eastAsia="宋体" w:cs="宋体"/>
                <w:color w:val="000000"/>
                <w:spacing w:val="7"/>
                <w:sz w:val="21"/>
                <w:szCs w:val="21"/>
                <w:highlight w:val="none"/>
                <w:lang w:val="en-US" w:eastAsia="zh-CN"/>
              </w:rPr>
            </w:pPr>
            <w:r>
              <w:rPr>
                <w:rFonts w:hint="eastAsia" w:ascii="宋体" w:hAnsi="宋体" w:eastAsia="宋体" w:cs="宋体"/>
                <w:color w:val="000000"/>
                <w:spacing w:val="7"/>
                <w:sz w:val="21"/>
                <w:szCs w:val="21"/>
                <w:highlight w:val="none"/>
                <w:lang w:val="en-US" w:eastAsia="zh-CN"/>
              </w:rPr>
              <w:t>1.主要包括该服务区的进出匝道、贯通车道、涵洞、安全设施、房建、加油站等工程施工。</w:t>
            </w:r>
          </w:p>
          <w:p w14:paraId="6915B8F6">
            <w:pPr>
              <w:pStyle w:val="3"/>
              <w:jc w:val="left"/>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000000"/>
                <w:spacing w:val="7"/>
                <w:sz w:val="21"/>
                <w:szCs w:val="21"/>
                <w:highlight w:val="none"/>
                <w:lang w:val="en-US" w:eastAsia="zh-CN"/>
              </w:rPr>
              <w:t>2.缺陷责任期修复。</w:t>
            </w:r>
          </w:p>
        </w:tc>
      </w:tr>
    </w:tbl>
    <w:p w14:paraId="3B5B8FBB">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本次招标投标人须具备独立法人资格、有效的营业执照，且资质、业绩、人员、设备、资金等方面具有承担本项目施工的能力，具体要求如下：</w:t>
      </w:r>
    </w:p>
    <w:p w14:paraId="335B048C">
      <w:pPr>
        <w:pStyle w:val="5"/>
        <w:keepNext w:val="0"/>
        <w:keepLines w:val="0"/>
        <w:pageBreakBefore w:val="0"/>
        <w:widowControl/>
        <w:numPr>
          <w:ilvl w:val="0"/>
          <w:numId w:val="1"/>
        </w:numPr>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资质最低要求</w:t>
      </w:r>
    </w:p>
    <w:p w14:paraId="46F10463">
      <w:pPr>
        <w:spacing w:line="17" w:lineRule="exact"/>
        <w:rPr>
          <w:color w:val="auto"/>
          <w:highlight w:val="none"/>
        </w:rPr>
      </w:pPr>
    </w:p>
    <w:tbl>
      <w:tblPr>
        <w:tblStyle w:val="16"/>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51"/>
        <w:gridCol w:w="7701"/>
      </w:tblGrid>
      <w:tr w14:paraId="29900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jc w:val="center"/>
        </w:trPr>
        <w:tc>
          <w:tcPr>
            <w:tcW w:w="1751" w:type="dxa"/>
            <w:noWrap w:val="0"/>
            <w:vAlign w:val="center"/>
          </w:tcPr>
          <w:p w14:paraId="78868149">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项目</w:t>
            </w:r>
          </w:p>
        </w:tc>
        <w:tc>
          <w:tcPr>
            <w:tcW w:w="7701" w:type="dxa"/>
            <w:noWrap w:val="0"/>
            <w:vAlign w:val="center"/>
          </w:tcPr>
          <w:p w14:paraId="5B3DD3EB">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en-US" w:bidi="ar-SA"/>
              </w:rPr>
            </w:pPr>
            <w:r>
              <w:rPr>
                <w:rFonts w:hint="eastAsia" w:ascii="宋体" w:hAnsi="宋体" w:eastAsia="宋体" w:cs="宋体"/>
                <w:b/>
                <w:bCs/>
                <w:color w:val="auto"/>
                <w:spacing w:val="6"/>
                <w:kern w:val="2"/>
                <w:sz w:val="21"/>
                <w:szCs w:val="21"/>
                <w:highlight w:val="none"/>
                <w:lang w:val="en-US" w:eastAsia="en-US" w:bidi="ar-SA"/>
              </w:rPr>
              <w:t>资质要求</w:t>
            </w:r>
          </w:p>
        </w:tc>
      </w:tr>
      <w:tr w14:paraId="68383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6" w:hRule="atLeast"/>
          <w:jc w:val="center"/>
        </w:trPr>
        <w:tc>
          <w:tcPr>
            <w:tcW w:w="1751" w:type="dxa"/>
            <w:noWrap w:val="0"/>
            <w:vAlign w:val="center"/>
          </w:tcPr>
          <w:p w14:paraId="293500B2">
            <w:pPr>
              <w:pStyle w:val="5"/>
              <w:spacing w:line="28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7"/>
                <w:kern w:val="2"/>
                <w:sz w:val="21"/>
                <w:szCs w:val="21"/>
                <w:highlight w:val="none"/>
                <w:lang w:val="en-US" w:eastAsia="zh-CN" w:bidi="ar-SA"/>
              </w:rPr>
              <w:t>FSG-LYH</w:t>
            </w:r>
          </w:p>
        </w:tc>
        <w:tc>
          <w:tcPr>
            <w:tcW w:w="7701" w:type="dxa"/>
            <w:noWrap w:val="0"/>
            <w:vAlign w:val="center"/>
          </w:tcPr>
          <w:p w14:paraId="57002CD2">
            <w:pPr>
              <w:widowControl/>
              <w:rPr>
                <w:rFonts w:hint="eastAsia" w:ascii="宋体" w:hAnsi="宋体" w:eastAsia="宋体" w:cs="宋体"/>
                <w:b/>
                <w:bCs/>
                <w:snapToGrid w:val="0"/>
                <w:color w:val="000000"/>
                <w:spacing w:val="7"/>
                <w:kern w:val="0"/>
                <w:sz w:val="21"/>
                <w:szCs w:val="21"/>
                <w:highlight w:val="none"/>
              </w:rPr>
            </w:pPr>
            <w:r>
              <w:rPr>
                <w:rFonts w:hint="eastAsia" w:ascii="宋体" w:hAnsi="宋体" w:eastAsia="宋体" w:cs="宋体"/>
                <w:b/>
                <w:bCs/>
                <w:snapToGrid w:val="0"/>
                <w:color w:val="000000"/>
                <w:spacing w:val="7"/>
                <w:kern w:val="0"/>
                <w:sz w:val="21"/>
                <w:szCs w:val="21"/>
                <w:highlight w:val="none"/>
              </w:rPr>
              <w:t>一、投标人独立投标的，须满足以下要求：</w:t>
            </w:r>
          </w:p>
          <w:p w14:paraId="34FC0FB0">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1.具有独立法人资格；</w:t>
            </w:r>
          </w:p>
          <w:p w14:paraId="51DF0AA1">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2.具备有效的企业安全生产许可证；</w:t>
            </w:r>
          </w:p>
          <w:p w14:paraId="62198711">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3.具备建筑工程施工总承包二级（含）以上资质；</w:t>
            </w:r>
          </w:p>
          <w:p w14:paraId="4C130BD9">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4.具备公路工程施工总承包一级或以上资质；</w:t>
            </w:r>
          </w:p>
          <w:p w14:paraId="3D4F6549">
            <w:pPr>
              <w:pStyle w:val="3"/>
              <w:rPr>
                <w:rFonts w:hint="eastAsia" w:ascii="宋体" w:hAnsi="宋体" w:eastAsia="宋体" w:cs="宋体"/>
                <w:color w:val="000000"/>
                <w:sz w:val="21"/>
                <w:szCs w:val="21"/>
                <w:highlight w:val="none"/>
              </w:rPr>
            </w:pPr>
            <w:r>
              <w:rPr>
                <w:rFonts w:hint="eastAsia" w:ascii="宋体" w:hAnsi="宋体" w:eastAsia="宋体" w:cs="宋体"/>
                <w:color w:val="000000"/>
                <w:spacing w:val="7"/>
                <w:sz w:val="21"/>
                <w:szCs w:val="21"/>
                <w:highlight w:val="none"/>
              </w:rPr>
              <w:t>5.企业法定代表人持有省级或以上交通运输主管部门核发有效的A类安全生产考核合格证和省级或以上建设主管部门核发有效的A类安全生产考核合格证。</w:t>
            </w:r>
          </w:p>
          <w:p w14:paraId="51181B9A">
            <w:pPr>
              <w:pStyle w:val="3"/>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二、投标人以联合体形式投标的</w:t>
            </w:r>
          </w:p>
          <w:p w14:paraId="71BD0CE1">
            <w:pPr>
              <w:pStyle w:val="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1.承担房建工程施工专业分工的联合体成员，须满足以下要求：</w:t>
            </w:r>
          </w:p>
          <w:p w14:paraId="3D6C59FC">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（1）具有独立法人资格；</w:t>
            </w:r>
          </w:p>
          <w:p w14:paraId="25023C4F">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（2）具备有效的企业安全生产许可证；</w:t>
            </w:r>
          </w:p>
          <w:p w14:paraId="0678EA61">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（3）具备建筑工程施工总承包二级（含）以上资质；</w:t>
            </w:r>
          </w:p>
          <w:p w14:paraId="02B6F2BE">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（4）企业法定代表人持有省级或以上建设主管部门核发有效的A类安全生产考核合格证。</w:t>
            </w:r>
          </w:p>
          <w:p w14:paraId="43DF955C">
            <w:pPr>
              <w:pStyle w:val="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2.承担公路工程施工专业分工的联合体成员，须满足以下要求：</w:t>
            </w:r>
          </w:p>
          <w:p w14:paraId="5059BE55">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（1）具有独立法人资格；</w:t>
            </w:r>
          </w:p>
          <w:p w14:paraId="297018C2">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（2）具备有效的企业安全生产许可证；</w:t>
            </w:r>
          </w:p>
          <w:p w14:paraId="471FB334">
            <w:pPr>
              <w:pStyle w:val="3"/>
              <w:rPr>
                <w:rFonts w:hint="eastAsia" w:ascii="宋体" w:hAnsi="宋体" w:eastAsia="宋体" w:cs="宋体"/>
                <w:color w:val="000000"/>
                <w:spacing w:val="7"/>
                <w:sz w:val="21"/>
                <w:szCs w:val="21"/>
                <w:highlight w:val="none"/>
              </w:rPr>
            </w:pPr>
            <w:r>
              <w:rPr>
                <w:rFonts w:hint="eastAsia" w:ascii="宋体" w:hAnsi="宋体" w:eastAsia="宋体" w:cs="宋体"/>
                <w:color w:val="000000"/>
                <w:spacing w:val="7"/>
                <w:sz w:val="21"/>
                <w:szCs w:val="21"/>
                <w:highlight w:val="none"/>
              </w:rPr>
              <w:t>（3）具备公路工程施工总承包一级或以上资质；</w:t>
            </w:r>
          </w:p>
          <w:p w14:paraId="5F88BA0B">
            <w:pPr>
              <w:pStyle w:val="3"/>
              <w:spacing w:line="280" w:lineRule="exact"/>
              <w:jc w:val="left"/>
              <w:rPr>
                <w:rFonts w:hint="eastAsia" w:ascii="宋体" w:hAnsi="宋体" w:eastAsia="宋体" w:cs="宋体"/>
                <w:color w:val="auto"/>
                <w:sz w:val="21"/>
                <w:szCs w:val="21"/>
                <w:highlight w:val="none"/>
                <w:lang w:eastAsia="zh-CN"/>
              </w:rPr>
            </w:pPr>
            <w:r>
              <w:rPr>
                <w:rFonts w:hint="eastAsia" w:ascii="宋体" w:hAnsi="宋体" w:eastAsia="宋体" w:cs="宋体"/>
                <w:color w:val="000000"/>
                <w:spacing w:val="7"/>
                <w:sz w:val="21"/>
                <w:szCs w:val="21"/>
                <w:highlight w:val="none"/>
              </w:rPr>
              <w:t>（4）企业法定代表人持有省级或以上交通运输主管部门核发有效的A类安全生产考核合格证。</w:t>
            </w:r>
          </w:p>
        </w:tc>
      </w:tr>
    </w:tbl>
    <w:p w14:paraId="061E31FF">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（2）财务最低要求</w:t>
      </w:r>
    </w:p>
    <w:tbl>
      <w:tblPr>
        <w:tblStyle w:val="16"/>
        <w:tblW w:w="954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8"/>
        <w:gridCol w:w="6687"/>
        <w:gridCol w:w="1895"/>
      </w:tblGrid>
      <w:tr w14:paraId="51E94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958" w:type="dxa"/>
            <w:noWrap w:val="0"/>
            <w:vAlign w:val="center"/>
          </w:tcPr>
          <w:p w14:paraId="4B9080AB">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标段</w:t>
            </w:r>
          </w:p>
        </w:tc>
        <w:tc>
          <w:tcPr>
            <w:tcW w:w="6687" w:type="dxa"/>
            <w:tcBorders>
              <w:right w:val="single" w:color="auto" w:sz="4" w:space="0"/>
            </w:tcBorders>
            <w:noWrap w:val="0"/>
            <w:vAlign w:val="center"/>
          </w:tcPr>
          <w:p w14:paraId="70F172B1">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财务要求</w:t>
            </w:r>
          </w:p>
        </w:tc>
        <w:tc>
          <w:tcPr>
            <w:tcW w:w="1895" w:type="dxa"/>
            <w:tcBorders>
              <w:right w:val="single" w:color="auto" w:sz="4" w:space="0"/>
            </w:tcBorders>
            <w:noWrap w:val="0"/>
            <w:vAlign w:val="center"/>
          </w:tcPr>
          <w:p w14:paraId="39C52081">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备注</w:t>
            </w:r>
          </w:p>
        </w:tc>
      </w:tr>
      <w:tr w14:paraId="55023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3" w:hRule="atLeast"/>
          <w:jc w:val="center"/>
        </w:trPr>
        <w:tc>
          <w:tcPr>
            <w:tcW w:w="958" w:type="dxa"/>
            <w:noWrap w:val="0"/>
            <w:vAlign w:val="center"/>
          </w:tcPr>
          <w:p w14:paraId="1D136ACA">
            <w:pPr>
              <w:pStyle w:val="5"/>
              <w:spacing w:line="280" w:lineRule="exact"/>
              <w:jc w:val="center"/>
              <w:rPr>
                <w:rFonts w:hint="eastAsia" w:ascii="宋体" w:hAnsi="宋体" w:eastAsia="宋体" w:cs="宋体"/>
                <w:color w:val="auto"/>
                <w:spacing w:val="7"/>
                <w:kern w:val="2"/>
                <w:sz w:val="21"/>
                <w:szCs w:val="21"/>
                <w:highlight w:val="none"/>
                <w:lang w:val="en-US" w:eastAsia="zh-CN" w:bidi="ar-SA"/>
              </w:rPr>
            </w:pPr>
            <w:r>
              <w:rPr>
                <w:rFonts w:hint="eastAsia" w:ascii="宋体" w:hAnsi="宋体" w:eastAsia="宋体" w:cs="宋体"/>
                <w:color w:val="auto"/>
                <w:spacing w:val="7"/>
                <w:kern w:val="2"/>
                <w:sz w:val="21"/>
                <w:szCs w:val="21"/>
                <w:highlight w:val="none"/>
                <w:lang w:val="en-US" w:eastAsia="zh-CN" w:bidi="ar-SA"/>
              </w:rPr>
              <w:t>FSG-LYH</w:t>
            </w:r>
          </w:p>
        </w:tc>
        <w:tc>
          <w:tcPr>
            <w:tcW w:w="6687" w:type="dxa"/>
            <w:tcBorders>
              <w:right w:val="single" w:color="auto" w:sz="4" w:space="0"/>
            </w:tcBorders>
            <w:noWrap w:val="0"/>
            <w:vAlign w:val="center"/>
          </w:tcPr>
          <w:p w14:paraId="24B574C5">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auto"/>
                <w:spacing w:val="7"/>
                <w:kern w:val="2"/>
                <w:sz w:val="21"/>
                <w:szCs w:val="21"/>
                <w:highlight w:val="none"/>
                <w:lang w:val="en-US" w:eastAsia="zh-CN" w:bidi="ar-SA"/>
              </w:rPr>
            </w:pPr>
            <w:r>
              <w:rPr>
                <w:rFonts w:hint="eastAsia" w:ascii="宋体" w:hAnsi="宋体" w:eastAsia="宋体" w:cs="宋体"/>
                <w:color w:val="000000"/>
                <w:sz w:val="21"/>
                <w:szCs w:val="21"/>
                <w:highlight w:val="none"/>
              </w:rPr>
              <w:t>202</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年、202</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年、202</w:t>
            </w: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年的</w:t>
            </w:r>
            <w:r>
              <w:rPr>
                <w:rFonts w:hint="eastAsia" w:ascii="宋体" w:hAnsi="宋体" w:eastAsia="宋体" w:cs="宋体"/>
                <w:color w:val="000000"/>
                <w:sz w:val="21"/>
                <w:szCs w:val="21"/>
                <w:highlight w:val="none"/>
                <w:lang w:val="en-US" w:eastAsia="zh-CN"/>
              </w:rPr>
              <w:t>平均</w:t>
            </w:r>
            <w:r>
              <w:rPr>
                <w:rFonts w:hint="eastAsia" w:ascii="宋体" w:hAnsi="宋体" w:eastAsia="宋体" w:cs="宋体"/>
                <w:color w:val="000000"/>
                <w:sz w:val="21"/>
                <w:szCs w:val="21"/>
                <w:highlight w:val="none"/>
              </w:rPr>
              <w:t>企业资产负债率小于等于8</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w:t>
            </w:r>
          </w:p>
        </w:tc>
        <w:tc>
          <w:tcPr>
            <w:tcW w:w="1895" w:type="dxa"/>
            <w:tcBorders>
              <w:right w:val="single" w:color="auto" w:sz="4" w:space="0"/>
            </w:tcBorders>
            <w:noWrap w:val="0"/>
            <w:vAlign w:val="center"/>
          </w:tcPr>
          <w:p w14:paraId="012158B3">
            <w:pPr>
              <w:spacing w:before="198" w:line="225" w:lineRule="auto"/>
              <w:rPr>
                <w:rFonts w:hint="eastAsia" w:ascii="宋体" w:hAnsi="宋体" w:eastAsia="宋体" w:cs="宋体"/>
                <w:color w:val="auto"/>
                <w:spacing w:val="5"/>
                <w:sz w:val="21"/>
                <w:szCs w:val="21"/>
                <w:highlight w:val="none"/>
                <w:lang w:eastAsia="zh-CN"/>
              </w:rPr>
            </w:pPr>
            <w:r>
              <w:rPr>
                <w:rFonts w:hint="eastAsia" w:ascii="宋体" w:hAnsi="宋体" w:eastAsia="宋体" w:cs="宋体"/>
                <w:color w:val="000000"/>
                <w:sz w:val="21"/>
                <w:szCs w:val="21"/>
                <w:highlight w:val="none"/>
                <w:lang w:eastAsia="zh-CN"/>
              </w:rPr>
              <w:t>以联合体形式参加投标的，联合体各成员单位均按照此要求。</w:t>
            </w:r>
          </w:p>
        </w:tc>
      </w:tr>
    </w:tbl>
    <w:p w14:paraId="1974BB5D">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（3）业绩最低要求</w:t>
      </w:r>
    </w:p>
    <w:p w14:paraId="494415B5">
      <w:pPr>
        <w:spacing w:line="14" w:lineRule="exact"/>
        <w:rPr>
          <w:color w:val="auto"/>
          <w:highlight w:val="none"/>
        </w:rPr>
      </w:pPr>
    </w:p>
    <w:tbl>
      <w:tblPr>
        <w:tblStyle w:val="16"/>
        <w:tblW w:w="955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4"/>
        <w:gridCol w:w="6337"/>
        <w:gridCol w:w="1918"/>
      </w:tblGrid>
      <w:tr w14:paraId="715C8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1304" w:type="dxa"/>
            <w:noWrap w:val="0"/>
            <w:vAlign w:val="center"/>
          </w:tcPr>
          <w:p w14:paraId="1900DA16">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标段</w:t>
            </w:r>
          </w:p>
        </w:tc>
        <w:tc>
          <w:tcPr>
            <w:tcW w:w="6337" w:type="dxa"/>
            <w:tcBorders>
              <w:right w:val="single" w:color="auto" w:sz="4" w:space="0"/>
            </w:tcBorders>
            <w:noWrap w:val="0"/>
            <w:vAlign w:val="center"/>
          </w:tcPr>
          <w:p w14:paraId="210E637C">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业绩要求</w:t>
            </w:r>
          </w:p>
        </w:tc>
        <w:tc>
          <w:tcPr>
            <w:tcW w:w="1918" w:type="dxa"/>
            <w:tcBorders>
              <w:right w:val="single" w:color="auto" w:sz="4" w:space="0"/>
            </w:tcBorders>
            <w:noWrap w:val="0"/>
            <w:vAlign w:val="center"/>
          </w:tcPr>
          <w:p w14:paraId="2DBC96B1">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备注</w:t>
            </w:r>
          </w:p>
        </w:tc>
      </w:tr>
      <w:tr w14:paraId="62E30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2" w:hRule="atLeast"/>
          <w:jc w:val="center"/>
        </w:trPr>
        <w:tc>
          <w:tcPr>
            <w:tcW w:w="1304" w:type="dxa"/>
            <w:noWrap w:val="0"/>
            <w:vAlign w:val="center"/>
          </w:tcPr>
          <w:p w14:paraId="3311BE15">
            <w:pPr>
              <w:pStyle w:val="5"/>
              <w:spacing w:line="240" w:lineRule="exact"/>
              <w:jc w:val="center"/>
              <w:rPr>
                <w:rFonts w:hint="eastAsia" w:ascii="宋体" w:hAnsi="宋体" w:eastAsia="宋体" w:cs="宋体"/>
                <w:color w:val="auto"/>
                <w:spacing w:val="5"/>
                <w:sz w:val="21"/>
                <w:szCs w:val="21"/>
                <w:highlight w:val="none"/>
                <w:lang w:eastAsia="zh-CN"/>
              </w:rPr>
            </w:pPr>
            <w:r>
              <w:rPr>
                <w:rFonts w:hint="eastAsia" w:ascii="宋体" w:hAnsi="宋体" w:eastAsia="宋体" w:cs="宋体"/>
                <w:color w:val="auto"/>
                <w:spacing w:val="5"/>
                <w:sz w:val="21"/>
                <w:szCs w:val="21"/>
                <w:highlight w:val="none"/>
                <w:lang w:eastAsia="zh-CN"/>
              </w:rPr>
              <w:t>FSG-LYH</w:t>
            </w:r>
          </w:p>
        </w:tc>
        <w:tc>
          <w:tcPr>
            <w:tcW w:w="6337" w:type="dxa"/>
            <w:tcBorders>
              <w:right w:val="single" w:color="auto" w:sz="4" w:space="0"/>
            </w:tcBorders>
            <w:noWrap w:val="0"/>
            <w:vAlign w:val="center"/>
          </w:tcPr>
          <w:p w14:paraId="642F6633">
            <w:pPr>
              <w:keepNext w:val="0"/>
              <w:keepLines w:val="0"/>
              <w:pageBreakBefore w:val="0"/>
              <w:widowControl w:val="0"/>
              <w:numPr>
                <w:ilvl w:val="0"/>
                <w:numId w:val="2"/>
              </w:numPr>
              <w:kinsoku/>
              <w:wordWrap/>
              <w:overflowPunct/>
              <w:topLinePunct w:val="0"/>
              <w:autoSpaceDE/>
              <w:autoSpaceDN/>
              <w:bidi w:val="0"/>
              <w:adjustRightInd/>
              <w:snapToGrid/>
              <w:spacing w:line="240" w:lineRule="exact"/>
              <w:textAlignment w:val="auto"/>
              <w:rPr>
                <w:rFonts w:hint="eastAsia" w:ascii="宋体" w:hAnsi="宋体" w:eastAsia="宋体" w:cs="宋体"/>
                <w:b w:val="0"/>
                <w:bCs w:val="0"/>
                <w:snapToGrid w:val="0"/>
                <w:color w:val="000000"/>
                <w:spacing w:val="7"/>
                <w:kern w:val="0"/>
                <w:sz w:val="21"/>
                <w:szCs w:val="21"/>
                <w:highlight w:val="none"/>
              </w:rPr>
            </w:pPr>
            <w:r>
              <w:rPr>
                <w:rFonts w:hint="eastAsia" w:ascii="宋体" w:hAnsi="宋体" w:eastAsia="宋体" w:cs="宋体"/>
                <w:b w:val="0"/>
                <w:bCs w:val="0"/>
                <w:color w:val="000000"/>
                <w:sz w:val="21"/>
                <w:szCs w:val="21"/>
                <w:highlight w:val="none"/>
                <w:lang w:val="en-US" w:eastAsia="zh-CN"/>
              </w:rPr>
              <w:t>2020年1月1日至投标截止时间</w:t>
            </w:r>
            <w:r>
              <w:rPr>
                <w:rFonts w:hint="eastAsia" w:ascii="宋体" w:hAnsi="宋体" w:eastAsia="宋体" w:cs="宋体"/>
                <w:b w:val="0"/>
                <w:bCs w:val="0"/>
                <w:color w:val="000000"/>
                <w:sz w:val="21"/>
                <w:szCs w:val="21"/>
                <w:highlight w:val="none"/>
              </w:rPr>
              <w:t>（以交工或竣工验收时间为准）</w:t>
            </w:r>
            <w:r>
              <w:rPr>
                <w:rFonts w:hint="eastAsia" w:ascii="宋体" w:hAnsi="宋体" w:eastAsia="宋体" w:cs="宋体"/>
                <w:b w:val="0"/>
                <w:bCs w:val="0"/>
                <w:snapToGrid w:val="0"/>
                <w:color w:val="000000"/>
                <w:spacing w:val="7"/>
                <w:kern w:val="0"/>
                <w:sz w:val="21"/>
                <w:szCs w:val="21"/>
                <w:highlight w:val="none"/>
              </w:rPr>
              <w:t>，至少完成过1个建筑面积不小于5000㎡（含）房建工程施工合同段。</w:t>
            </w:r>
          </w:p>
          <w:p w14:paraId="0AFC0ACF">
            <w:pPr>
              <w:numPr>
                <w:ilvl w:val="0"/>
                <w:numId w:val="3"/>
              </w:numPr>
              <w:spacing w:line="226" w:lineRule="auto"/>
              <w:jc w:val="both"/>
              <w:rPr>
                <w:rFonts w:hint="eastAsia" w:ascii="宋体" w:hAnsi="宋体" w:eastAsia="宋体" w:cs="宋体"/>
                <w:color w:val="auto"/>
                <w:spacing w:val="5"/>
                <w:sz w:val="21"/>
                <w:szCs w:val="21"/>
                <w:highlight w:val="none"/>
                <w:lang w:eastAsia="zh-CN"/>
              </w:rPr>
            </w:pPr>
            <w:r>
              <w:rPr>
                <w:rFonts w:hint="eastAsia" w:ascii="宋体" w:hAnsi="宋体" w:eastAsia="宋体" w:cs="宋体"/>
                <w:b w:val="0"/>
                <w:bCs w:val="0"/>
                <w:color w:val="000000"/>
                <w:sz w:val="21"/>
                <w:szCs w:val="21"/>
                <w:highlight w:val="none"/>
                <w:lang w:val="en-US" w:eastAsia="zh-CN"/>
              </w:rPr>
              <w:t>2020年1月1日至投标截止时间</w:t>
            </w:r>
            <w:r>
              <w:rPr>
                <w:rFonts w:hint="eastAsia" w:ascii="宋体" w:hAnsi="宋体" w:eastAsia="宋体" w:cs="宋体"/>
                <w:b w:val="0"/>
                <w:bCs w:val="0"/>
                <w:color w:val="000000"/>
                <w:sz w:val="21"/>
                <w:szCs w:val="21"/>
                <w:highlight w:val="none"/>
              </w:rPr>
              <w:t>（以交工或竣工验收时间为准）</w:t>
            </w:r>
            <w:r>
              <w:rPr>
                <w:rFonts w:hint="eastAsia" w:ascii="宋体" w:hAnsi="宋体" w:eastAsia="宋体" w:cs="宋体"/>
                <w:b w:val="0"/>
                <w:bCs w:val="0"/>
                <w:snapToGrid w:val="0"/>
                <w:color w:val="000000"/>
                <w:spacing w:val="7"/>
                <w:kern w:val="0"/>
                <w:sz w:val="21"/>
                <w:szCs w:val="21"/>
                <w:highlight w:val="none"/>
              </w:rPr>
              <w:t>，</w:t>
            </w:r>
            <w:r>
              <w:rPr>
                <w:rFonts w:hint="eastAsia" w:ascii="宋体" w:hAnsi="宋体" w:eastAsia="宋体" w:cs="宋体"/>
                <w:snapToGrid w:val="0"/>
                <w:color w:val="000000"/>
                <w:spacing w:val="7"/>
                <w:kern w:val="0"/>
                <w:sz w:val="21"/>
                <w:szCs w:val="21"/>
                <w:highlight w:val="none"/>
              </w:rPr>
              <w:t>至少完成过1个新建或改扩建</w:t>
            </w:r>
            <w:r>
              <w:rPr>
                <w:rFonts w:hint="eastAsia" w:ascii="宋体" w:hAnsi="宋体" w:eastAsia="宋体" w:cs="宋体"/>
                <w:snapToGrid w:val="0"/>
                <w:color w:val="000000"/>
                <w:spacing w:val="7"/>
                <w:kern w:val="0"/>
                <w:sz w:val="21"/>
                <w:szCs w:val="21"/>
                <w:highlight w:val="none"/>
                <w:lang w:val="en-US" w:eastAsia="zh-CN"/>
              </w:rPr>
              <w:t>高速</w:t>
            </w:r>
            <w:r>
              <w:rPr>
                <w:rFonts w:hint="eastAsia" w:ascii="宋体" w:hAnsi="宋体" w:eastAsia="宋体" w:cs="宋体"/>
                <w:snapToGrid w:val="0"/>
                <w:color w:val="000000"/>
                <w:spacing w:val="7"/>
                <w:kern w:val="0"/>
                <w:sz w:val="21"/>
                <w:szCs w:val="21"/>
                <w:highlight w:val="none"/>
              </w:rPr>
              <w:t>公路主体工程(</w:t>
            </w:r>
            <w:r>
              <w:rPr>
                <w:rFonts w:hint="eastAsia" w:ascii="宋体" w:hAnsi="宋体" w:eastAsia="宋体" w:cs="宋体"/>
                <w:snapToGrid w:val="0"/>
                <w:color w:val="000000"/>
                <w:spacing w:val="7"/>
                <w:kern w:val="0"/>
                <w:sz w:val="21"/>
                <w:szCs w:val="21"/>
                <w:highlight w:val="none"/>
                <w:lang w:val="en-US" w:eastAsia="zh-CN"/>
              </w:rPr>
              <w:t>含</w:t>
            </w:r>
            <w:r>
              <w:rPr>
                <w:rFonts w:hint="eastAsia" w:ascii="宋体" w:hAnsi="宋体" w:eastAsia="宋体" w:cs="宋体"/>
                <w:snapToGrid w:val="0"/>
                <w:color w:val="000000"/>
                <w:spacing w:val="7"/>
                <w:kern w:val="0"/>
                <w:sz w:val="21"/>
                <w:szCs w:val="21"/>
                <w:highlight w:val="none"/>
              </w:rPr>
              <w:t>路基或路面)施工合同段。</w:t>
            </w:r>
          </w:p>
        </w:tc>
        <w:tc>
          <w:tcPr>
            <w:tcW w:w="1918" w:type="dxa"/>
            <w:tcBorders>
              <w:right w:val="single" w:color="auto" w:sz="4" w:space="0"/>
            </w:tcBorders>
            <w:noWrap w:val="0"/>
            <w:vAlign w:val="center"/>
          </w:tcPr>
          <w:p w14:paraId="451C6FCA">
            <w:pPr>
              <w:numPr>
                <w:ilvl w:val="0"/>
                <w:numId w:val="0"/>
              </w:numPr>
              <w:spacing w:line="226" w:lineRule="auto"/>
              <w:jc w:val="both"/>
              <w:rPr>
                <w:rFonts w:hint="eastAsia" w:ascii="宋体" w:hAnsi="宋体" w:eastAsia="宋体" w:cs="宋体"/>
                <w:color w:val="auto"/>
                <w:spacing w:val="5"/>
                <w:sz w:val="21"/>
                <w:szCs w:val="21"/>
                <w:highlight w:val="none"/>
                <w:lang w:val="en-US" w:eastAsia="zh-CN"/>
              </w:rPr>
            </w:pPr>
            <w:r>
              <w:rPr>
                <w:rFonts w:hint="eastAsia" w:ascii="宋体" w:hAnsi="宋体" w:eastAsia="宋体" w:cs="宋体"/>
                <w:color w:val="auto"/>
                <w:spacing w:val="7"/>
                <w:sz w:val="21"/>
                <w:szCs w:val="21"/>
                <w:highlight w:val="none"/>
                <w:lang w:eastAsia="zh-CN"/>
              </w:rPr>
              <w:t>以联合体形式参与投标的，</w:t>
            </w:r>
            <w:r>
              <w:rPr>
                <w:rFonts w:hint="eastAsia" w:ascii="宋体" w:hAnsi="宋体" w:eastAsia="宋体" w:cs="宋体"/>
                <w:color w:val="auto"/>
                <w:spacing w:val="7"/>
                <w:sz w:val="21"/>
                <w:szCs w:val="21"/>
                <w:highlight w:val="none"/>
                <w:lang w:val="en-US" w:eastAsia="zh-CN"/>
              </w:rPr>
              <w:t>按照联合体各成员相应业绩之和确定联合体具有的业绩</w:t>
            </w:r>
          </w:p>
        </w:tc>
      </w:tr>
    </w:tbl>
    <w:p w14:paraId="2F1DD076">
      <w:pPr>
        <w:keepNext w:val="0"/>
        <w:keepLines w:val="0"/>
        <w:pageBreakBefore w:val="0"/>
        <w:widowControl/>
        <w:suppressLineNumbers w:val="0"/>
        <w:kinsoku/>
        <w:wordWrap/>
        <w:overflowPunct/>
        <w:topLinePunct w:val="0"/>
        <w:autoSpaceDE/>
        <w:autoSpaceDN/>
        <w:bidi w:val="0"/>
        <w:adjustRightInd/>
        <w:snapToGrid/>
        <w:spacing w:line="260" w:lineRule="exact"/>
        <w:ind w:firstLine="422" w:firstLineChars="200"/>
        <w:jc w:val="both"/>
        <w:textAlignment w:val="auto"/>
        <w:rPr>
          <w:rFonts w:hint="eastAsia" w:ascii="宋体" w:hAnsi="宋体" w:eastAsia="宋体" w:cs="宋体"/>
          <w:b/>
          <w:bCs/>
          <w:snapToGrid/>
          <w:color w:val="auto"/>
          <w:kern w:val="2"/>
          <w:sz w:val="21"/>
          <w:szCs w:val="21"/>
          <w:highlight w:val="none"/>
          <w:lang w:val="en-US" w:eastAsia="zh-CN"/>
        </w:rPr>
      </w:pPr>
      <w:r>
        <w:rPr>
          <w:rFonts w:hint="eastAsia" w:ascii="宋体" w:hAnsi="宋体" w:eastAsia="宋体" w:cs="宋体"/>
          <w:b/>
          <w:bCs/>
          <w:snapToGrid/>
          <w:color w:val="auto"/>
          <w:kern w:val="2"/>
          <w:sz w:val="21"/>
          <w:szCs w:val="21"/>
          <w:highlight w:val="none"/>
          <w:lang w:eastAsia="zh-CN"/>
        </w:rPr>
        <w:t>注：交工或竣工验收时间以在“全国建筑市场监管公共服务平台”中竣工验收备案网页截图显示时间为准或以“全国公路建设市场监督管理系统”或省级交通运输主管部门“公路建设市场信用信息管理系统”中网页截图显示交工时间为准。</w:t>
      </w:r>
    </w:p>
    <w:p w14:paraId="3C9EB5B7">
      <w:pPr>
        <w:pStyle w:val="5"/>
        <w:keepNext w:val="0"/>
        <w:keepLines w:val="0"/>
        <w:pageBreakBefore w:val="0"/>
        <w:widowControl/>
        <w:numPr>
          <w:ilvl w:val="0"/>
          <w:numId w:val="4"/>
        </w:numPr>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信誉最低要求</w:t>
      </w:r>
    </w:p>
    <w:p w14:paraId="16431459">
      <w:pPr>
        <w:rPr>
          <w:rFonts w:hint="eastAsia"/>
          <w:lang w:val="en-US" w:eastAsia="zh-CN"/>
        </w:rPr>
      </w:pPr>
    </w:p>
    <w:p w14:paraId="069DDBE9">
      <w:pPr>
        <w:spacing w:line="15" w:lineRule="exact"/>
        <w:rPr>
          <w:color w:val="auto"/>
          <w:highlight w:val="none"/>
        </w:rPr>
      </w:pPr>
    </w:p>
    <w:tbl>
      <w:tblPr>
        <w:tblStyle w:val="16"/>
        <w:tblW w:w="96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0"/>
        <w:gridCol w:w="7159"/>
        <w:gridCol w:w="1410"/>
      </w:tblGrid>
      <w:tr w14:paraId="6B901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130" w:type="dxa"/>
            <w:noWrap w:val="0"/>
            <w:vAlign w:val="center"/>
          </w:tcPr>
          <w:p w14:paraId="008F0BD0">
            <w:pPr>
              <w:pStyle w:val="15"/>
              <w:keepNext w:val="0"/>
              <w:keepLines w:val="0"/>
              <w:pageBreakBefore w:val="0"/>
              <w:widowControl w:val="0"/>
              <w:kinsoku/>
              <w:wordWrap/>
              <w:overflowPunct/>
              <w:topLinePunct w:val="0"/>
              <w:autoSpaceDE/>
              <w:autoSpaceDN/>
              <w:bidi w:val="0"/>
              <w:adjustRightInd/>
              <w:snapToGrid/>
              <w:spacing w:line="226"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标段</w:t>
            </w:r>
          </w:p>
        </w:tc>
        <w:tc>
          <w:tcPr>
            <w:tcW w:w="7159" w:type="dxa"/>
            <w:tcBorders>
              <w:right w:val="single" w:color="auto" w:sz="4" w:space="0"/>
            </w:tcBorders>
            <w:noWrap w:val="0"/>
            <w:vAlign w:val="center"/>
          </w:tcPr>
          <w:p w14:paraId="1BB6152C">
            <w:pPr>
              <w:pStyle w:val="15"/>
              <w:keepNext w:val="0"/>
              <w:keepLines w:val="0"/>
              <w:pageBreakBefore w:val="0"/>
              <w:widowControl w:val="0"/>
              <w:kinsoku/>
              <w:wordWrap/>
              <w:overflowPunct/>
              <w:topLinePunct w:val="0"/>
              <w:autoSpaceDE/>
              <w:autoSpaceDN/>
              <w:bidi w:val="0"/>
              <w:adjustRightInd/>
              <w:snapToGrid/>
              <w:spacing w:line="226"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9"/>
                <w:sz w:val="21"/>
                <w:szCs w:val="21"/>
                <w:highlight w:val="none"/>
              </w:rPr>
              <w:t>信誉要求</w:t>
            </w:r>
          </w:p>
        </w:tc>
        <w:tc>
          <w:tcPr>
            <w:tcW w:w="1410" w:type="dxa"/>
            <w:tcBorders>
              <w:right w:val="single" w:color="auto" w:sz="4" w:space="0"/>
            </w:tcBorders>
            <w:noWrap w:val="0"/>
            <w:vAlign w:val="center"/>
          </w:tcPr>
          <w:p w14:paraId="48B01B03">
            <w:pPr>
              <w:pStyle w:val="15"/>
              <w:keepNext w:val="0"/>
              <w:keepLines w:val="0"/>
              <w:pageBreakBefore w:val="0"/>
              <w:widowControl w:val="0"/>
              <w:kinsoku/>
              <w:wordWrap/>
              <w:overflowPunct/>
              <w:topLinePunct w:val="0"/>
              <w:autoSpaceDE/>
              <w:autoSpaceDN/>
              <w:bidi w:val="0"/>
              <w:adjustRightInd/>
              <w:snapToGrid/>
              <w:spacing w:line="226" w:lineRule="auto"/>
              <w:jc w:val="center"/>
              <w:textAlignment w:val="auto"/>
              <w:rPr>
                <w:rFonts w:hint="eastAsia" w:ascii="宋体" w:hAnsi="宋体" w:eastAsia="宋体" w:cs="宋体"/>
                <w:b/>
                <w:bCs/>
                <w:color w:val="auto"/>
                <w:spacing w:val="9"/>
                <w:sz w:val="21"/>
                <w:szCs w:val="21"/>
                <w:highlight w:val="none"/>
                <w:lang w:val="en-US" w:eastAsia="zh-CN"/>
              </w:rPr>
            </w:pPr>
            <w:r>
              <w:rPr>
                <w:rFonts w:hint="eastAsia" w:ascii="宋体" w:hAnsi="宋体" w:eastAsia="宋体" w:cs="宋体"/>
                <w:b/>
                <w:bCs/>
                <w:color w:val="auto"/>
                <w:spacing w:val="9"/>
                <w:sz w:val="21"/>
                <w:szCs w:val="21"/>
                <w:highlight w:val="none"/>
                <w:lang w:val="en-US" w:eastAsia="zh-CN"/>
              </w:rPr>
              <w:t>备注</w:t>
            </w:r>
          </w:p>
        </w:tc>
      </w:tr>
      <w:tr w14:paraId="5FFA0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5" w:hRule="atLeast"/>
          <w:jc w:val="center"/>
        </w:trPr>
        <w:tc>
          <w:tcPr>
            <w:tcW w:w="1130" w:type="dxa"/>
            <w:noWrap w:val="0"/>
            <w:vAlign w:val="center"/>
          </w:tcPr>
          <w:p w14:paraId="5D85CF55">
            <w:pPr>
              <w:pStyle w:val="5"/>
              <w:spacing w:line="240" w:lineRule="exact"/>
              <w:jc w:val="center"/>
              <w:rPr>
                <w:rFonts w:hint="eastAsia" w:ascii="宋体" w:hAnsi="宋体" w:eastAsia="宋体" w:cs="宋体"/>
                <w:color w:val="auto"/>
                <w:spacing w:val="5"/>
                <w:sz w:val="21"/>
                <w:szCs w:val="21"/>
                <w:highlight w:val="none"/>
                <w:lang w:eastAsia="zh-CN"/>
              </w:rPr>
            </w:pPr>
            <w:r>
              <w:rPr>
                <w:rFonts w:hint="eastAsia" w:ascii="宋体" w:hAnsi="宋体" w:eastAsia="宋体" w:cs="宋体"/>
                <w:color w:val="auto"/>
                <w:spacing w:val="5"/>
                <w:sz w:val="21"/>
                <w:szCs w:val="21"/>
                <w:highlight w:val="none"/>
                <w:lang w:eastAsia="zh-CN"/>
              </w:rPr>
              <w:t>FSG-LYH</w:t>
            </w:r>
          </w:p>
        </w:tc>
        <w:tc>
          <w:tcPr>
            <w:tcW w:w="7159" w:type="dxa"/>
            <w:tcBorders>
              <w:right w:val="single" w:color="auto" w:sz="4" w:space="0"/>
            </w:tcBorders>
            <w:noWrap w:val="0"/>
            <w:vAlign w:val="center"/>
          </w:tcPr>
          <w:p w14:paraId="042C0D02">
            <w:pPr>
              <w:pStyle w:val="15"/>
              <w:spacing w:line="260" w:lineRule="auto"/>
              <w:rPr>
                <w:rFonts w:hint="eastAsia" w:ascii="宋体" w:hAnsi="宋体" w:eastAsia="宋体" w:cs="宋体"/>
                <w:color w:val="auto"/>
                <w:spacing w:val="5"/>
                <w:sz w:val="21"/>
                <w:szCs w:val="21"/>
                <w:highlight w:val="none"/>
                <w:lang w:eastAsia="zh-CN"/>
              </w:rPr>
            </w:pPr>
            <w:r>
              <w:rPr>
                <w:rFonts w:hint="eastAsia" w:ascii="宋体" w:hAnsi="宋体" w:eastAsia="宋体" w:cs="宋体"/>
                <w:color w:val="auto"/>
                <w:spacing w:val="5"/>
                <w:sz w:val="21"/>
                <w:szCs w:val="21"/>
                <w:highlight w:val="none"/>
                <w:lang w:eastAsia="zh-CN"/>
              </w:rPr>
              <w:t>1.投标人未被交通运输部或陕西省交通运输厅列为信用评价等级D级且处于有效期内。</w:t>
            </w:r>
          </w:p>
          <w:p w14:paraId="3EC37C52">
            <w:pPr>
              <w:pStyle w:val="15"/>
              <w:spacing w:line="2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5"/>
                <w:sz w:val="21"/>
                <w:szCs w:val="21"/>
                <w:highlight w:val="none"/>
                <w:lang w:eastAsia="zh-CN"/>
              </w:rPr>
              <w:t>2.投标人未被陕西省建设主管部门取消招标项目所在地的投标资格且处于有效期内。</w:t>
            </w:r>
          </w:p>
        </w:tc>
        <w:tc>
          <w:tcPr>
            <w:tcW w:w="1410" w:type="dxa"/>
            <w:tcBorders>
              <w:right w:val="single" w:color="auto" w:sz="4" w:space="0"/>
            </w:tcBorders>
            <w:noWrap w:val="0"/>
            <w:vAlign w:val="center"/>
          </w:tcPr>
          <w:p w14:paraId="4A6E6D2D">
            <w:pPr>
              <w:rPr>
                <w:rFonts w:hint="eastAsia" w:ascii="宋体" w:hAnsi="宋体" w:eastAsia="宋体" w:cs="宋体"/>
                <w:color w:val="auto"/>
                <w:spacing w:val="5"/>
                <w:sz w:val="21"/>
                <w:szCs w:val="21"/>
                <w:highlight w:val="none"/>
                <w:lang w:eastAsia="zh-CN"/>
              </w:rPr>
            </w:pPr>
            <w:r>
              <w:rPr>
                <w:rFonts w:hint="eastAsia" w:ascii="宋体" w:hAnsi="宋体" w:eastAsia="宋体" w:cs="宋体"/>
                <w:color w:val="auto"/>
                <w:spacing w:val="5"/>
                <w:sz w:val="21"/>
                <w:szCs w:val="21"/>
                <w:highlight w:val="none"/>
                <w:lang w:val="en-US" w:eastAsia="zh-CN"/>
              </w:rPr>
              <w:t>以联合体形式参加投标的，联合体各成员单位均按照此要求</w:t>
            </w:r>
          </w:p>
        </w:tc>
      </w:tr>
    </w:tbl>
    <w:p w14:paraId="66F8759F">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（5）主要人员最低要求</w:t>
      </w:r>
    </w:p>
    <w:p w14:paraId="1ADAA146">
      <w:pPr>
        <w:spacing w:line="15" w:lineRule="exact"/>
        <w:rPr>
          <w:color w:val="auto"/>
          <w:highlight w:val="none"/>
          <w:lang w:eastAsia="zh-CN"/>
        </w:rPr>
      </w:pPr>
    </w:p>
    <w:tbl>
      <w:tblPr>
        <w:tblStyle w:val="16"/>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6"/>
        <w:gridCol w:w="1256"/>
        <w:gridCol w:w="798"/>
        <w:gridCol w:w="4237"/>
        <w:gridCol w:w="1962"/>
      </w:tblGrid>
      <w:tr w14:paraId="1469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jc w:val="center"/>
        </w:trPr>
        <w:tc>
          <w:tcPr>
            <w:tcW w:w="1256" w:type="dxa"/>
            <w:noWrap w:val="0"/>
            <w:vAlign w:val="center"/>
          </w:tcPr>
          <w:p w14:paraId="36796492">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标段</w:t>
            </w:r>
          </w:p>
        </w:tc>
        <w:tc>
          <w:tcPr>
            <w:tcW w:w="1256" w:type="dxa"/>
            <w:noWrap w:val="0"/>
            <w:vAlign w:val="center"/>
          </w:tcPr>
          <w:p w14:paraId="65B880AE">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人员</w:t>
            </w:r>
          </w:p>
        </w:tc>
        <w:tc>
          <w:tcPr>
            <w:tcW w:w="798" w:type="dxa"/>
            <w:noWrap w:val="0"/>
            <w:vAlign w:val="center"/>
          </w:tcPr>
          <w:p w14:paraId="705EC209">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数量</w:t>
            </w:r>
          </w:p>
        </w:tc>
        <w:tc>
          <w:tcPr>
            <w:tcW w:w="4237" w:type="dxa"/>
            <w:noWrap w:val="0"/>
            <w:vAlign w:val="center"/>
          </w:tcPr>
          <w:p w14:paraId="47EA32B1">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资格要求</w:t>
            </w:r>
          </w:p>
        </w:tc>
        <w:tc>
          <w:tcPr>
            <w:tcW w:w="1962" w:type="dxa"/>
            <w:tcBorders>
              <w:right w:val="single" w:color="auto" w:sz="4" w:space="0"/>
            </w:tcBorders>
            <w:noWrap w:val="0"/>
            <w:vAlign w:val="center"/>
          </w:tcPr>
          <w:p w14:paraId="5DB90126">
            <w:pPr>
              <w:keepNext w:val="0"/>
              <w:keepLines w:val="0"/>
              <w:pageBreakBefore w:val="0"/>
              <w:widowControl w:val="0"/>
              <w:kinsoku/>
              <w:wordWrap/>
              <w:overflowPunct/>
              <w:topLinePunct w:val="0"/>
              <w:autoSpaceDE/>
              <w:autoSpaceDN/>
              <w:bidi w:val="0"/>
              <w:adjustRightInd/>
              <w:snapToGrid/>
              <w:spacing w:line="226" w:lineRule="auto"/>
              <w:ind w:left="0"/>
              <w:jc w:val="center"/>
              <w:textAlignment w:val="auto"/>
              <w:rPr>
                <w:rFonts w:hint="eastAsia" w:ascii="宋体" w:hAnsi="宋体" w:eastAsia="宋体" w:cs="宋体"/>
                <w:b/>
                <w:bCs/>
                <w:color w:val="auto"/>
                <w:spacing w:val="6"/>
                <w:kern w:val="2"/>
                <w:sz w:val="21"/>
                <w:szCs w:val="21"/>
                <w:highlight w:val="none"/>
                <w:lang w:val="en-US" w:eastAsia="zh-CN" w:bidi="ar-SA"/>
              </w:rPr>
            </w:pPr>
            <w:r>
              <w:rPr>
                <w:rFonts w:hint="eastAsia" w:ascii="宋体" w:hAnsi="宋体" w:eastAsia="宋体" w:cs="宋体"/>
                <w:b/>
                <w:bCs/>
                <w:color w:val="auto"/>
                <w:spacing w:val="6"/>
                <w:kern w:val="2"/>
                <w:sz w:val="21"/>
                <w:szCs w:val="21"/>
                <w:highlight w:val="none"/>
                <w:lang w:val="en-US" w:eastAsia="zh-CN" w:bidi="ar-SA"/>
              </w:rPr>
              <w:t>在岗要求</w:t>
            </w:r>
          </w:p>
        </w:tc>
      </w:tr>
      <w:tr w14:paraId="30A06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256" w:type="dxa"/>
            <w:vMerge w:val="restart"/>
            <w:noWrap w:val="0"/>
            <w:vAlign w:val="center"/>
          </w:tcPr>
          <w:p w14:paraId="6351BD7B">
            <w:pPr>
              <w:pStyle w:val="5"/>
              <w:spacing w:line="240" w:lineRule="exact"/>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5"/>
                <w:sz w:val="21"/>
                <w:szCs w:val="21"/>
                <w:highlight w:val="none"/>
                <w:lang w:eastAsia="zh-CN"/>
              </w:rPr>
              <w:t>FSG-LYH</w:t>
            </w:r>
          </w:p>
        </w:tc>
        <w:tc>
          <w:tcPr>
            <w:tcW w:w="1256" w:type="dxa"/>
            <w:noWrap w:val="0"/>
            <w:vAlign w:val="center"/>
          </w:tcPr>
          <w:p w14:paraId="0FD6C2FA">
            <w:pPr>
              <w:pStyle w:val="15"/>
              <w:spacing w:before="65" w:line="227" w:lineRule="auto"/>
              <w:jc w:val="center"/>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项目经理</w:t>
            </w:r>
          </w:p>
        </w:tc>
        <w:tc>
          <w:tcPr>
            <w:tcW w:w="798" w:type="dxa"/>
            <w:noWrap w:val="0"/>
            <w:vAlign w:val="center"/>
          </w:tcPr>
          <w:p w14:paraId="19B247C3">
            <w:pPr>
              <w:pStyle w:val="15"/>
              <w:spacing w:before="65" w:line="185"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237" w:type="dxa"/>
            <w:noWrap w:val="0"/>
            <w:vAlign w:val="center"/>
          </w:tcPr>
          <w:p w14:paraId="479C8716">
            <w:pPr>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000000"/>
                <w:sz w:val="21"/>
                <w:szCs w:val="21"/>
                <w:highlight w:val="none"/>
              </w:rPr>
              <w:t>具有工程相关专业中级或以上技术职称；持有有效的建筑工程专业二级或以上建造师注册证书或公路工程专业一级建造师注册证书(均需在本单位注册)；</w:t>
            </w:r>
            <w:r>
              <w:rPr>
                <w:rFonts w:hint="eastAsia" w:ascii="宋体" w:hAnsi="宋体" w:eastAsia="宋体" w:cs="宋体"/>
                <w:b w:val="0"/>
                <w:bCs w:val="0"/>
                <w:color w:val="000000"/>
                <w:sz w:val="21"/>
                <w:szCs w:val="21"/>
                <w:highlight w:val="none"/>
                <w:lang w:val="en-US" w:eastAsia="zh-CN"/>
              </w:rPr>
              <w:t>2020</w:t>
            </w:r>
            <w:r>
              <w:rPr>
                <w:rFonts w:hint="eastAsia" w:ascii="宋体" w:hAnsi="宋体" w:eastAsia="宋体" w:cs="宋体"/>
                <w:b w:val="0"/>
                <w:bCs w:val="0"/>
                <w:color w:val="000000"/>
                <w:sz w:val="21"/>
                <w:szCs w:val="21"/>
                <w:highlight w:val="none"/>
              </w:rPr>
              <w:t>年1月1日至投标截止时间（以交工或竣工验收时间为准），担任过1个建筑面积不小于</w:t>
            </w:r>
            <w:r>
              <w:rPr>
                <w:rFonts w:hint="eastAsia" w:ascii="宋体" w:hAnsi="宋体" w:eastAsia="宋体" w:cs="宋体"/>
                <w:b w:val="0"/>
                <w:bCs w:val="0"/>
                <w:color w:val="000000"/>
                <w:sz w:val="21"/>
                <w:szCs w:val="21"/>
                <w:highlight w:val="none"/>
                <w:lang w:val="en-US" w:eastAsia="zh-CN"/>
              </w:rPr>
              <w:t>5</w:t>
            </w:r>
            <w:r>
              <w:rPr>
                <w:rFonts w:hint="eastAsia" w:ascii="宋体" w:hAnsi="宋体" w:eastAsia="宋体" w:cs="宋体"/>
                <w:b w:val="0"/>
                <w:bCs w:val="0"/>
                <w:color w:val="000000"/>
                <w:sz w:val="21"/>
                <w:szCs w:val="21"/>
                <w:highlight w:val="none"/>
              </w:rPr>
              <w:t>000㎡（含）房建工程施工合同段项目经理或担任过1个新建或改扩建高速公路主体工程（</w:t>
            </w:r>
            <w:r>
              <w:rPr>
                <w:rFonts w:hint="eastAsia" w:ascii="宋体" w:hAnsi="宋体" w:eastAsia="宋体" w:cs="宋体"/>
                <w:b w:val="0"/>
                <w:bCs w:val="0"/>
                <w:color w:val="000000"/>
                <w:sz w:val="21"/>
                <w:szCs w:val="21"/>
                <w:highlight w:val="none"/>
                <w:lang w:val="en-US" w:eastAsia="zh-CN"/>
              </w:rPr>
              <w:t>含</w:t>
            </w:r>
            <w:r>
              <w:rPr>
                <w:rFonts w:hint="eastAsia" w:ascii="宋体" w:hAnsi="宋体" w:eastAsia="宋体" w:cs="宋体"/>
                <w:b w:val="0"/>
                <w:bCs w:val="0"/>
                <w:color w:val="000000"/>
                <w:sz w:val="21"/>
                <w:szCs w:val="21"/>
                <w:highlight w:val="none"/>
              </w:rPr>
              <w:t>路基或路面）施工合同段项目经理。持有省级或以上建设主管部门</w:t>
            </w:r>
            <w:r>
              <w:rPr>
                <w:rFonts w:hint="eastAsia" w:ascii="宋体" w:hAnsi="宋体" w:eastAsia="宋体" w:cs="宋体"/>
                <w:b w:val="0"/>
                <w:bCs w:val="0"/>
                <w:color w:val="auto"/>
                <w:sz w:val="21"/>
                <w:szCs w:val="21"/>
                <w:highlight w:val="none"/>
                <w:lang w:val="en-US" w:eastAsia="zh-CN"/>
              </w:rPr>
              <w:t>或</w:t>
            </w:r>
            <w:r>
              <w:rPr>
                <w:rFonts w:hint="eastAsia" w:ascii="宋体" w:hAnsi="宋体" w:eastAsia="宋体" w:cs="宋体"/>
                <w:color w:val="auto"/>
                <w:spacing w:val="7"/>
                <w:sz w:val="21"/>
                <w:szCs w:val="21"/>
                <w:highlight w:val="none"/>
              </w:rPr>
              <w:t>省级交通运输主管部门</w:t>
            </w:r>
            <w:r>
              <w:rPr>
                <w:rFonts w:hint="eastAsia" w:ascii="宋体" w:hAnsi="宋体" w:eastAsia="宋体" w:cs="宋体"/>
                <w:b w:val="0"/>
                <w:bCs w:val="0"/>
                <w:color w:val="000000"/>
                <w:sz w:val="21"/>
                <w:szCs w:val="21"/>
                <w:highlight w:val="none"/>
              </w:rPr>
              <w:t>核发有效的B类安全生产考核合格证书。</w:t>
            </w:r>
          </w:p>
        </w:tc>
        <w:tc>
          <w:tcPr>
            <w:tcW w:w="1962" w:type="dxa"/>
            <w:vMerge w:val="restart"/>
            <w:tcBorders>
              <w:right w:val="single" w:color="auto" w:sz="4" w:space="0"/>
            </w:tcBorders>
            <w:noWrap w:val="0"/>
            <w:vAlign w:val="center"/>
          </w:tcPr>
          <w:p w14:paraId="54C9ABA6">
            <w:pPr>
              <w:pStyle w:val="15"/>
              <w:spacing w:before="65" w:line="284" w:lineRule="auto"/>
              <w:ind w:right="24"/>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5"/>
                <w:sz w:val="21"/>
                <w:szCs w:val="21"/>
                <w:highlight w:val="none"/>
                <w:lang w:eastAsia="zh-CN"/>
              </w:rPr>
              <w:t>无在岗项目（指</w:t>
            </w:r>
            <w:r>
              <w:rPr>
                <w:rFonts w:hint="eastAsia" w:ascii="宋体" w:hAnsi="宋体" w:eastAsia="宋体" w:cs="宋体"/>
                <w:color w:val="auto"/>
                <w:spacing w:val="28"/>
                <w:sz w:val="21"/>
                <w:szCs w:val="21"/>
                <w:highlight w:val="none"/>
                <w:lang w:eastAsia="zh-CN"/>
              </w:rPr>
              <w:t>目前未在其他</w:t>
            </w:r>
            <w:r>
              <w:rPr>
                <w:rFonts w:hint="eastAsia" w:ascii="宋体" w:hAnsi="宋体" w:eastAsia="宋体" w:cs="宋体"/>
                <w:color w:val="auto"/>
                <w:spacing w:val="-5"/>
                <w:sz w:val="21"/>
                <w:szCs w:val="21"/>
                <w:highlight w:val="none"/>
                <w:lang w:eastAsia="zh-CN"/>
              </w:rPr>
              <w:t>项目上任职，或</w:t>
            </w:r>
            <w:r>
              <w:rPr>
                <w:rFonts w:hint="eastAsia" w:ascii="宋体" w:hAnsi="宋体" w:eastAsia="宋体" w:cs="宋体"/>
                <w:color w:val="auto"/>
                <w:spacing w:val="14"/>
                <w:sz w:val="21"/>
                <w:szCs w:val="21"/>
                <w:highlight w:val="none"/>
                <w:lang w:eastAsia="zh-CN"/>
              </w:rPr>
              <w:t>虽在其他项目</w:t>
            </w:r>
            <w:r>
              <w:rPr>
                <w:rFonts w:hint="eastAsia" w:ascii="宋体" w:hAnsi="宋体" w:eastAsia="宋体" w:cs="宋体"/>
                <w:color w:val="auto"/>
                <w:spacing w:val="28"/>
                <w:sz w:val="21"/>
                <w:szCs w:val="21"/>
                <w:highlight w:val="none"/>
                <w:lang w:eastAsia="zh-CN"/>
              </w:rPr>
              <w:t>上任职但本项</w:t>
            </w:r>
            <w:r>
              <w:rPr>
                <w:rFonts w:hint="eastAsia" w:ascii="宋体" w:hAnsi="宋体" w:eastAsia="宋体" w:cs="宋体"/>
                <w:color w:val="auto"/>
                <w:spacing w:val="8"/>
                <w:sz w:val="21"/>
                <w:szCs w:val="21"/>
                <w:highlight w:val="none"/>
                <w:lang w:eastAsia="zh-CN"/>
              </w:rPr>
              <w:t>目中标后能够</w:t>
            </w:r>
            <w:r>
              <w:rPr>
                <w:rFonts w:hint="eastAsia" w:ascii="宋体" w:hAnsi="宋体" w:eastAsia="宋体" w:cs="宋体"/>
                <w:color w:val="auto"/>
                <w:spacing w:val="7"/>
                <w:sz w:val="21"/>
                <w:szCs w:val="21"/>
                <w:highlight w:val="none"/>
                <w:lang w:eastAsia="zh-CN"/>
              </w:rPr>
              <w:t>从该项目撤离）</w:t>
            </w:r>
          </w:p>
        </w:tc>
      </w:tr>
      <w:tr w14:paraId="205F93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0" w:hRule="atLeast"/>
          <w:jc w:val="center"/>
        </w:trPr>
        <w:tc>
          <w:tcPr>
            <w:tcW w:w="1256" w:type="dxa"/>
            <w:vMerge w:val="continue"/>
            <w:noWrap w:val="0"/>
            <w:vAlign w:val="center"/>
          </w:tcPr>
          <w:p w14:paraId="49A2A953">
            <w:pPr>
              <w:pStyle w:val="15"/>
              <w:spacing w:before="65" w:line="227" w:lineRule="auto"/>
              <w:jc w:val="center"/>
              <w:rPr>
                <w:rFonts w:hint="eastAsia" w:ascii="宋体" w:hAnsi="宋体" w:eastAsia="宋体" w:cs="宋体"/>
                <w:color w:val="auto"/>
                <w:spacing w:val="6"/>
                <w:sz w:val="21"/>
                <w:szCs w:val="21"/>
                <w:highlight w:val="none"/>
                <w:lang w:eastAsia="zh-CN"/>
              </w:rPr>
            </w:pPr>
          </w:p>
        </w:tc>
        <w:tc>
          <w:tcPr>
            <w:tcW w:w="1256" w:type="dxa"/>
            <w:noWrap w:val="0"/>
            <w:vAlign w:val="center"/>
          </w:tcPr>
          <w:p w14:paraId="32BD9FDC">
            <w:pPr>
              <w:pStyle w:val="15"/>
              <w:spacing w:before="65" w:line="227" w:lineRule="auto"/>
              <w:jc w:val="center"/>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项目总工</w:t>
            </w:r>
          </w:p>
        </w:tc>
        <w:tc>
          <w:tcPr>
            <w:tcW w:w="798" w:type="dxa"/>
            <w:noWrap w:val="0"/>
            <w:vAlign w:val="center"/>
          </w:tcPr>
          <w:p w14:paraId="574AB9E5">
            <w:pPr>
              <w:pStyle w:val="15"/>
              <w:spacing w:before="65" w:line="185"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237" w:type="dxa"/>
            <w:noWrap w:val="0"/>
            <w:vAlign w:val="center"/>
          </w:tcPr>
          <w:p w14:paraId="264EF113">
            <w:pPr>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000000"/>
                <w:sz w:val="21"/>
                <w:szCs w:val="21"/>
                <w:highlight w:val="none"/>
              </w:rPr>
              <w:t>具有工程相关专业高级或以上技术职称，</w:t>
            </w:r>
            <w:r>
              <w:rPr>
                <w:rFonts w:hint="eastAsia" w:ascii="宋体" w:hAnsi="宋体" w:eastAsia="宋体" w:cs="宋体"/>
                <w:b w:val="0"/>
                <w:bCs w:val="0"/>
                <w:color w:val="000000"/>
                <w:sz w:val="21"/>
                <w:szCs w:val="21"/>
                <w:highlight w:val="none"/>
                <w:lang w:val="en-US" w:eastAsia="zh-CN"/>
              </w:rPr>
              <w:t>2020</w:t>
            </w:r>
            <w:r>
              <w:rPr>
                <w:rFonts w:hint="eastAsia" w:ascii="宋体" w:hAnsi="宋体" w:eastAsia="宋体" w:cs="宋体"/>
                <w:b w:val="0"/>
                <w:bCs w:val="0"/>
                <w:color w:val="000000"/>
                <w:sz w:val="21"/>
                <w:szCs w:val="21"/>
                <w:highlight w:val="none"/>
              </w:rPr>
              <w:t>年1月1日至投标截止时间（以交工或竣工验收时间为准），担任过1个建筑面积不小于</w:t>
            </w:r>
            <w:r>
              <w:rPr>
                <w:rFonts w:hint="eastAsia" w:ascii="宋体" w:hAnsi="宋体" w:eastAsia="宋体" w:cs="宋体"/>
                <w:b w:val="0"/>
                <w:bCs w:val="0"/>
                <w:color w:val="000000"/>
                <w:sz w:val="21"/>
                <w:szCs w:val="21"/>
                <w:highlight w:val="none"/>
                <w:lang w:val="en-US" w:eastAsia="zh-CN"/>
              </w:rPr>
              <w:t>5</w:t>
            </w:r>
            <w:r>
              <w:rPr>
                <w:rFonts w:hint="eastAsia" w:ascii="宋体" w:hAnsi="宋体" w:eastAsia="宋体" w:cs="宋体"/>
                <w:b w:val="0"/>
                <w:bCs w:val="0"/>
                <w:color w:val="000000"/>
                <w:sz w:val="21"/>
                <w:szCs w:val="21"/>
                <w:highlight w:val="none"/>
              </w:rPr>
              <w:t>000㎡（含）房建工程施工合同段项目总工或担任过1个新建或改扩建高速公路主体工程（</w:t>
            </w:r>
            <w:r>
              <w:rPr>
                <w:rFonts w:hint="eastAsia" w:ascii="宋体" w:hAnsi="宋体" w:eastAsia="宋体" w:cs="宋体"/>
                <w:b w:val="0"/>
                <w:bCs w:val="0"/>
                <w:color w:val="000000"/>
                <w:sz w:val="21"/>
                <w:szCs w:val="21"/>
                <w:highlight w:val="none"/>
                <w:lang w:val="en-US" w:eastAsia="zh-CN"/>
              </w:rPr>
              <w:t>含</w:t>
            </w:r>
            <w:r>
              <w:rPr>
                <w:rFonts w:hint="eastAsia" w:ascii="宋体" w:hAnsi="宋体" w:eastAsia="宋体" w:cs="宋体"/>
                <w:b w:val="0"/>
                <w:bCs w:val="0"/>
                <w:color w:val="000000"/>
                <w:sz w:val="21"/>
                <w:szCs w:val="21"/>
                <w:highlight w:val="none"/>
              </w:rPr>
              <w:t>路基或路面）施工合同段项目总工。持有省级或以上建设主管部门</w:t>
            </w:r>
            <w:r>
              <w:rPr>
                <w:rFonts w:hint="eastAsia" w:ascii="宋体" w:hAnsi="宋体" w:eastAsia="宋体" w:cs="宋体"/>
                <w:b w:val="0"/>
                <w:bCs w:val="0"/>
                <w:color w:val="auto"/>
                <w:sz w:val="21"/>
                <w:szCs w:val="21"/>
                <w:highlight w:val="none"/>
                <w:lang w:val="en-US" w:eastAsia="zh-CN"/>
              </w:rPr>
              <w:t>或</w:t>
            </w:r>
            <w:r>
              <w:rPr>
                <w:rFonts w:hint="eastAsia" w:ascii="宋体" w:hAnsi="宋体" w:eastAsia="宋体" w:cs="宋体"/>
                <w:color w:val="auto"/>
                <w:spacing w:val="7"/>
                <w:sz w:val="21"/>
                <w:szCs w:val="21"/>
                <w:highlight w:val="none"/>
              </w:rPr>
              <w:t>省级交通运输主管部门</w:t>
            </w:r>
            <w:r>
              <w:rPr>
                <w:rFonts w:hint="eastAsia" w:ascii="宋体" w:hAnsi="宋体" w:eastAsia="宋体" w:cs="宋体"/>
                <w:b w:val="0"/>
                <w:bCs w:val="0"/>
                <w:color w:val="000000"/>
                <w:sz w:val="21"/>
                <w:szCs w:val="21"/>
                <w:highlight w:val="none"/>
              </w:rPr>
              <w:t>核发有效的B类安全生产考核合格证书。</w:t>
            </w:r>
          </w:p>
        </w:tc>
        <w:tc>
          <w:tcPr>
            <w:tcW w:w="1962" w:type="dxa"/>
            <w:vMerge w:val="continue"/>
            <w:tcBorders>
              <w:right w:val="single" w:color="auto" w:sz="4" w:space="0"/>
            </w:tcBorders>
            <w:noWrap w:val="0"/>
            <w:vAlign w:val="center"/>
          </w:tcPr>
          <w:p w14:paraId="188F8103">
            <w:pPr>
              <w:jc w:val="center"/>
              <w:rPr>
                <w:rFonts w:hint="eastAsia" w:ascii="宋体" w:hAnsi="宋体" w:eastAsia="宋体" w:cs="宋体"/>
                <w:color w:val="auto"/>
                <w:sz w:val="21"/>
                <w:szCs w:val="21"/>
                <w:highlight w:val="none"/>
                <w:lang w:eastAsia="zh-CN"/>
              </w:rPr>
            </w:pPr>
          </w:p>
        </w:tc>
      </w:tr>
    </w:tbl>
    <w:p w14:paraId="6C8BA38B">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拟投入的其他管理人员和技术人员在投标时不需填报，但须按招标文件中规定的格式、内容和要求做出相关承诺。具体的人员名单在合同谈判期间确定，但必须满足招标文件中规定的数量及资格要求，作为合同文件的组成部分，是招标人进行履约检查的依据。</w:t>
      </w:r>
    </w:p>
    <w:p w14:paraId="3B00095C">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拟投入的主要机械设备、主要试验检测设备，在投标时不需填报，但须按招标文件中规定的格式、内容和要求做出相关承诺。具体的主要机械设备清单、主要试验检测设备清单在合同谈判期间确定，但必须满足招标文件中规定的数量及性能要求，是合同文件的组成部分，作为招标人进行履约检查的依据。</w:t>
      </w:r>
    </w:p>
    <w:p w14:paraId="2A159BD5">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2.本次招标允许联合体投标。本项目根据工程内容和相应的资质要求，划分为2个类别专业分工：房建工程施工专业、公路工程施工专业。组成联合体投标的投标人，必须满足下列要求：</w:t>
      </w:r>
    </w:p>
    <w:p w14:paraId="2B36C6B1">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联合体各成员均应具备独立法人资格，且持有有效的安全生产许可证，成员最多2家(含2家）单位，联合体牵头人应为承担房建工程或公路工程施工专业分工的单位，项目经理和项目总工须为联合体牵头人所属员工。</w:t>
      </w:r>
    </w:p>
    <w:p w14:paraId="4E364537">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（2）同一专业分工只允许由一家单位承担，按照各单位相应业绩之和确定联合体具有的业绩。</w:t>
      </w:r>
    </w:p>
    <w:p w14:paraId="604550E9">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（3）联合体各方不得再以自己的名义单独或参加其他联合体在同一标段中投标。</w:t>
      </w:r>
    </w:p>
    <w:p w14:paraId="3A37CB36">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（4）联合体各方以及与其具有关联关系（单位负责人为同一人或存在控股、管理关系）的单位，不得再以自己名义单独或参加其他联合体在本次投标。</w:t>
      </w:r>
    </w:p>
    <w:p w14:paraId="746EBEB5">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（5）联合体各方应按规定的格式签订联合体协议书，明确联合体牵头人和各方权利义务，并承诺就中标项目向招标人承担连带责任。</w:t>
      </w:r>
    </w:p>
    <w:p w14:paraId="08A3A005">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独立投标的投标人及联合体中承担公路专业分工的联合体成员应进入交通运输部“全国公路建设市场监督管理系统”中的公路工程施工资质企业名录，且投标人名称和资质与该名录中的相应企业名称和资质完全一致。</w:t>
      </w:r>
    </w:p>
    <w:p w14:paraId="24B23803">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独立投标的投标人及联合体中承担房建工程施工专业分工的联合体成员应进入住房和城乡建设部“全国建筑市场监管公共服务平台”企业数据库，且投标人名称和资质与其中的相应企业名称和资质完全一致。</w:t>
      </w:r>
    </w:p>
    <w:p w14:paraId="0E20D722">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4.与招标人存在利害关系可能影响招标公正性的单位，不得参加投标。单位负责人为同一人或存在控股、管理关系的不同单位，不得同时参加同一标段的投标，否则相关投标均无效。</w:t>
      </w:r>
    </w:p>
    <w:p w14:paraId="352B5995">
      <w:pPr>
        <w:pStyle w:val="5"/>
        <w:keepNext w:val="0"/>
        <w:keepLines w:val="0"/>
        <w:pageBreakBefore w:val="0"/>
        <w:widowControl/>
        <w:kinsoku w:val="0"/>
        <w:wordWrap/>
        <w:overflowPunct/>
        <w:topLinePunct w:val="0"/>
        <w:autoSpaceDE w:val="0"/>
        <w:autoSpaceDN w:val="0"/>
        <w:bidi w:val="0"/>
        <w:adjustRightInd w:val="0"/>
        <w:snapToGrid w:val="0"/>
        <w:spacing w:line="5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5.在“信用中国”网站中被列入失信被执行人名单的投标人，不得参加投标。</w:t>
      </w:r>
    </w:p>
    <w:p w14:paraId="6DFC8603">
      <w:pPr>
        <w:keepNext w:val="0"/>
        <w:keepLines w:val="0"/>
        <w:pageBreakBefore w:val="0"/>
        <w:wordWrap/>
        <w:overflowPunct/>
        <w:topLinePunct w:val="0"/>
        <w:bidi w:val="0"/>
        <w:spacing w:line="5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6.投标保证金：每标段人民币50万元，现金或银行保函。以联合体形式投标的，由联合体牵头人递交投标保证金。</w:t>
      </w:r>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tbl>
      <w:tblPr>
        <w:tblStyle w:val="8"/>
        <w:tblW w:w="9338"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 w:type="dxa"/>
          <w:bottom w:w="0" w:type="dxa"/>
          <w:right w:w="10" w:type="dxa"/>
        </w:tblCellMar>
      </w:tblPr>
      <w:tblGrid>
        <w:gridCol w:w="1037"/>
        <w:gridCol w:w="1684"/>
        <w:gridCol w:w="6617"/>
      </w:tblGrid>
      <w:tr w14:paraId="48C9E8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269" w:hRule="atLeast"/>
          <w:tblHeader/>
        </w:trPr>
        <w:tc>
          <w:tcPr>
            <w:tcW w:w="2721" w:type="dxa"/>
            <w:gridSpan w:val="2"/>
            <w:shd w:val="clear" w:color="auto" w:fill="FFFFFF"/>
            <w:vAlign w:val="center"/>
          </w:tcPr>
          <w:p w14:paraId="69FA8F67">
            <w:pPr>
              <w:pStyle w:val="19"/>
              <w:shd w:val="clear" w:color="auto"/>
              <w:spacing w:before="0" w:after="0" w:line="40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条款号</w:t>
            </w:r>
          </w:p>
        </w:tc>
        <w:tc>
          <w:tcPr>
            <w:tcW w:w="6617" w:type="dxa"/>
            <w:tcBorders>
              <w:left w:val="single" w:color="auto" w:sz="4" w:space="0"/>
            </w:tcBorders>
            <w:shd w:val="clear" w:color="auto" w:fill="FFFFFF"/>
            <w:vAlign w:val="center"/>
          </w:tcPr>
          <w:p w14:paraId="253C6D93">
            <w:pPr>
              <w:pStyle w:val="19"/>
              <w:shd w:val="clear" w:color="auto"/>
              <w:spacing w:before="0" w:after="0" w:line="40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评审因素与评审标准</w:t>
            </w:r>
          </w:p>
        </w:tc>
      </w:tr>
      <w:tr w14:paraId="2B800F2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2367" w:hRule="atLeast"/>
        </w:trPr>
        <w:tc>
          <w:tcPr>
            <w:tcW w:w="1037" w:type="dxa"/>
            <w:tcBorders>
              <w:top w:val="single" w:color="auto" w:sz="4" w:space="0"/>
            </w:tcBorders>
            <w:shd w:val="clear" w:color="auto" w:fill="FFFFFF"/>
            <w:vAlign w:val="center"/>
          </w:tcPr>
          <w:p w14:paraId="7A40408F">
            <w:pPr>
              <w:pStyle w:val="19"/>
              <w:shd w:val="clear" w:color="auto"/>
              <w:spacing w:before="0" w:after="0" w:line="36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lang w:val="zh-TW"/>
              </w:rPr>
              <w:t>1</w:t>
            </w:r>
          </w:p>
        </w:tc>
        <w:tc>
          <w:tcPr>
            <w:tcW w:w="1684" w:type="dxa"/>
            <w:tcBorders>
              <w:top w:val="single" w:color="auto" w:sz="4" w:space="0"/>
              <w:left w:val="single" w:color="auto" w:sz="4" w:space="0"/>
            </w:tcBorders>
            <w:shd w:val="clear" w:color="auto" w:fill="FFFFFF"/>
            <w:vAlign w:val="center"/>
          </w:tcPr>
          <w:p w14:paraId="4CF1C649">
            <w:pPr>
              <w:pStyle w:val="19"/>
              <w:shd w:val="clear" w:color="auto"/>
              <w:spacing w:before="0" w:after="0" w:line="36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评标</w:t>
            </w:r>
            <w:r>
              <w:rPr>
                <w:rStyle w:val="20"/>
                <w:rFonts w:hint="eastAsia" w:ascii="宋体" w:hAnsi="宋体" w:eastAsia="宋体" w:cs="宋体"/>
                <w:i w:val="0"/>
                <w:color w:val="auto"/>
                <w:spacing w:val="0"/>
                <w:sz w:val="21"/>
                <w:szCs w:val="21"/>
                <w:lang w:val="zh-TW"/>
              </w:rPr>
              <w:t>方法</w:t>
            </w:r>
          </w:p>
        </w:tc>
        <w:tc>
          <w:tcPr>
            <w:tcW w:w="6617" w:type="dxa"/>
            <w:tcBorders>
              <w:top w:val="single" w:color="auto" w:sz="4" w:space="0"/>
              <w:left w:val="single" w:color="auto" w:sz="4" w:space="0"/>
            </w:tcBorders>
            <w:shd w:val="clear" w:color="auto" w:fill="FFFFFF"/>
            <w:vAlign w:val="center"/>
          </w:tcPr>
          <w:p w14:paraId="010592BA">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本次评标采用技术评分最低标价法，资格后审。</w:t>
            </w:r>
          </w:p>
          <w:p w14:paraId="1D59DF66">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评标委员会对满足招标文件实质性要求的投标文件的施工组织设计、主要管理人员、技术能力、履约信誉、业绩等因素进行评分，按照得分由高到低排序，对排名前6名的投标人的报价文件进行评审，按照评标价由低到高的顺序推荐中标候选人。</w:t>
            </w:r>
          </w:p>
          <w:p w14:paraId="3748FDD6">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highlight w:val="none"/>
              </w:rPr>
            </w:pPr>
            <w:r>
              <w:rPr>
                <w:rStyle w:val="20"/>
                <w:rFonts w:hint="eastAsia" w:ascii="宋体" w:hAnsi="宋体" w:eastAsia="宋体" w:cs="宋体"/>
                <w:i w:val="0"/>
                <w:color w:val="auto"/>
                <w:spacing w:val="0"/>
                <w:sz w:val="21"/>
                <w:szCs w:val="21"/>
                <w:highlight w:val="none"/>
                <w:lang w:val="en-US" w:eastAsia="zh-CN"/>
              </w:rPr>
              <w:t>评标价</w:t>
            </w:r>
            <w:r>
              <w:rPr>
                <w:rStyle w:val="20"/>
                <w:rFonts w:hint="eastAsia" w:ascii="宋体" w:hAnsi="宋体" w:eastAsia="宋体" w:cs="宋体"/>
                <w:i w:val="0"/>
                <w:color w:val="auto"/>
                <w:spacing w:val="0"/>
                <w:sz w:val="21"/>
                <w:szCs w:val="21"/>
                <w:highlight w:val="none"/>
              </w:rPr>
              <w:t>相等时，评标委员会依次按照以下优先顺序推荐中标候选人：</w:t>
            </w:r>
          </w:p>
          <w:p w14:paraId="6F75238B">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sz w:val="21"/>
                <w:szCs w:val="21"/>
                <w:highlight w:val="none"/>
                <w:lang w:val="en-US" w:eastAsia="en-US"/>
              </w:rPr>
            </w:pPr>
            <w:r>
              <w:rPr>
                <w:rFonts w:hint="eastAsia" w:ascii="宋体" w:hAnsi="宋体" w:eastAsia="宋体" w:cs="宋体"/>
                <w:iCs/>
                <w:sz w:val="21"/>
                <w:szCs w:val="21"/>
                <w:highlight w:val="none"/>
                <w:lang w:val="en-US" w:eastAsia="zh-CN"/>
              </w:rPr>
              <w:t>（1）履约信誉得分较高的投标人优先；</w:t>
            </w:r>
          </w:p>
          <w:p w14:paraId="3065377F">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sz w:val="21"/>
                <w:szCs w:val="21"/>
                <w:highlight w:val="none"/>
                <w:lang w:val="en-US" w:eastAsia="en-US"/>
              </w:rPr>
            </w:pPr>
            <w:r>
              <w:rPr>
                <w:rFonts w:hint="eastAsia" w:ascii="宋体" w:hAnsi="宋体" w:eastAsia="宋体" w:cs="宋体"/>
                <w:iCs/>
                <w:sz w:val="21"/>
                <w:szCs w:val="21"/>
                <w:highlight w:val="none"/>
                <w:lang w:val="en-US" w:eastAsia="zh-CN"/>
              </w:rPr>
              <w:t>（2）商务和技术得分较高的投标人优先；</w:t>
            </w:r>
          </w:p>
          <w:p w14:paraId="24176DEE">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sz w:val="21"/>
                <w:szCs w:val="21"/>
              </w:rPr>
            </w:pPr>
            <w:r>
              <w:rPr>
                <w:rFonts w:hint="eastAsia" w:ascii="宋体" w:hAnsi="宋体" w:eastAsia="宋体" w:cs="宋体"/>
                <w:iCs/>
                <w:sz w:val="21"/>
                <w:szCs w:val="21"/>
                <w:highlight w:val="none"/>
                <w:lang w:val="en-US" w:eastAsia="zh-CN"/>
              </w:rPr>
              <w:t>（3）施工组织设计得分较高的投标人优先。</w:t>
            </w:r>
          </w:p>
        </w:tc>
      </w:tr>
      <w:tr w14:paraId="20B1554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865" w:hRule="atLeast"/>
        </w:trPr>
        <w:tc>
          <w:tcPr>
            <w:tcW w:w="1037" w:type="dxa"/>
            <w:tcBorders>
              <w:top w:val="single" w:color="auto" w:sz="4" w:space="0"/>
            </w:tcBorders>
            <w:shd w:val="clear" w:color="auto" w:fill="FFFFFF"/>
            <w:vAlign w:val="center"/>
          </w:tcPr>
          <w:p w14:paraId="59DA1D7C">
            <w:pPr>
              <w:pStyle w:val="19"/>
              <w:shd w:val="clear" w:color="auto"/>
              <w:spacing w:before="0" w:after="0" w:line="36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2.1.1</w:t>
            </w:r>
          </w:p>
          <w:p w14:paraId="1DDBAB46">
            <w:pPr>
              <w:pStyle w:val="19"/>
              <w:shd w:val="clear" w:color="auto"/>
              <w:spacing w:before="0" w:after="0" w:line="360" w:lineRule="exact"/>
              <w:rPr>
                <w:rFonts w:hint="eastAsia" w:ascii="宋体" w:hAnsi="宋体" w:eastAsia="宋体" w:cs="宋体"/>
                <w:iCs/>
                <w:kern w:val="2"/>
                <w:sz w:val="21"/>
                <w:szCs w:val="21"/>
                <w:lang w:val="zh-TW" w:eastAsia="zh-CN" w:bidi="ar-SA"/>
              </w:rPr>
            </w:pPr>
            <w:r>
              <w:rPr>
                <w:rStyle w:val="20"/>
                <w:rFonts w:hint="eastAsia" w:ascii="宋体" w:hAnsi="宋体" w:eastAsia="宋体" w:cs="宋体"/>
                <w:i w:val="0"/>
                <w:color w:val="auto"/>
                <w:spacing w:val="0"/>
                <w:sz w:val="21"/>
                <w:szCs w:val="21"/>
              </w:rPr>
              <w:t>2.1.3</w:t>
            </w:r>
          </w:p>
        </w:tc>
        <w:tc>
          <w:tcPr>
            <w:tcW w:w="1684" w:type="dxa"/>
            <w:tcBorders>
              <w:top w:val="single" w:color="auto" w:sz="4" w:space="0"/>
              <w:left w:val="single" w:color="auto" w:sz="4" w:space="0"/>
            </w:tcBorders>
            <w:shd w:val="clear" w:color="auto" w:fill="FFFFFF"/>
            <w:vAlign w:val="center"/>
          </w:tcPr>
          <w:p w14:paraId="33F1F39F">
            <w:pPr>
              <w:pStyle w:val="19"/>
              <w:shd w:val="clear" w:color="auto"/>
              <w:spacing w:before="0" w:after="0" w:line="360" w:lineRule="exact"/>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形式评审与</w:t>
            </w:r>
          </w:p>
          <w:p w14:paraId="7B64C6C1">
            <w:pPr>
              <w:pStyle w:val="19"/>
              <w:shd w:val="clear" w:color="auto"/>
              <w:spacing w:before="0" w:after="0" w:line="360" w:lineRule="exact"/>
              <w:rPr>
                <w:rFonts w:hint="eastAsia" w:ascii="宋体" w:hAnsi="宋体" w:eastAsia="宋体" w:cs="宋体"/>
                <w:iCs/>
                <w:kern w:val="2"/>
                <w:sz w:val="21"/>
                <w:szCs w:val="21"/>
                <w:lang w:val="en-US" w:eastAsia="zh-CN" w:bidi="ar-SA"/>
              </w:rPr>
            </w:pPr>
            <w:r>
              <w:rPr>
                <w:rStyle w:val="20"/>
                <w:rFonts w:hint="eastAsia" w:ascii="宋体" w:hAnsi="宋体" w:eastAsia="宋体" w:cs="宋体"/>
                <w:i w:val="0"/>
                <w:color w:val="auto"/>
                <w:spacing w:val="0"/>
                <w:sz w:val="21"/>
                <w:szCs w:val="21"/>
              </w:rPr>
              <w:t>响应性评审标准</w:t>
            </w:r>
          </w:p>
        </w:tc>
        <w:tc>
          <w:tcPr>
            <w:tcW w:w="6617" w:type="dxa"/>
            <w:tcBorders>
              <w:top w:val="single" w:color="auto" w:sz="4" w:space="0"/>
              <w:left w:val="single" w:color="auto" w:sz="4" w:space="0"/>
            </w:tcBorders>
            <w:shd w:val="clear" w:color="auto" w:fill="FFFFFF"/>
            <w:vAlign w:val="top"/>
          </w:tcPr>
          <w:p w14:paraId="48769270">
            <w:pPr>
              <w:pStyle w:val="19"/>
              <w:keepNext w:val="0"/>
              <w:keepLines w:val="0"/>
              <w:pageBreakBefore w:val="0"/>
              <w:widowControl w:val="0"/>
              <w:shd w:val="clear" w:color="auto"/>
              <w:kinsoku/>
              <w:wordWrap/>
              <w:overflowPunct/>
              <w:topLinePunct w:val="0"/>
              <w:autoSpaceDE/>
              <w:autoSpaceDN/>
              <w:bidi w:val="0"/>
              <w:adjustRightInd/>
              <w:snapToGrid/>
              <w:spacing w:before="157" w:beforeLines="50" w:after="0" w:line="320" w:lineRule="exact"/>
              <w:ind w:right="82" w:rightChars="39" w:firstLine="210" w:firstLineChars="1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第一个信封（商务及技术文件）评审标准：</w:t>
            </w:r>
          </w:p>
          <w:p w14:paraId="665E48E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（1）投标文件按照招标文件规定的格式、内容填写，字迹清晰可辨：</w:t>
            </w:r>
          </w:p>
          <w:p w14:paraId="3172C17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a.投标函按招标文件规定填报了项目名称、标段号、补遗书编号（如有）、工期、工程质量要求及安全目标；投标文件填写的项目名称、标段号与招标项目一致。</w:t>
            </w:r>
          </w:p>
          <w:p w14:paraId="65C9837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b.投标函附录的所有数据均符合招标文件规定；</w:t>
            </w:r>
          </w:p>
          <w:p w14:paraId="753C6D67">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c.投标文件组成齐全完整，内容均按规定填写。</w:t>
            </w:r>
          </w:p>
          <w:p w14:paraId="39A383C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（2）投标文件上法定代表人或其委托代理人的签字、投标人的单位章盖章齐全，符合招标文件规定。</w:t>
            </w:r>
          </w:p>
          <w:p w14:paraId="0DBA668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（3）投标人按照招标文件的规定提供了投标保证金：</w:t>
            </w:r>
          </w:p>
          <w:p w14:paraId="2BC9B8C0">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a.投标保证金金额符合招标文件规定的金额，且投标保证金有效期不少于投标有效期；</w:t>
            </w:r>
          </w:p>
          <w:p w14:paraId="6860B892">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b.若投标保证金釆用现金或支票形式提交，投标人应在递交投标文件截止时间之前，将投标保证金由投标人的基本账户转入招标人指定账户；</w:t>
            </w:r>
          </w:p>
          <w:p w14:paraId="21A4B56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c.若投标保证金采用银行保函形式提交，银行保函的格式、开具保函的银行均满足招标文件要求，且在递交投标文件截止时间之前向招标人提交了银行保函原件。</w:t>
            </w:r>
          </w:p>
          <w:p w14:paraId="41CE23C0">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（4）投标人法定代表人授权委托代理人签署投标文件的，需提交授权委托书，且授权人和被授权人均在授权委托书上签名。</w:t>
            </w:r>
          </w:p>
          <w:p w14:paraId="675BFD48">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（5）投标人法定代表人亲自签署投标文件的，提供了法定代表人身份证明，且法定代表人在法定代表人身份证明上签名。</w:t>
            </w:r>
          </w:p>
          <w:p w14:paraId="14E12B6D">
            <w:pPr>
              <w:pStyle w:val="19"/>
              <w:keepNext w:val="0"/>
              <w:keepLines w:val="0"/>
              <w:pageBreakBefore w:val="0"/>
              <w:widowControl w:val="0"/>
              <w:shd w:val="clear" w:color="auto" w:fill="FFFFFF"/>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default"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 xml:space="preserve">（6）投标人以联合体投标时，联合体满足招标文件的要求： a.投标人 </w:t>
            </w:r>
            <w:r>
              <w:rPr>
                <w:rStyle w:val="20"/>
                <w:rFonts w:hint="default" w:ascii="宋体" w:hAnsi="宋体" w:eastAsia="宋体" w:cs="宋体"/>
                <w:i w:val="0"/>
                <w:color w:val="auto"/>
                <w:spacing w:val="0"/>
                <w:sz w:val="21"/>
                <w:szCs w:val="21"/>
                <w:lang w:val="en-US" w:eastAsia="zh-CN"/>
              </w:rPr>
              <w:t>按照招标文件提供的格式签订了联合体协议书，明确各方承担连带责任 ，并明确了联合体牵头人，且联合体的组成符合招标文件规定； b.联合体各方分别按照招标文件要求，填写投标文件中的相应表格</w:t>
            </w:r>
          </w:p>
          <w:p w14:paraId="550ADE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7</w:t>
            </w:r>
            <w:r>
              <w:rPr>
                <w:rStyle w:val="20"/>
                <w:rFonts w:hint="eastAsia" w:ascii="宋体" w:hAnsi="宋体" w:eastAsia="宋体" w:cs="宋体"/>
                <w:i w:val="0"/>
                <w:color w:val="auto"/>
                <w:spacing w:val="0"/>
                <w:sz w:val="21"/>
                <w:szCs w:val="21"/>
              </w:rPr>
              <w:t>）投标人如有分包计划 ，符合招标文件第二章“投标人须知 ”第1.11款规定 ，且按招标文件第九章“投标文件格式 ”的要求填写了“拟分包项目情况表 ”。</w:t>
            </w:r>
          </w:p>
          <w:p w14:paraId="18196599">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lang w:eastAsia="zh-CN"/>
              </w:rPr>
              <w:t>（</w:t>
            </w:r>
            <w:r>
              <w:rPr>
                <w:rStyle w:val="20"/>
                <w:rFonts w:hint="eastAsia" w:cs="宋体"/>
                <w:i w:val="0"/>
                <w:color w:val="auto"/>
                <w:spacing w:val="0"/>
                <w:sz w:val="21"/>
                <w:szCs w:val="21"/>
                <w:lang w:val="en-US" w:eastAsia="zh-CN"/>
              </w:rPr>
              <w:t>8</w:t>
            </w:r>
            <w:r>
              <w:rPr>
                <w:rStyle w:val="20"/>
                <w:rFonts w:hint="eastAsia" w:ascii="宋体" w:hAnsi="宋体" w:eastAsia="宋体" w:cs="宋体"/>
                <w:i w:val="0"/>
                <w:color w:val="auto"/>
                <w:spacing w:val="0"/>
                <w:sz w:val="21"/>
                <w:szCs w:val="21"/>
                <w:lang w:eastAsia="zh-CN"/>
              </w:rPr>
              <w:t>）</w:t>
            </w:r>
            <w:r>
              <w:rPr>
                <w:rStyle w:val="20"/>
                <w:rFonts w:hint="eastAsia" w:ascii="宋体" w:hAnsi="宋体" w:eastAsia="宋体" w:cs="宋体"/>
                <w:i w:val="0"/>
                <w:color w:val="auto"/>
                <w:spacing w:val="0"/>
                <w:sz w:val="21"/>
                <w:szCs w:val="21"/>
              </w:rPr>
              <w:t>同一投标人未提交两个以上不同的投标文件。</w:t>
            </w:r>
          </w:p>
          <w:p w14:paraId="1532AC3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9</w:t>
            </w:r>
            <w:r>
              <w:rPr>
                <w:rStyle w:val="20"/>
                <w:rFonts w:hint="eastAsia" w:ascii="宋体" w:hAnsi="宋体" w:eastAsia="宋体" w:cs="宋体"/>
                <w:i w:val="0"/>
                <w:color w:val="auto"/>
                <w:spacing w:val="0"/>
                <w:sz w:val="21"/>
                <w:szCs w:val="21"/>
              </w:rPr>
              <w:t>）投标文件中未出现有关投标报价的内容。</w:t>
            </w:r>
          </w:p>
          <w:p w14:paraId="549CA982">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10</w:t>
            </w:r>
            <w:r>
              <w:rPr>
                <w:rStyle w:val="20"/>
                <w:rFonts w:hint="eastAsia" w:ascii="宋体" w:hAnsi="宋体" w:eastAsia="宋体" w:cs="宋体"/>
                <w:i w:val="0"/>
                <w:color w:val="auto"/>
                <w:spacing w:val="0"/>
                <w:sz w:val="21"/>
                <w:szCs w:val="21"/>
              </w:rPr>
              <w:t>）投标文件载明的招标项目完成期限未超过招标文件规定的时限。</w:t>
            </w:r>
          </w:p>
          <w:p w14:paraId="642D1C8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1</w:t>
            </w:r>
            <w:r>
              <w:rPr>
                <w:rStyle w:val="20"/>
                <w:rFonts w:hint="eastAsia" w:cs="宋体"/>
                <w:i w:val="0"/>
                <w:color w:val="auto"/>
                <w:spacing w:val="0"/>
                <w:sz w:val="21"/>
                <w:szCs w:val="21"/>
                <w:lang w:val="en-US" w:eastAsia="zh-CN"/>
              </w:rPr>
              <w:t>1</w:t>
            </w:r>
            <w:r>
              <w:rPr>
                <w:rStyle w:val="20"/>
                <w:rFonts w:hint="eastAsia" w:ascii="宋体" w:hAnsi="宋体" w:eastAsia="宋体" w:cs="宋体"/>
                <w:i w:val="0"/>
                <w:color w:val="auto"/>
                <w:spacing w:val="0"/>
                <w:sz w:val="21"/>
                <w:szCs w:val="21"/>
              </w:rPr>
              <w:t>）投标文件对招标文件的实质性要求和条件作出响应。</w:t>
            </w:r>
          </w:p>
          <w:p w14:paraId="4A880D64">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（1</w:t>
            </w:r>
            <w:r>
              <w:rPr>
                <w:rStyle w:val="20"/>
                <w:rFonts w:hint="eastAsia" w:cs="宋体"/>
                <w:i w:val="0"/>
                <w:color w:val="auto"/>
                <w:spacing w:val="0"/>
                <w:sz w:val="21"/>
                <w:szCs w:val="21"/>
                <w:lang w:val="en-US" w:eastAsia="zh-CN"/>
              </w:rPr>
              <w:t>2</w:t>
            </w:r>
            <w:r>
              <w:rPr>
                <w:rStyle w:val="20"/>
                <w:rFonts w:hint="eastAsia" w:ascii="宋体" w:hAnsi="宋体" w:eastAsia="宋体" w:cs="宋体"/>
                <w:i w:val="0"/>
                <w:color w:val="auto"/>
                <w:spacing w:val="0"/>
                <w:sz w:val="21"/>
                <w:szCs w:val="21"/>
              </w:rPr>
              <w:t>）权利义务符合招标文件规定：</w:t>
            </w:r>
          </w:p>
          <w:p w14:paraId="6A3D849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a.投标人应接受招标文件规定的风险划分原则，未提出新的风险划分办法；</w:t>
            </w:r>
          </w:p>
          <w:p w14:paraId="6ABDE86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b.投标人未增加发包人的责任范围，或减少投标人义务；</w:t>
            </w:r>
          </w:p>
          <w:p w14:paraId="49F8030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c.投标人未提出不同的工程验收、计量、支付办法；</w:t>
            </w:r>
          </w:p>
          <w:p w14:paraId="35330CF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d.投标人对合同纠纷、事故处理办法未提出异议；</w:t>
            </w:r>
          </w:p>
          <w:p w14:paraId="1FC651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e.投标人在投标活动中无欺诈行为；</w:t>
            </w:r>
          </w:p>
          <w:p w14:paraId="6C6B7A8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f.投标人未对合同条款有重要保留。</w:t>
            </w:r>
          </w:p>
          <w:p w14:paraId="3FDAA05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（13）施工组织设计部分编制符合招标文件内暗标编制要求。</w:t>
            </w:r>
          </w:p>
          <w:p w14:paraId="48C110C3">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第二个信封（报价文件）评审标准：</w:t>
            </w:r>
          </w:p>
          <w:p w14:paraId="01FFF7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（1）投标文件按照招标文件规定的格式、内容填写，字迹清晰可辨：</w:t>
            </w:r>
          </w:p>
          <w:p w14:paraId="0458C46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a.投标函按招标文件规定填报了项目名称、标段号、补遗书编号（如有）、投标价（包括大写金额和小写金额）；投标文件填写的项目名称、标段号与招标项目一致。</w:t>
            </w:r>
          </w:p>
          <w:p w14:paraId="213BAE98">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b.已标价工程量清单说明文字与招标文件规定一致，未进行实质性修改和删减；</w:t>
            </w:r>
          </w:p>
          <w:p w14:paraId="1C558DD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c.投标文件组成齐全完整，内容均按规定填写。</w:t>
            </w:r>
          </w:p>
          <w:p w14:paraId="5F7C5864">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2</w:t>
            </w:r>
            <w:r>
              <w:rPr>
                <w:rStyle w:val="20"/>
                <w:rFonts w:hint="eastAsia" w:ascii="宋体" w:hAnsi="宋体" w:eastAsia="宋体" w:cs="宋体"/>
                <w:i w:val="0"/>
                <w:color w:val="auto"/>
                <w:spacing w:val="0"/>
                <w:sz w:val="21"/>
                <w:szCs w:val="21"/>
              </w:rPr>
              <w:t>）投标文件上法定代表人或其委托代理人的签字、投标人的单位章盖章齐全，符合招标文件规定。</w:t>
            </w:r>
          </w:p>
          <w:p w14:paraId="4CD4CF0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lang w:eastAsia="zh-CN"/>
              </w:rPr>
            </w:pPr>
            <w:r>
              <w:rPr>
                <w:rStyle w:val="20"/>
                <w:rFonts w:hint="eastAsia" w:ascii="宋体" w:hAnsi="宋体" w:eastAsia="宋体" w:cs="宋体"/>
                <w:i w:val="0"/>
                <w:color w:val="auto"/>
                <w:spacing w:val="0"/>
                <w:sz w:val="21"/>
                <w:szCs w:val="21"/>
                <w:lang w:eastAsia="zh-CN"/>
              </w:rPr>
              <w:t>（</w:t>
            </w:r>
            <w:r>
              <w:rPr>
                <w:rStyle w:val="20"/>
                <w:rFonts w:hint="eastAsia" w:ascii="宋体" w:hAnsi="宋体" w:eastAsia="宋体" w:cs="宋体"/>
                <w:i w:val="0"/>
                <w:color w:val="auto"/>
                <w:spacing w:val="0"/>
                <w:sz w:val="21"/>
                <w:szCs w:val="21"/>
                <w:lang w:val="en-US" w:eastAsia="zh-CN"/>
              </w:rPr>
              <w:t>3</w:t>
            </w:r>
            <w:r>
              <w:rPr>
                <w:rStyle w:val="20"/>
                <w:rFonts w:hint="eastAsia" w:ascii="宋体" w:hAnsi="宋体" w:eastAsia="宋体" w:cs="宋体"/>
                <w:i w:val="0"/>
                <w:color w:val="auto"/>
                <w:spacing w:val="0"/>
                <w:sz w:val="21"/>
                <w:szCs w:val="21"/>
                <w:lang w:eastAsia="zh-CN"/>
              </w:rPr>
              <w:t>）</w:t>
            </w:r>
            <w:r>
              <w:rPr>
                <w:rStyle w:val="20"/>
                <w:rFonts w:hint="eastAsia" w:ascii="宋体" w:hAnsi="宋体" w:eastAsia="宋体" w:cs="宋体"/>
                <w:i w:val="0"/>
                <w:color w:val="auto"/>
                <w:spacing w:val="0"/>
                <w:sz w:val="21"/>
                <w:szCs w:val="21"/>
              </w:rPr>
              <w:t>投标报价中的报价未超过招标文件设定的最高投标限价</w:t>
            </w:r>
            <w:r>
              <w:rPr>
                <w:rStyle w:val="20"/>
                <w:rFonts w:hint="eastAsia" w:ascii="宋体" w:hAnsi="宋体" w:eastAsia="宋体" w:cs="宋体"/>
                <w:i w:val="0"/>
                <w:color w:val="auto"/>
                <w:spacing w:val="0"/>
                <w:sz w:val="21"/>
                <w:szCs w:val="21"/>
                <w:lang w:eastAsia="zh-CN"/>
              </w:rPr>
              <w:t>（</w:t>
            </w:r>
            <w:r>
              <w:rPr>
                <w:rStyle w:val="20"/>
                <w:rFonts w:hint="eastAsia" w:ascii="宋体" w:hAnsi="宋体" w:eastAsia="宋体" w:cs="宋体"/>
                <w:i w:val="0"/>
                <w:color w:val="auto"/>
                <w:spacing w:val="0"/>
                <w:sz w:val="21"/>
                <w:szCs w:val="21"/>
                <w:lang w:val="en-US" w:eastAsia="zh-CN"/>
              </w:rPr>
              <w:t>包括分项限价，如有</w:t>
            </w:r>
            <w:r>
              <w:rPr>
                <w:rStyle w:val="20"/>
                <w:rFonts w:hint="eastAsia" w:ascii="宋体" w:hAnsi="宋体" w:eastAsia="宋体" w:cs="宋体"/>
                <w:i w:val="0"/>
                <w:color w:val="auto"/>
                <w:spacing w:val="0"/>
                <w:sz w:val="21"/>
                <w:szCs w:val="21"/>
                <w:lang w:eastAsia="zh-CN"/>
              </w:rPr>
              <w:t>）</w:t>
            </w:r>
          </w:p>
          <w:p w14:paraId="3632005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4</w:t>
            </w:r>
            <w:r>
              <w:rPr>
                <w:rStyle w:val="20"/>
                <w:rFonts w:hint="eastAsia" w:ascii="宋体" w:hAnsi="宋体" w:eastAsia="宋体" w:cs="宋体"/>
                <w:i w:val="0"/>
                <w:color w:val="auto"/>
                <w:spacing w:val="0"/>
                <w:sz w:val="21"/>
                <w:szCs w:val="21"/>
              </w:rPr>
              <w:t>）投标报价中报价的大写金额能够确定具体数值。</w:t>
            </w:r>
          </w:p>
          <w:p w14:paraId="0481149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cs="宋体"/>
                <w:i w:val="0"/>
                <w:color w:val="auto"/>
                <w:spacing w:val="0"/>
                <w:sz w:val="21"/>
                <w:szCs w:val="21"/>
                <w:lang w:eastAsia="zh-CN"/>
              </w:rPr>
            </w:pP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5</w:t>
            </w:r>
            <w:r>
              <w:rPr>
                <w:rStyle w:val="20"/>
                <w:rFonts w:hint="eastAsia" w:ascii="宋体" w:hAnsi="宋体" w:eastAsia="宋体" w:cs="宋体"/>
                <w:i w:val="0"/>
                <w:color w:val="auto"/>
                <w:spacing w:val="0"/>
                <w:sz w:val="21"/>
                <w:szCs w:val="21"/>
              </w:rPr>
              <w:t>）同一投标人未提交两个以上不同的投标报价</w:t>
            </w:r>
            <w:r>
              <w:rPr>
                <w:rStyle w:val="20"/>
                <w:rFonts w:hint="eastAsia" w:cs="宋体"/>
                <w:i w:val="0"/>
                <w:color w:val="auto"/>
                <w:spacing w:val="0"/>
                <w:sz w:val="21"/>
                <w:szCs w:val="21"/>
                <w:lang w:eastAsia="zh-CN"/>
              </w:rPr>
              <w:t>。</w:t>
            </w:r>
          </w:p>
          <w:p w14:paraId="073B4E2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cs="宋体"/>
                <w:i w:val="0"/>
                <w:color w:val="auto"/>
                <w:spacing w:val="0"/>
                <w:sz w:val="21"/>
                <w:szCs w:val="21"/>
                <w:lang w:eastAsia="zh-CN"/>
              </w:rPr>
            </w:pPr>
            <w:r>
              <w:rPr>
                <w:rStyle w:val="20"/>
                <w:rFonts w:hint="eastAsia" w:cs="宋体"/>
                <w:i w:val="0"/>
                <w:color w:val="auto"/>
                <w:spacing w:val="0"/>
                <w:sz w:val="21"/>
                <w:szCs w:val="21"/>
                <w:lang w:eastAsia="zh-CN"/>
              </w:rPr>
              <w:t>（</w:t>
            </w:r>
            <w:r>
              <w:rPr>
                <w:rStyle w:val="20"/>
                <w:rFonts w:hint="eastAsia" w:cs="宋体"/>
                <w:i w:val="0"/>
                <w:color w:val="auto"/>
                <w:spacing w:val="0"/>
                <w:sz w:val="21"/>
                <w:szCs w:val="21"/>
                <w:lang w:val="en-US" w:eastAsia="zh-CN"/>
              </w:rPr>
              <w:t>6</w:t>
            </w:r>
            <w:r>
              <w:rPr>
                <w:rStyle w:val="20"/>
                <w:rFonts w:hint="eastAsia" w:cs="宋体"/>
                <w:i w:val="0"/>
                <w:color w:val="auto"/>
                <w:spacing w:val="0"/>
                <w:sz w:val="21"/>
                <w:szCs w:val="21"/>
                <w:lang w:eastAsia="zh-CN"/>
              </w:rPr>
              <w:t>）</w:t>
            </w:r>
            <w:r>
              <w:rPr>
                <w:rFonts w:ascii="????" w:hAnsi="????" w:eastAsia="????" w:cs="????"/>
                <w:color w:val="000000"/>
                <w:kern w:val="0"/>
                <w:sz w:val="21"/>
                <w:szCs w:val="21"/>
                <w:lang w:val="en-US" w:eastAsia="zh-CN" w:bidi="ar"/>
              </w:rPr>
              <w:t>投标人未提交调价函。</w:t>
            </w:r>
          </w:p>
          <w:p w14:paraId="09BE8BD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7</w:t>
            </w:r>
            <w:r>
              <w:rPr>
                <w:rStyle w:val="20"/>
                <w:rFonts w:hint="eastAsia" w:ascii="宋体" w:hAnsi="宋体" w:eastAsia="宋体" w:cs="宋体"/>
                <w:i w:val="0"/>
                <w:color w:val="auto"/>
                <w:spacing w:val="0"/>
                <w:sz w:val="21"/>
                <w:szCs w:val="21"/>
              </w:rPr>
              <w:t>）投标人若填写工程量固化清单，填写完毕的工程量固化清单未对工程量固化清单电子文件中的数据、格式和运算定义进行修改；工程量固化清单中的投标报价和投标函大写金额报价一致。</w:t>
            </w:r>
          </w:p>
          <w:p w14:paraId="068D4FE2">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46" w:leftChars="22" w:right="82" w:rightChars="39" w:firstLine="371" w:firstLineChars="177"/>
              <w:jc w:val="both"/>
              <w:textAlignment w:val="auto"/>
              <w:rPr>
                <w:rFonts w:hint="eastAsia" w:ascii="宋体" w:hAnsi="宋体" w:eastAsia="宋体" w:cs="宋体"/>
                <w:i w:val="0"/>
                <w:iCs/>
                <w:color w:val="auto"/>
                <w:spacing w:val="0"/>
                <w:w w:val="100"/>
                <w:kern w:val="2"/>
                <w:position w:val="0"/>
                <w:sz w:val="21"/>
                <w:szCs w:val="21"/>
                <w:shd w:val="clear" w:color="auto" w:fill="FFFFFF"/>
                <w:lang w:val="en-US" w:eastAsia="zh-CN" w:bidi="ar-SA"/>
              </w:rPr>
            </w:pP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8</w:t>
            </w:r>
            <w:r>
              <w:rPr>
                <w:rStyle w:val="20"/>
                <w:rFonts w:hint="eastAsia" w:ascii="宋体" w:hAnsi="宋体" w:eastAsia="宋体" w:cs="宋体"/>
                <w:i w:val="0"/>
                <w:color w:val="auto"/>
                <w:spacing w:val="0"/>
                <w:sz w:val="21"/>
                <w:szCs w:val="21"/>
              </w:rPr>
              <w:t>）</w:t>
            </w:r>
            <w:r>
              <w:rPr>
                <w:rStyle w:val="20"/>
                <w:rFonts w:hint="eastAsia" w:cs="宋体"/>
                <w:i w:val="0"/>
                <w:color w:val="auto"/>
                <w:spacing w:val="0"/>
                <w:sz w:val="21"/>
                <w:szCs w:val="21"/>
                <w:lang w:val="en-US" w:eastAsia="zh-CN"/>
              </w:rPr>
              <w:t>已标价工程量清单中填报的“安全生产费”“承包人驻地建设” “施工标准化”“信息化系统”等子目报价（如有）符合招标文件合同条款规定。</w:t>
            </w:r>
          </w:p>
        </w:tc>
      </w:tr>
      <w:tr w14:paraId="07A7CF9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3738" w:hRule="atLeast"/>
        </w:trPr>
        <w:tc>
          <w:tcPr>
            <w:tcW w:w="1037" w:type="dxa"/>
            <w:tcBorders>
              <w:top w:val="single" w:color="auto" w:sz="4" w:space="0"/>
              <w:bottom w:val="single" w:color="auto" w:sz="4" w:space="0"/>
            </w:tcBorders>
            <w:shd w:val="clear" w:color="auto" w:fill="FFFFFF"/>
            <w:vAlign w:val="center"/>
          </w:tcPr>
          <w:p w14:paraId="7E104130">
            <w:pPr>
              <w:pStyle w:val="19"/>
              <w:shd w:val="clear" w:color="auto"/>
              <w:spacing w:before="0" w:after="0" w:line="40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2.1.2</w:t>
            </w:r>
          </w:p>
        </w:tc>
        <w:tc>
          <w:tcPr>
            <w:tcW w:w="1684" w:type="dxa"/>
            <w:tcBorders>
              <w:top w:val="single" w:color="auto" w:sz="4" w:space="0"/>
              <w:left w:val="single" w:color="auto" w:sz="4" w:space="0"/>
              <w:bottom w:val="single" w:color="auto" w:sz="4" w:space="0"/>
            </w:tcBorders>
            <w:shd w:val="clear" w:color="auto" w:fill="FFFFFF"/>
            <w:vAlign w:val="center"/>
          </w:tcPr>
          <w:p w14:paraId="566CD708">
            <w:pPr>
              <w:pStyle w:val="19"/>
              <w:shd w:val="clear" w:color="auto"/>
              <w:spacing w:before="0" w:after="0" w:line="400" w:lineRule="exact"/>
              <w:rPr>
                <w:rFonts w:hint="eastAsia" w:ascii="宋体" w:hAnsi="宋体" w:eastAsia="宋体" w:cs="宋体"/>
                <w:iCs/>
                <w:sz w:val="21"/>
                <w:szCs w:val="21"/>
              </w:rPr>
            </w:pPr>
            <w:r>
              <w:rPr>
                <w:rStyle w:val="20"/>
                <w:rFonts w:hint="eastAsia" w:ascii="宋体" w:hAnsi="宋体" w:eastAsia="宋体" w:cs="宋体"/>
                <w:i w:val="0"/>
                <w:color w:val="auto"/>
                <w:spacing w:val="0"/>
                <w:sz w:val="21"/>
                <w:szCs w:val="21"/>
              </w:rPr>
              <w:t>资格评审标准</w:t>
            </w:r>
          </w:p>
        </w:tc>
        <w:tc>
          <w:tcPr>
            <w:tcW w:w="6617" w:type="dxa"/>
            <w:tcBorders>
              <w:top w:val="single" w:color="auto" w:sz="4" w:space="0"/>
              <w:left w:val="single" w:color="auto" w:sz="4" w:space="0"/>
              <w:bottom w:val="single" w:color="auto" w:sz="4" w:space="0"/>
            </w:tcBorders>
            <w:shd w:val="clear" w:color="auto" w:fill="FFFFFF"/>
            <w:vAlign w:val="center"/>
          </w:tcPr>
          <w:p w14:paraId="6F2FB802">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（1）投标人具备有效的营业执照、组织机构代码证、资质证书、安全生产许可证和基本账户开户许可证（或基本账户开户行出具含有企业基本存款账户编号的《基本存款账户信息》）；</w:t>
            </w:r>
          </w:p>
          <w:p w14:paraId="21FFD92C">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（2）投标人的资质等级符合招标文件规定；</w:t>
            </w:r>
          </w:p>
          <w:p w14:paraId="102A08E5">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（3）投标人的财务状况符合招标文件规定；</w:t>
            </w:r>
          </w:p>
          <w:p w14:paraId="328BD096">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（4）投标人的类似项目业绩符合招标文件规定；</w:t>
            </w:r>
          </w:p>
          <w:p w14:paraId="2B02F23D">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（5）投标人的信誉符合招标文件规定；</w:t>
            </w:r>
          </w:p>
          <w:p w14:paraId="41A43F20">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（6）投标人的项目经理和项目总工资格、在岗情况符合招标文件规定；</w:t>
            </w:r>
          </w:p>
          <w:p w14:paraId="41FD34D4">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（7）投标人的其他要求符合招标文件规定；</w:t>
            </w:r>
          </w:p>
          <w:p w14:paraId="0889A85A">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（8）投标人不存在第二章“投标人须知”第1.4.3项或第1.4.4项规定的任何一种情形；</w:t>
            </w:r>
          </w:p>
          <w:p w14:paraId="7F6F9F79">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i w:val="0"/>
                <w:color w:val="auto"/>
                <w:spacing w:val="0"/>
                <w:kern w:val="2"/>
                <w:sz w:val="21"/>
                <w:szCs w:val="21"/>
                <w:lang w:val="en-US" w:eastAsia="zh-CN" w:bidi="ar-SA"/>
              </w:rPr>
            </w:pPr>
            <w:r>
              <w:rPr>
                <w:rStyle w:val="20"/>
                <w:rFonts w:hint="eastAsia"/>
                <w:i w:val="0"/>
                <w:color w:val="auto"/>
                <w:spacing w:val="0"/>
                <w:kern w:val="2"/>
                <w:sz w:val="21"/>
                <w:szCs w:val="21"/>
                <w:lang w:val="en-US" w:eastAsia="zh-CN" w:bidi="ar-SA"/>
              </w:rPr>
              <w:t>（9）投标人符合第二章“投标人须知”第1.4.5项规定；</w:t>
            </w:r>
          </w:p>
          <w:p w14:paraId="687F91A5">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rPr>
            </w:pPr>
            <w:r>
              <w:rPr>
                <w:rStyle w:val="20"/>
                <w:rFonts w:hint="eastAsia"/>
                <w:i w:val="0"/>
                <w:color w:val="auto"/>
                <w:spacing w:val="0"/>
                <w:kern w:val="2"/>
                <w:sz w:val="21"/>
                <w:szCs w:val="21"/>
                <w:lang w:val="en-US" w:eastAsia="zh-CN" w:bidi="ar-SA"/>
              </w:rPr>
              <w:t>（10）以联合体形式参与投标的，联合体各方均未再以自己名义单独或 参加其他联合体在同一标段中投标；独立参与投标的，投标人未同时参加联合体在同一标段中投标。</w:t>
            </w:r>
          </w:p>
        </w:tc>
      </w:tr>
      <w:tr w14:paraId="1DA50B9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609" w:hRule="atLeast"/>
        </w:trPr>
        <w:tc>
          <w:tcPr>
            <w:tcW w:w="1037" w:type="dxa"/>
            <w:tcBorders>
              <w:top w:val="single" w:color="auto" w:sz="4" w:space="0"/>
              <w:bottom w:val="single" w:color="auto" w:sz="4" w:space="0"/>
            </w:tcBorders>
            <w:shd w:val="clear" w:color="auto" w:fill="FFFFFF"/>
            <w:vAlign w:val="center"/>
          </w:tcPr>
          <w:p w14:paraId="28CF2878">
            <w:pPr>
              <w:pStyle w:val="19"/>
              <w:shd w:val="clear" w:color="auto"/>
              <w:spacing w:before="0" w:after="0" w:line="360" w:lineRule="exact"/>
              <w:rPr>
                <w:rFonts w:hint="eastAsia" w:ascii="宋体" w:hAnsi="宋体" w:eastAsia="宋体" w:cs="宋体"/>
                <w:sz w:val="21"/>
                <w:szCs w:val="21"/>
              </w:rPr>
            </w:pPr>
            <w:r>
              <w:rPr>
                <w:rStyle w:val="22"/>
                <w:rFonts w:hint="eastAsia" w:ascii="宋体" w:hAnsi="宋体" w:eastAsia="宋体" w:cs="宋体"/>
                <w:color w:val="auto"/>
                <w:sz w:val="21"/>
                <w:szCs w:val="21"/>
              </w:rPr>
              <w:t>2.2.1</w:t>
            </w:r>
          </w:p>
        </w:tc>
        <w:tc>
          <w:tcPr>
            <w:tcW w:w="1684" w:type="dxa"/>
            <w:tcBorders>
              <w:top w:val="single" w:color="auto" w:sz="4" w:space="0"/>
              <w:left w:val="single" w:color="auto" w:sz="4" w:space="0"/>
              <w:bottom w:val="single" w:color="auto" w:sz="4" w:space="0"/>
            </w:tcBorders>
            <w:shd w:val="clear" w:color="auto" w:fill="FFFFFF"/>
            <w:vAlign w:val="center"/>
          </w:tcPr>
          <w:p w14:paraId="6A92F757">
            <w:pPr>
              <w:pStyle w:val="19"/>
              <w:shd w:val="clear" w:color="auto"/>
              <w:spacing w:before="0" w:after="0" w:line="360" w:lineRule="exact"/>
              <w:jc w:val="left"/>
              <w:rPr>
                <w:rFonts w:hint="eastAsia" w:ascii="宋体" w:hAnsi="宋体" w:eastAsia="宋体" w:cs="宋体"/>
                <w:sz w:val="21"/>
                <w:szCs w:val="21"/>
              </w:rPr>
            </w:pPr>
            <w:r>
              <w:rPr>
                <w:rStyle w:val="20"/>
                <w:rFonts w:hint="eastAsia" w:ascii="宋体" w:hAnsi="宋体" w:eastAsia="宋体" w:cs="宋体"/>
                <w:i w:val="0"/>
                <w:color w:val="auto"/>
                <w:spacing w:val="0"/>
                <w:sz w:val="21"/>
                <w:szCs w:val="21"/>
                <w:lang w:val="en-US" w:eastAsia="zh-CN"/>
              </w:rPr>
              <w:t>第一信封评分</w:t>
            </w:r>
            <w:r>
              <w:rPr>
                <w:rStyle w:val="20"/>
                <w:rFonts w:hint="eastAsia" w:ascii="宋体" w:hAnsi="宋体" w:eastAsia="宋体" w:cs="宋体"/>
                <w:i w:val="0"/>
                <w:color w:val="auto"/>
                <w:spacing w:val="0"/>
                <w:sz w:val="21"/>
                <w:szCs w:val="21"/>
              </w:rPr>
              <w:t>分值</w:t>
            </w:r>
            <w:r>
              <w:rPr>
                <w:rStyle w:val="20"/>
                <w:rFonts w:hint="eastAsia" w:ascii="宋体" w:hAnsi="宋体" w:eastAsia="宋体" w:cs="宋体"/>
                <w:i w:val="0"/>
                <w:color w:val="auto"/>
                <w:spacing w:val="0"/>
                <w:sz w:val="21"/>
                <w:szCs w:val="21"/>
                <w:lang w:val="zh-TW"/>
              </w:rPr>
              <w:t>构成</w:t>
            </w:r>
            <w:r>
              <w:rPr>
                <w:rStyle w:val="20"/>
                <w:rFonts w:hint="eastAsia" w:ascii="宋体" w:hAnsi="宋体" w:eastAsia="宋体" w:cs="宋体"/>
                <w:i w:val="0"/>
                <w:color w:val="auto"/>
                <w:spacing w:val="0"/>
                <w:sz w:val="21"/>
                <w:szCs w:val="21"/>
              </w:rPr>
              <w:t>（总分</w:t>
            </w:r>
            <w:r>
              <w:rPr>
                <w:rStyle w:val="22"/>
                <w:rFonts w:hint="eastAsia" w:ascii="宋体" w:hAnsi="宋体" w:eastAsia="宋体" w:cs="宋体"/>
                <w:color w:val="auto"/>
                <w:sz w:val="21"/>
                <w:szCs w:val="21"/>
                <w:lang w:val="zh-TW"/>
              </w:rPr>
              <w:t>100</w:t>
            </w:r>
            <w:r>
              <w:rPr>
                <w:rStyle w:val="20"/>
                <w:rFonts w:hint="eastAsia" w:ascii="宋体" w:hAnsi="宋体" w:eastAsia="宋体" w:cs="宋体"/>
                <w:i w:val="0"/>
                <w:color w:val="auto"/>
                <w:spacing w:val="0"/>
                <w:sz w:val="21"/>
                <w:szCs w:val="21"/>
              </w:rPr>
              <w:t>分）</w:t>
            </w:r>
          </w:p>
        </w:tc>
        <w:tc>
          <w:tcPr>
            <w:tcW w:w="6617" w:type="dxa"/>
            <w:tcBorders>
              <w:top w:val="single" w:color="auto" w:sz="4" w:space="0"/>
              <w:left w:val="single" w:color="auto" w:sz="4" w:space="0"/>
              <w:bottom w:val="single" w:color="auto" w:sz="4" w:space="0"/>
            </w:tcBorders>
            <w:shd w:val="clear" w:color="auto" w:fill="FFFFFF"/>
            <w:vAlign w:val="center"/>
          </w:tcPr>
          <w:p w14:paraId="42A82CC7">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lang w:val="en-US" w:eastAsia="zh-CN"/>
              </w:rPr>
              <w:t>施工组织设计</w:t>
            </w: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40</w:t>
            </w:r>
            <w:r>
              <w:rPr>
                <w:rStyle w:val="20"/>
                <w:rFonts w:hint="eastAsia" w:ascii="宋体" w:hAnsi="宋体" w:eastAsia="宋体" w:cs="宋体"/>
                <w:i w:val="0"/>
                <w:color w:val="auto"/>
                <w:spacing w:val="0"/>
                <w:sz w:val="21"/>
                <w:szCs w:val="21"/>
              </w:rPr>
              <w:t>分</w:t>
            </w:r>
          </w:p>
          <w:p w14:paraId="57F6958E">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rPr>
              <w:t>主要</w:t>
            </w:r>
            <w:r>
              <w:rPr>
                <w:rStyle w:val="20"/>
                <w:rFonts w:hint="eastAsia" w:ascii="宋体" w:hAnsi="宋体" w:eastAsia="宋体" w:cs="宋体"/>
                <w:i w:val="0"/>
                <w:color w:val="auto"/>
                <w:spacing w:val="0"/>
                <w:sz w:val="21"/>
                <w:szCs w:val="21"/>
                <w:lang w:val="en-US" w:eastAsia="zh-CN"/>
              </w:rPr>
              <w:t>管理</w:t>
            </w:r>
            <w:r>
              <w:rPr>
                <w:rStyle w:val="20"/>
                <w:rFonts w:hint="eastAsia" w:ascii="宋体" w:hAnsi="宋体" w:eastAsia="宋体" w:cs="宋体"/>
                <w:i w:val="0"/>
                <w:color w:val="auto"/>
                <w:spacing w:val="0"/>
                <w:sz w:val="21"/>
                <w:szCs w:val="21"/>
              </w:rPr>
              <w:t>人员：</w:t>
            </w:r>
            <w:r>
              <w:rPr>
                <w:rStyle w:val="20"/>
                <w:rFonts w:hint="eastAsia" w:ascii="宋体" w:hAnsi="宋体" w:eastAsia="宋体" w:cs="宋体"/>
                <w:i w:val="0"/>
                <w:color w:val="auto"/>
                <w:spacing w:val="0"/>
                <w:sz w:val="21"/>
                <w:szCs w:val="21"/>
                <w:lang w:val="en-US" w:eastAsia="zh-CN"/>
              </w:rPr>
              <w:t>25</w:t>
            </w:r>
            <w:r>
              <w:rPr>
                <w:rStyle w:val="20"/>
                <w:rFonts w:hint="eastAsia" w:ascii="宋体" w:hAnsi="宋体" w:eastAsia="宋体" w:cs="宋体"/>
                <w:i w:val="0"/>
                <w:color w:val="auto"/>
                <w:spacing w:val="0"/>
                <w:sz w:val="21"/>
                <w:szCs w:val="21"/>
              </w:rPr>
              <w:t xml:space="preserve">分 </w:t>
            </w:r>
          </w:p>
          <w:p w14:paraId="093C5C28">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lang w:val="en-US" w:eastAsia="zh-CN"/>
              </w:rPr>
              <w:t>技术能力</w:t>
            </w:r>
            <w:r>
              <w:rPr>
                <w:rStyle w:val="20"/>
                <w:rFonts w:hint="eastAsia" w:ascii="宋体" w:hAnsi="宋体" w:eastAsia="宋体" w:cs="宋体"/>
                <w:i w:val="0"/>
                <w:color w:val="auto"/>
                <w:spacing w:val="0"/>
                <w:sz w:val="21"/>
                <w:szCs w:val="21"/>
              </w:rPr>
              <w:t>：</w:t>
            </w:r>
            <w:r>
              <w:rPr>
                <w:rStyle w:val="20"/>
                <w:rFonts w:hint="eastAsia" w:ascii="宋体" w:hAnsi="宋体" w:eastAsia="宋体" w:cs="宋体"/>
                <w:i w:val="0"/>
                <w:color w:val="auto"/>
                <w:spacing w:val="0"/>
                <w:sz w:val="21"/>
                <w:szCs w:val="21"/>
                <w:lang w:val="en-US" w:eastAsia="zh-CN"/>
              </w:rPr>
              <w:t>10</w:t>
            </w:r>
            <w:r>
              <w:rPr>
                <w:rStyle w:val="20"/>
                <w:rFonts w:hint="eastAsia" w:ascii="宋体" w:hAnsi="宋体" w:eastAsia="宋体" w:cs="宋体"/>
                <w:i w:val="0"/>
                <w:color w:val="auto"/>
                <w:spacing w:val="0"/>
                <w:sz w:val="21"/>
                <w:szCs w:val="21"/>
              </w:rPr>
              <w:t>分</w:t>
            </w:r>
          </w:p>
          <w:p w14:paraId="6EC4A28B">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履约信誉：15分</w:t>
            </w:r>
          </w:p>
          <w:p w14:paraId="60740A12">
            <w:pPr>
              <w:pStyle w:val="19"/>
              <w:shd w:val="clear" w:color="auto"/>
              <w:spacing w:before="0" w:after="0" w:line="320" w:lineRule="exact"/>
              <w:ind w:right="59" w:rightChars="28"/>
              <w:jc w:val="both"/>
              <w:rPr>
                <w:rStyle w:val="20"/>
                <w:rFonts w:hint="eastAsia" w:ascii="宋体" w:hAnsi="宋体" w:eastAsia="宋体" w:cs="宋体"/>
                <w:i w:val="0"/>
                <w:color w:val="auto"/>
                <w:spacing w:val="0"/>
                <w:sz w:val="21"/>
                <w:szCs w:val="21"/>
              </w:rPr>
            </w:pPr>
            <w:r>
              <w:rPr>
                <w:rStyle w:val="20"/>
                <w:rFonts w:hint="eastAsia" w:ascii="宋体" w:hAnsi="宋体" w:eastAsia="宋体" w:cs="宋体"/>
                <w:i w:val="0"/>
                <w:color w:val="auto"/>
                <w:spacing w:val="0"/>
                <w:sz w:val="21"/>
                <w:szCs w:val="21"/>
                <w:lang w:val="en-US" w:eastAsia="zh-CN"/>
              </w:rPr>
              <w:t>业绩：10</w:t>
            </w:r>
            <w:r>
              <w:rPr>
                <w:rStyle w:val="20"/>
                <w:rFonts w:hint="eastAsia" w:ascii="宋体" w:hAnsi="宋体" w:eastAsia="宋体" w:cs="宋体"/>
                <w:i w:val="0"/>
                <w:color w:val="auto"/>
                <w:spacing w:val="0"/>
                <w:sz w:val="21"/>
                <w:szCs w:val="21"/>
              </w:rPr>
              <w:t>分</w:t>
            </w:r>
          </w:p>
        </w:tc>
      </w:tr>
      <w:tr w14:paraId="0DA9086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754" w:hRule="atLeast"/>
        </w:trPr>
        <w:tc>
          <w:tcPr>
            <w:tcW w:w="1037" w:type="dxa"/>
            <w:tcBorders>
              <w:top w:val="single" w:color="auto" w:sz="4" w:space="0"/>
              <w:bottom w:val="single" w:color="auto" w:sz="4" w:space="0"/>
            </w:tcBorders>
            <w:shd w:val="clear" w:color="auto" w:fill="FFFFFF"/>
            <w:vAlign w:val="center"/>
          </w:tcPr>
          <w:p w14:paraId="53843121">
            <w:pPr>
              <w:pStyle w:val="19"/>
              <w:shd w:val="clear" w:color="auto"/>
              <w:spacing w:before="0" w:after="0" w:line="360" w:lineRule="exact"/>
              <w:rPr>
                <w:rFonts w:hint="eastAsia" w:ascii="宋体" w:hAnsi="宋体" w:eastAsia="宋体" w:cs="宋体"/>
                <w:kern w:val="2"/>
                <w:sz w:val="21"/>
                <w:szCs w:val="21"/>
                <w:lang w:val="en-US" w:eastAsia="zh-CN" w:bidi="ar-SA"/>
              </w:rPr>
            </w:pPr>
            <w:r>
              <w:rPr>
                <w:rStyle w:val="22"/>
                <w:rFonts w:hint="eastAsia" w:ascii="宋体" w:hAnsi="宋体" w:eastAsia="宋体" w:cs="宋体"/>
                <w:color w:val="auto"/>
                <w:sz w:val="21"/>
                <w:szCs w:val="21"/>
              </w:rPr>
              <w:t>2</w:t>
            </w:r>
            <w:r>
              <w:rPr>
                <w:rStyle w:val="20"/>
                <w:rFonts w:hint="eastAsia" w:ascii="宋体" w:hAnsi="宋体" w:eastAsia="宋体" w:cs="宋体"/>
                <w:i w:val="0"/>
                <w:color w:val="auto"/>
                <w:spacing w:val="0"/>
                <w:sz w:val="21"/>
                <w:szCs w:val="21"/>
              </w:rPr>
              <w:t>.2.</w:t>
            </w:r>
            <w:r>
              <w:rPr>
                <w:rStyle w:val="20"/>
                <w:rFonts w:hint="eastAsia" w:ascii="宋体" w:hAnsi="宋体" w:eastAsia="宋体" w:cs="宋体"/>
                <w:i w:val="0"/>
                <w:color w:val="auto"/>
                <w:spacing w:val="0"/>
                <w:sz w:val="21"/>
                <w:szCs w:val="21"/>
                <w:lang w:val="en-US" w:eastAsia="zh-CN"/>
              </w:rPr>
              <w:t>3</w:t>
            </w:r>
          </w:p>
        </w:tc>
        <w:tc>
          <w:tcPr>
            <w:tcW w:w="1684" w:type="dxa"/>
            <w:tcBorders>
              <w:top w:val="single" w:color="auto" w:sz="4" w:space="0"/>
              <w:left w:val="single" w:color="auto" w:sz="4" w:space="0"/>
              <w:bottom w:val="single" w:color="auto" w:sz="4" w:space="0"/>
            </w:tcBorders>
            <w:shd w:val="clear" w:color="auto" w:fill="FFFFFF"/>
            <w:vAlign w:val="center"/>
          </w:tcPr>
          <w:p w14:paraId="0F987D13">
            <w:pPr>
              <w:pStyle w:val="19"/>
              <w:shd w:val="clear"/>
              <w:spacing w:before="0" w:after="0" w:line="360" w:lineRule="exact"/>
              <w:rPr>
                <w:rFonts w:hint="eastAsia" w:ascii="宋体" w:hAnsi="宋体" w:eastAsia="宋体" w:cs="宋体"/>
                <w:kern w:val="2"/>
                <w:sz w:val="21"/>
                <w:szCs w:val="21"/>
                <w:lang w:val="en-US" w:eastAsia="zh-CN" w:bidi="ar-SA"/>
              </w:rPr>
            </w:pPr>
            <w:r>
              <w:rPr>
                <w:rStyle w:val="20"/>
                <w:rFonts w:hint="eastAsia" w:ascii="宋体" w:hAnsi="宋体" w:eastAsia="宋体" w:cs="宋体"/>
                <w:i w:val="0"/>
                <w:color w:val="auto"/>
                <w:spacing w:val="0"/>
                <w:sz w:val="21"/>
                <w:szCs w:val="21"/>
                <w:lang w:val="en-US" w:eastAsia="zh-CN"/>
              </w:rPr>
              <w:t>第二信封详细评审标准</w:t>
            </w:r>
          </w:p>
        </w:tc>
        <w:tc>
          <w:tcPr>
            <w:tcW w:w="6617" w:type="dxa"/>
            <w:tcBorders>
              <w:top w:val="single" w:color="auto" w:sz="4" w:space="0"/>
              <w:left w:val="single" w:color="auto" w:sz="4" w:space="0"/>
              <w:bottom w:val="single" w:color="auto" w:sz="4" w:space="0"/>
            </w:tcBorders>
            <w:shd w:val="clear" w:color="auto" w:fill="FFFFFF"/>
            <w:vAlign w:val="center"/>
          </w:tcPr>
          <w:p w14:paraId="135EC22A">
            <w:pPr>
              <w:pStyle w:val="19"/>
              <w:shd w:val="clear"/>
              <w:spacing w:before="0" w:after="0" w:line="320" w:lineRule="exact"/>
              <w:ind w:right="59" w:rightChars="28" w:firstLine="420" w:firstLineChars="200"/>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评标价计算公式：评标价=投标函中的投标总报价-暂估价-暂列金额</w:t>
            </w:r>
          </w:p>
          <w:p w14:paraId="19DC9CE5">
            <w:pPr>
              <w:pStyle w:val="19"/>
              <w:shd w:val="clear"/>
              <w:spacing w:before="0" w:after="0" w:line="320" w:lineRule="exact"/>
              <w:ind w:right="59" w:rightChars="28" w:firstLine="420" w:firstLineChars="200"/>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评标委员会发现投标人的报价明显低于其他投标报价，使得其投标报价可能低于其个别成本的，应要求该投标人做出书面说明并提供相应的证明材料。投标人不能合理说明或不能提供相关证明材料的，由评标委员会认定该投标人以低于成本报价竞标，并否决其投标。</w:t>
            </w:r>
          </w:p>
        </w:tc>
      </w:tr>
      <w:tr w14:paraId="2285E99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0" w:hRule="atLeast"/>
        </w:trPr>
        <w:tc>
          <w:tcPr>
            <w:tcW w:w="1037" w:type="dxa"/>
            <w:tcBorders>
              <w:top w:val="single" w:color="auto" w:sz="4" w:space="0"/>
              <w:bottom w:val="single" w:color="auto" w:sz="4" w:space="0"/>
            </w:tcBorders>
            <w:shd w:val="clear" w:color="auto" w:fill="FFFFFF"/>
            <w:vAlign w:val="center"/>
          </w:tcPr>
          <w:p w14:paraId="790532CC">
            <w:pPr>
              <w:pStyle w:val="19"/>
              <w:shd w:val="clear" w:color="auto"/>
              <w:spacing w:before="0" w:after="0" w:line="360" w:lineRule="exact"/>
              <w:rPr>
                <w:rFonts w:hint="eastAsia" w:ascii="宋体" w:hAnsi="宋体" w:eastAsia="宋体" w:cs="宋体"/>
                <w:kern w:val="2"/>
                <w:sz w:val="21"/>
                <w:szCs w:val="21"/>
                <w:shd w:val="clear" w:color="auto" w:fill="FFFFFF"/>
                <w:lang w:val="en-US" w:eastAsia="zh-CN" w:bidi="ar-SA"/>
              </w:rPr>
            </w:pPr>
            <w:r>
              <w:rPr>
                <w:rStyle w:val="20"/>
                <w:rFonts w:hint="eastAsia" w:ascii="宋体" w:hAnsi="宋体" w:eastAsia="宋体" w:cs="宋体"/>
                <w:i w:val="0"/>
                <w:iCs w:val="0"/>
                <w:color w:val="auto"/>
                <w:spacing w:val="0"/>
                <w:sz w:val="21"/>
                <w:szCs w:val="21"/>
                <w:lang w:val="en-US" w:eastAsia="zh-CN"/>
              </w:rPr>
              <w:t>3.2.4</w:t>
            </w:r>
          </w:p>
        </w:tc>
        <w:tc>
          <w:tcPr>
            <w:tcW w:w="1684" w:type="dxa"/>
            <w:tcBorders>
              <w:top w:val="single" w:color="auto" w:sz="4" w:space="0"/>
              <w:left w:val="single" w:color="auto" w:sz="4" w:space="0"/>
              <w:bottom w:val="single" w:color="auto" w:sz="4" w:space="0"/>
            </w:tcBorders>
            <w:shd w:val="clear" w:color="auto" w:fill="FFFFFF"/>
            <w:vAlign w:val="center"/>
          </w:tcPr>
          <w:p w14:paraId="0712FB0F">
            <w:pPr>
              <w:pStyle w:val="19"/>
              <w:shd w:val="clear" w:color="auto"/>
              <w:spacing w:before="0" w:after="0" w:line="360" w:lineRule="exact"/>
              <w:rPr>
                <w:rFonts w:hint="eastAsia" w:ascii="宋体" w:hAnsi="宋体" w:eastAsia="宋体" w:cs="宋体"/>
                <w:iCs/>
                <w:kern w:val="2"/>
                <w:sz w:val="21"/>
                <w:szCs w:val="21"/>
                <w:shd w:val="clear" w:color="auto" w:fill="FFFFFF"/>
                <w:lang w:val="en-US" w:eastAsia="zh-CN" w:bidi="ar-SA"/>
              </w:rPr>
            </w:pPr>
            <w:r>
              <w:rPr>
                <w:rStyle w:val="20"/>
                <w:rFonts w:hint="eastAsia" w:ascii="宋体" w:hAnsi="宋体" w:eastAsia="宋体" w:cs="宋体"/>
                <w:i w:val="0"/>
                <w:color w:val="auto"/>
                <w:spacing w:val="0"/>
                <w:sz w:val="21"/>
                <w:szCs w:val="21"/>
                <w:lang w:val="en-US" w:eastAsia="zh-CN"/>
              </w:rPr>
              <w:t>通过第一个信封详细评审的投标人数量</w:t>
            </w:r>
          </w:p>
        </w:tc>
        <w:tc>
          <w:tcPr>
            <w:tcW w:w="6617" w:type="dxa"/>
            <w:tcBorders>
              <w:top w:val="single" w:color="auto" w:sz="4" w:space="0"/>
              <w:left w:val="single" w:color="auto" w:sz="4" w:space="0"/>
              <w:bottom w:val="single" w:color="auto" w:sz="4" w:space="0"/>
            </w:tcBorders>
            <w:shd w:val="clear" w:color="auto" w:fill="FFFFFF"/>
            <w:vAlign w:val="center"/>
          </w:tcPr>
          <w:p w14:paraId="0BA80163">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按照投标人的商务和技术得分由高到低顺序，选择前6名通过详细评审。通过投标文件第一个信封（商务及技术文件）初步评审的投标人不少于3名且未超过 6 名的，均通过详细评审，不再对投标人的商务和技术文件进行评分。</w:t>
            </w:r>
          </w:p>
          <w:p w14:paraId="378BF42B">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商务和技术得分相等时：</w:t>
            </w:r>
          </w:p>
          <w:p w14:paraId="2C0E328C">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（1）履约信誉得分较高的投标人优先；</w:t>
            </w:r>
          </w:p>
          <w:p w14:paraId="29559370">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lang w:val="en-US" w:eastAsia="zh-CN"/>
              </w:rPr>
            </w:pPr>
            <w:r>
              <w:rPr>
                <w:rStyle w:val="20"/>
                <w:rFonts w:hint="eastAsia" w:ascii="宋体" w:hAnsi="宋体" w:eastAsia="宋体" w:cs="宋体"/>
                <w:i w:val="0"/>
                <w:color w:val="auto"/>
                <w:spacing w:val="0"/>
                <w:sz w:val="21"/>
                <w:szCs w:val="21"/>
                <w:lang w:val="en-US" w:eastAsia="zh-CN"/>
              </w:rPr>
              <w:t>（2）施工组织设计得分较高的投标人优先。</w:t>
            </w:r>
          </w:p>
          <w:p w14:paraId="75121302">
            <w:pPr>
              <w:pStyle w:val="19"/>
              <w:shd w:val="clear" w:color="auto"/>
              <w:spacing w:before="0" w:after="0" w:line="360" w:lineRule="exact"/>
              <w:ind w:right="59" w:rightChars="28" w:firstLine="60" w:firstLineChars="29"/>
              <w:jc w:val="both"/>
              <w:rPr>
                <w:rFonts w:hint="eastAsia" w:ascii="宋体" w:hAnsi="宋体" w:eastAsia="宋体" w:cs="宋体"/>
                <w:i w:val="0"/>
                <w:iCs/>
                <w:color w:val="auto"/>
                <w:spacing w:val="0"/>
                <w:w w:val="100"/>
                <w:kern w:val="2"/>
                <w:position w:val="0"/>
                <w:sz w:val="21"/>
                <w:szCs w:val="21"/>
                <w:shd w:val="clear" w:color="auto" w:fill="FFFFFF"/>
                <w:lang w:val="en-US" w:eastAsia="zh-CN" w:bidi="ar-SA"/>
              </w:rPr>
            </w:pPr>
            <w:r>
              <w:rPr>
                <w:rStyle w:val="20"/>
                <w:rFonts w:hint="eastAsia" w:ascii="宋体" w:hAnsi="宋体" w:eastAsia="宋体" w:cs="宋体"/>
                <w:i w:val="0"/>
                <w:color w:val="auto"/>
                <w:spacing w:val="0"/>
                <w:sz w:val="21"/>
                <w:szCs w:val="21"/>
                <w:lang w:val="en-US" w:eastAsia="zh-CN"/>
              </w:rPr>
              <w:t>（3）符合要求的单位业绩累计合同额高的投标人优先。</w:t>
            </w:r>
          </w:p>
        </w:tc>
      </w:tr>
      <w:tr w14:paraId="1AA29C0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0" w:hRule="atLeast"/>
        </w:trPr>
        <w:tc>
          <w:tcPr>
            <w:tcW w:w="9338" w:type="dxa"/>
            <w:gridSpan w:val="3"/>
            <w:tcBorders>
              <w:top w:val="single" w:color="auto" w:sz="4" w:space="0"/>
              <w:bottom w:val="single" w:color="auto" w:sz="4" w:space="0"/>
            </w:tcBorders>
            <w:shd w:val="clear" w:color="auto" w:fill="FFFFFF"/>
            <w:vAlign w:val="center"/>
          </w:tcPr>
          <w:p w14:paraId="54C153B2">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lang w:val="en-US" w:eastAsia="zh-CN"/>
              </w:rPr>
            </w:pPr>
            <w:r>
              <w:rPr>
                <w:rFonts w:hint="eastAsia" w:ascii="宋体" w:hAnsi="宋体" w:eastAsia="宋体" w:cs="宋体"/>
                <w:color w:val="000000"/>
                <w:kern w:val="0"/>
                <w:sz w:val="21"/>
                <w:szCs w:val="21"/>
                <w:lang w:val="en-US" w:eastAsia="zh-CN" w:bidi="ar"/>
              </w:rPr>
              <w:t>需补充的其他内容</w:t>
            </w:r>
          </w:p>
        </w:tc>
      </w:tr>
      <w:tr w14:paraId="54C8E51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0" w:hRule="atLeast"/>
        </w:trPr>
        <w:tc>
          <w:tcPr>
            <w:tcW w:w="1037" w:type="dxa"/>
            <w:tcBorders>
              <w:top w:val="single" w:color="auto" w:sz="4" w:space="0"/>
            </w:tcBorders>
            <w:shd w:val="clear" w:color="auto" w:fill="FFFFFF"/>
            <w:vAlign w:val="center"/>
          </w:tcPr>
          <w:p w14:paraId="6305D6D6">
            <w:pPr>
              <w:keepNext w:val="0"/>
              <w:keepLines w:val="0"/>
              <w:widowControl/>
              <w:suppressLineNumbers w:val="0"/>
              <w:jc w:val="left"/>
              <w:rPr>
                <w:rStyle w:val="20"/>
                <w:rFonts w:hint="eastAsia"/>
                <w:i w:val="0"/>
                <w:iCs w:val="0"/>
                <w:color w:val="auto"/>
                <w:spacing w:val="0"/>
                <w:kern w:val="2"/>
                <w:sz w:val="21"/>
                <w:szCs w:val="21"/>
                <w:lang w:val="en-US" w:eastAsia="zh-CN" w:bidi="ar-SA"/>
              </w:rPr>
            </w:pPr>
            <w:r>
              <w:rPr>
                <w:rStyle w:val="20"/>
                <w:rFonts w:hint="eastAsia"/>
                <w:i w:val="0"/>
                <w:iCs w:val="0"/>
                <w:color w:val="auto"/>
                <w:spacing w:val="0"/>
                <w:kern w:val="2"/>
                <w:sz w:val="21"/>
                <w:szCs w:val="21"/>
                <w:lang w:val="en-US" w:eastAsia="zh-CN" w:bidi="ar-SA"/>
              </w:rPr>
              <w:t xml:space="preserve">增加 </w:t>
            </w:r>
            <w:r>
              <w:rPr>
                <w:rStyle w:val="20"/>
                <w:rFonts w:hint="default"/>
                <w:i w:val="0"/>
                <w:iCs w:val="0"/>
                <w:color w:val="auto"/>
                <w:spacing w:val="0"/>
                <w:kern w:val="2"/>
                <w:sz w:val="21"/>
                <w:szCs w:val="21"/>
                <w:lang w:val="en-US" w:eastAsia="zh-CN" w:bidi="ar-SA"/>
              </w:rPr>
              <w:t>4.3</w:t>
            </w:r>
          </w:p>
          <w:p w14:paraId="56EE3E05">
            <w:pPr>
              <w:pStyle w:val="19"/>
              <w:shd w:val="clear" w:color="auto"/>
              <w:spacing w:before="0" w:after="0" w:line="360" w:lineRule="exact"/>
              <w:rPr>
                <w:rFonts w:hint="eastAsia" w:ascii="宋体" w:hAnsi="宋体" w:eastAsia="宋体" w:cs="宋体"/>
                <w:i w:val="0"/>
                <w:iCs w:val="0"/>
                <w:color w:val="auto"/>
                <w:spacing w:val="0"/>
                <w:w w:val="100"/>
                <w:kern w:val="2"/>
                <w:position w:val="0"/>
                <w:sz w:val="21"/>
                <w:szCs w:val="21"/>
                <w:shd w:val="clear" w:color="auto" w:fill="FFFFFF"/>
                <w:lang w:val="en-US" w:eastAsia="zh-CN" w:bidi="ar-SA"/>
              </w:rPr>
            </w:pPr>
          </w:p>
        </w:tc>
        <w:tc>
          <w:tcPr>
            <w:tcW w:w="1684" w:type="dxa"/>
            <w:tcBorders>
              <w:top w:val="single" w:color="auto" w:sz="4" w:space="0"/>
              <w:left w:val="single" w:color="auto" w:sz="4" w:space="0"/>
            </w:tcBorders>
            <w:shd w:val="clear" w:color="auto" w:fill="FFFFFF"/>
            <w:vAlign w:val="center"/>
          </w:tcPr>
          <w:p w14:paraId="336D967C">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eastAsia"/>
                <w:i w:val="0"/>
                <w:color w:val="auto"/>
                <w:spacing w:val="0"/>
                <w:kern w:val="2"/>
                <w:sz w:val="21"/>
                <w:szCs w:val="21"/>
                <w:lang w:val="en-US" w:eastAsia="zh-CN" w:bidi="ar-SA"/>
              </w:rPr>
              <w:t xml:space="preserve">评标报告应载明 </w:t>
            </w:r>
          </w:p>
          <w:p w14:paraId="5B6F5537">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eastAsia"/>
                <w:i w:val="0"/>
                <w:color w:val="auto"/>
                <w:spacing w:val="0"/>
                <w:kern w:val="2"/>
                <w:sz w:val="21"/>
                <w:szCs w:val="21"/>
                <w:lang w:val="en-US" w:eastAsia="zh-CN" w:bidi="ar-SA"/>
              </w:rPr>
              <w:t>的内容</w:t>
            </w:r>
          </w:p>
          <w:p w14:paraId="0C59FB39">
            <w:pPr>
              <w:pStyle w:val="19"/>
              <w:shd w:val="clear" w:color="auto"/>
              <w:spacing w:before="0" w:after="0" w:line="360" w:lineRule="exact"/>
              <w:rPr>
                <w:rFonts w:hint="eastAsia" w:ascii="宋体" w:hAnsi="宋体" w:eastAsia="宋体" w:cs="宋体"/>
                <w:i w:val="0"/>
                <w:iCs/>
                <w:color w:val="auto"/>
                <w:spacing w:val="0"/>
                <w:w w:val="100"/>
                <w:kern w:val="2"/>
                <w:position w:val="0"/>
                <w:sz w:val="21"/>
                <w:szCs w:val="21"/>
                <w:shd w:val="clear" w:color="auto" w:fill="FFFFFF"/>
                <w:lang w:val="en-US" w:eastAsia="zh-CN" w:bidi="ar-SA"/>
              </w:rPr>
            </w:pPr>
          </w:p>
        </w:tc>
        <w:tc>
          <w:tcPr>
            <w:tcW w:w="6617" w:type="dxa"/>
            <w:tcBorders>
              <w:top w:val="single" w:color="auto" w:sz="4" w:space="0"/>
              <w:left w:val="single" w:color="auto" w:sz="4" w:space="0"/>
            </w:tcBorders>
            <w:shd w:val="clear" w:color="auto" w:fill="FFFFFF"/>
            <w:vAlign w:val="center"/>
          </w:tcPr>
          <w:p w14:paraId="09415260">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eastAsia"/>
                <w:i w:val="0"/>
                <w:color w:val="auto"/>
                <w:spacing w:val="0"/>
                <w:kern w:val="2"/>
                <w:sz w:val="21"/>
                <w:szCs w:val="21"/>
                <w:lang w:val="en-US" w:eastAsia="zh-CN" w:bidi="ar-SA"/>
              </w:rPr>
              <w:t xml:space="preserve">评标报告应载明下列内容： </w:t>
            </w:r>
          </w:p>
          <w:p w14:paraId="4C17A7E9">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1.</w:t>
            </w:r>
            <w:r>
              <w:rPr>
                <w:rStyle w:val="20"/>
                <w:rFonts w:hint="eastAsia"/>
                <w:i w:val="0"/>
                <w:color w:val="auto"/>
                <w:spacing w:val="0"/>
                <w:kern w:val="2"/>
                <w:sz w:val="21"/>
                <w:szCs w:val="21"/>
                <w:lang w:val="en-US" w:eastAsia="zh-CN" w:bidi="ar-SA"/>
              </w:rPr>
              <w:t xml:space="preserve">招标项目基本情况； </w:t>
            </w:r>
          </w:p>
          <w:p w14:paraId="032A4699">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2.</w:t>
            </w:r>
            <w:r>
              <w:rPr>
                <w:rStyle w:val="20"/>
                <w:rFonts w:hint="eastAsia"/>
                <w:i w:val="0"/>
                <w:color w:val="auto"/>
                <w:spacing w:val="0"/>
                <w:kern w:val="2"/>
                <w:sz w:val="21"/>
                <w:szCs w:val="21"/>
                <w:lang w:val="en-US" w:eastAsia="zh-CN" w:bidi="ar-SA"/>
              </w:rPr>
              <w:t xml:space="preserve">评标委员会成员名单； </w:t>
            </w:r>
          </w:p>
          <w:p w14:paraId="785BEDBB">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3.</w:t>
            </w:r>
            <w:r>
              <w:rPr>
                <w:rStyle w:val="20"/>
                <w:rFonts w:hint="eastAsia"/>
                <w:i w:val="0"/>
                <w:color w:val="auto"/>
                <w:spacing w:val="0"/>
                <w:kern w:val="2"/>
                <w:sz w:val="21"/>
                <w:szCs w:val="21"/>
                <w:lang w:val="en-US" w:eastAsia="zh-CN" w:bidi="ar-SA"/>
              </w:rPr>
              <w:t xml:space="preserve">开标记录； </w:t>
            </w:r>
          </w:p>
          <w:p w14:paraId="42F375B8">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4.</w:t>
            </w:r>
            <w:r>
              <w:rPr>
                <w:rStyle w:val="20"/>
                <w:rFonts w:hint="eastAsia"/>
                <w:i w:val="0"/>
                <w:color w:val="auto"/>
                <w:spacing w:val="0"/>
                <w:kern w:val="2"/>
                <w:sz w:val="21"/>
                <w:szCs w:val="21"/>
                <w:lang w:val="en-US" w:eastAsia="zh-CN" w:bidi="ar-SA"/>
              </w:rPr>
              <w:t xml:space="preserve">符合要求的投标人名单； </w:t>
            </w:r>
          </w:p>
          <w:p w14:paraId="1DBCD762">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5.</w:t>
            </w:r>
            <w:r>
              <w:rPr>
                <w:rStyle w:val="20"/>
                <w:rFonts w:hint="eastAsia"/>
                <w:i w:val="0"/>
                <w:color w:val="auto"/>
                <w:spacing w:val="0"/>
                <w:kern w:val="2"/>
                <w:sz w:val="21"/>
                <w:szCs w:val="21"/>
                <w:lang w:val="en-US" w:eastAsia="zh-CN" w:bidi="ar-SA"/>
              </w:rPr>
              <w:t xml:space="preserve">否决的投标人名单及否决理由； </w:t>
            </w:r>
          </w:p>
          <w:p w14:paraId="2D00625B">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6.</w:t>
            </w:r>
            <w:r>
              <w:rPr>
                <w:rStyle w:val="20"/>
                <w:rFonts w:hint="eastAsia"/>
                <w:i w:val="0"/>
                <w:color w:val="auto"/>
                <w:spacing w:val="0"/>
                <w:kern w:val="2"/>
                <w:sz w:val="21"/>
                <w:szCs w:val="21"/>
                <w:lang w:val="en-US" w:eastAsia="zh-CN" w:bidi="ar-SA"/>
              </w:rPr>
              <w:t xml:space="preserve">串通投标情形的评审情况说明； </w:t>
            </w:r>
          </w:p>
          <w:p w14:paraId="70B298DC">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7.</w:t>
            </w:r>
            <w:r>
              <w:rPr>
                <w:rStyle w:val="20"/>
                <w:rFonts w:hint="eastAsia"/>
                <w:i w:val="0"/>
                <w:color w:val="auto"/>
                <w:spacing w:val="0"/>
                <w:kern w:val="2"/>
                <w:sz w:val="21"/>
                <w:szCs w:val="21"/>
                <w:lang w:val="en-US" w:eastAsia="zh-CN" w:bidi="ar-SA"/>
              </w:rPr>
              <w:t xml:space="preserve">评分情况； </w:t>
            </w:r>
          </w:p>
          <w:p w14:paraId="110DFF1C">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8.</w:t>
            </w:r>
            <w:r>
              <w:rPr>
                <w:rStyle w:val="20"/>
                <w:rFonts w:hint="eastAsia"/>
                <w:i w:val="0"/>
                <w:color w:val="auto"/>
                <w:spacing w:val="0"/>
                <w:kern w:val="2"/>
                <w:sz w:val="21"/>
                <w:szCs w:val="21"/>
                <w:lang w:val="en-US" w:eastAsia="zh-CN" w:bidi="ar-SA"/>
              </w:rPr>
              <w:t xml:space="preserve">经评审的投标人排序； </w:t>
            </w:r>
          </w:p>
          <w:p w14:paraId="6DF66B05">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9.</w:t>
            </w:r>
            <w:r>
              <w:rPr>
                <w:rStyle w:val="20"/>
                <w:rFonts w:hint="eastAsia"/>
                <w:i w:val="0"/>
                <w:color w:val="auto"/>
                <w:spacing w:val="0"/>
                <w:kern w:val="2"/>
                <w:sz w:val="21"/>
                <w:szCs w:val="21"/>
                <w:lang w:val="en-US" w:eastAsia="zh-CN" w:bidi="ar-SA"/>
              </w:rPr>
              <w:t xml:space="preserve">中标候选人名单； </w:t>
            </w:r>
          </w:p>
          <w:p w14:paraId="6CC9E8A0">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10.</w:t>
            </w:r>
            <w:r>
              <w:rPr>
                <w:rStyle w:val="20"/>
                <w:rFonts w:hint="eastAsia"/>
                <w:i w:val="0"/>
                <w:color w:val="auto"/>
                <w:spacing w:val="0"/>
                <w:kern w:val="2"/>
                <w:sz w:val="21"/>
                <w:szCs w:val="21"/>
                <w:lang w:val="en-US" w:eastAsia="zh-CN" w:bidi="ar-SA"/>
              </w:rPr>
              <w:t xml:space="preserve">澄清、说明事项纪要； </w:t>
            </w:r>
          </w:p>
          <w:p w14:paraId="463221A8">
            <w:pPr>
              <w:keepNext w:val="0"/>
              <w:keepLines w:val="0"/>
              <w:widowControl/>
              <w:suppressLineNumbers w:val="0"/>
              <w:jc w:val="left"/>
              <w:rPr>
                <w:rStyle w:val="20"/>
                <w:rFonts w:hint="eastAsia"/>
                <w:i w:val="0"/>
                <w:color w:val="auto"/>
                <w:spacing w:val="0"/>
                <w:kern w:val="2"/>
                <w:sz w:val="21"/>
                <w:szCs w:val="21"/>
                <w:lang w:val="en-US" w:eastAsia="zh-CN" w:bidi="ar-SA"/>
              </w:rPr>
            </w:pPr>
            <w:r>
              <w:rPr>
                <w:rStyle w:val="20"/>
                <w:rFonts w:hint="default"/>
                <w:i w:val="0"/>
                <w:color w:val="auto"/>
                <w:spacing w:val="0"/>
                <w:kern w:val="2"/>
                <w:sz w:val="21"/>
                <w:szCs w:val="21"/>
                <w:lang w:val="en-US" w:eastAsia="zh-CN" w:bidi="ar-SA"/>
              </w:rPr>
              <w:t>11.</w:t>
            </w:r>
            <w:r>
              <w:rPr>
                <w:rStyle w:val="20"/>
                <w:rFonts w:hint="eastAsia"/>
                <w:i w:val="0"/>
                <w:color w:val="auto"/>
                <w:spacing w:val="0"/>
                <w:kern w:val="2"/>
                <w:sz w:val="21"/>
                <w:szCs w:val="21"/>
                <w:lang w:val="en-US" w:eastAsia="zh-CN" w:bidi="ar-SA"/>
              </w:rPr>
              <w:t xml:space="preserve">需要说明的其他事项； </w:t>
            </w:r>
          </w:p>
          <w:p w14:paraId="7AFF2170">
            <w:pPr>
              <w:keepNext w:val="0"/>
              <w:keepLines w:val="0"/>
              <w:widowControl/>
              <w:suppressLineNumbers w:val="0"/>
              <w:jc w:val="left"/>
              <w:rPr>
                <w:rFonts w:hint="eastAsia" w:ascii="宋体" w:hAnsi="宋体" w:eastAsia="宋体" w:cs="宋体"/>
                <w:i w:val="0"/>
                <w:iCs/>
                <w:color w:val="auto"/>
                <w:spacing w:val="0"/>
                <w:w w:val="100"/>
                <w:kern w:val="2"/>
                <w:position w:val="0"/>
                <w:sz w:val="21"/>
                <w:szCs w:val="21"/>
                <w:shd w:val="clear" w:color="auto" w:fill="FFFFFF"/>
                <w:lang w:val="en-US" w:eastAsia="zh-CN" w:bidi="ar-SA"/>
              </w:rPr>
            </w:pPr>
            <w:r>
              <w:rPr>
                <w:rStyle w:val="20"/>
                <w:rFonts w:hint="default"/>
                <w:i w:val="0"/>
                <w:color w:val="auto"/>
                <w:spacing w:val="0"/>
                <w:kern w:val="2"/>
                <w:sz w:val="21"/>
                <w:szCs w:val="21"/>
                <w:lang w:val="en-US" w:eastAsia="zh-CN" w:bidi="ar-SA"/>
              </w:rPr>
              <w:t>12.</w:t>
            </w:r>
            <w:r>
              <w:rPr>
                <w:rStyle w:val="20"/>
                <w:rFonts w:hint="eastAsia"/>
                <w:i w:val="0"/>
                <w:color w:val="auto"/>
                <w:spacing w:val="0"/>
                <w:kern w:val="2"/>
                <w:sz w:val="21"/>
                <w:szCs w:val="21"/>
                <w:lang w:val="en-US" w:eastAsia="zh-CN" w:bidi="ar-SA"/>
              </w:rPr>
              <w:t>评标附表。</w:t>
            </w:r>
          </w:p>
        </w:tc>
      </w:tr>
    </w:tbl>
    <w:p w14:paraId="1220C684">
      <w:pPr>
        <w:pStyle w:val="2"/>
        <w:spacing w:before="156" w:beforeLines="50" w:after="156" w:afterLines="50" w:line="240" w:lineRule="auto"/>
      </w:pPr>
      <w:r>
        <w:t>详细评分标准</w:t>
      </w:r>
    </w:p>
    <w:tbl>
      <w:tblPr>
        <w:tblStyle w:val="8"/>
        <w:tblW w:w="93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7"/>
        <w:gridCol w:w="637"/>
        <w:gridCol w:w="786"/>
        <w:gridCol w:w="2011"/>
        <w:gridCol w:w="638"/>
        <w:gridCol w:w="4319"/>
      </w:tblGrid>
      <w:tr w14:paraId="05E08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7" w:hRule="atLeast"/>
        </w:trPr>
        <w:tc>
          <w:tcPr>
            <w:tcW w:w="937" w:type="dxa"/>
            <w:vMerge w:val="restart"/>
            <w:noWrap w:val="0"/>
            <w:vAlign w:val="center"/>
          </w:tcPr>
          <w:p w14:paraId="71961D42">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条款号</w:t>
            </w:r>
          </w:p>
        </w:tc>
        <w:tc>
          <w:tcPr>
            <w:tcW w:w="4072" w:type="dxa"/>
            <w:gridSpan w:val="4"/>
            <w:noWrap w:val="0"/>
            <w:vAlign w:val="center"/>
          </w:tcPr>
          <w:p w14:paraId="7202F275">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评分因素与权重分值</w:t>
            </w:r>
          </w:p>
        </w:tc>
        <w:tc>
          <w:tcPr>
            <w:tcW w:w="4319" w:type="dxa"/>
            <w:vMerge w:val="restart"/>
            <w:noWrap w:val="0"/>
            <w:vAlign w:val="center"/>
          </w:tcPr>
          <w:p w14:paraId="1DFCB066">
            <w:pPr>
              <w:pStyle w:val="18"/>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评分标准</w:t>
            </w:r>
          </w:p>
        </w:tc>
      </w:tr>
      <w:tr w14:paraId="1CB0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937" w:type="dxa"/>
            <w:vMerge w:val="continue"/>
            <w:noWrap w:val="0"/>
            <w:vAlign w:val="top"/>
          </w:tcPr>
          <w:p w14:paraId="5714543E">
            <w:pPr>
              <w:spacing w:line="240" w:lineRule="atLeast"/>
              <w:rPr>
                <w:rFonts w:hint="eastAsia" w:ascii="宋体" w:hAnsi="宋体" w:eastAsia="宋体" w:cs="宋体"/>
                <w:color w:val="auto"/>
                <w:highlight w:val="none"/>
              </w:rPr>
            </w:pPr>
          </w:p>
        </w:tc>
        <w:tc>
          <w:tcPr>
            <w:tcW w:w="637" w:type="dxa"/>
            <w:noWrap w:val="0"/>
            <w:vAlign w:val="center"/>
          </w:tcPr>
          <w:p w14:paraId="2CDD0260">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评分</w:t>
            </w:r>
          </w:p>
          <w:p w14:paraId="6697469A">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因素</w:t>
            </w:r>
          </w:p>
        </w:tc>
        <w:tc>
          <w:tcPr>
            <w:tcW w:w="786" w:type="dxa"/>
            <w:noWrap w:val="0"/>
            <w:vAlign w:val="center"/>
          </w:tcPr>
          <w:p w14:paraId="53E216FC">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评分因</w:t>
            </w:r>
          </w:p>
          <w:p w14:paraId="6EE6AA2C">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素权重</w:t>
            </w:r>
          </w:p>
          <w:p w14:paraId="3EFEF44B">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分值</w:t>
            </w:r>
          </w:p>
        </w:tc>
        <w:tc>
          <w:tcPr>
            <w:tcW w:w="2011" w:type="dxa"/>
            <w:noWrap w:val="0"/>
            <w:vAlign w:val="center"/>
          </w:tcPr>
          <w:p w14:paraId="0C23048C">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各评分因素</w:t>
            </w:r>
          </w:p>
          <w:p w14:paraId="029A324B">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细分项</w:t>
            </w:r>
          </w:p>
        </w:tc>
        <w:tc>
          <w:tcPr>
            <w:tcW w:w="638" w:type="dxa"/>
            <w:noWrap w:val="0"/>
            <w:vAlign w:val="center"/>
          </w:tcPr>
          <w:p w14:paraId="588CCA29">
            <w:pPr>
              <w:spacing w:line="240" w:lineRule="atLeas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分值</w:t>
            </w:r>
          </w:p>
        </w:tc>
        <w:tc>
          <w:tcPr>
            <w:tcW w:w="4319" w:type="dxa"/>
            <w:vMerge w:val="continue"/>
            <w:noWrap w:val="0"/>
            <w:vAlign w:val="top"/>
          </w:tcPr>
          <w:p w14:paraId="25EC758C">
            <w:pPr>
              <w:spacing w:line="240" w:lineRule="atLeast"/>
              <w:rPr>
                <w:rFonts w:hint="eastAsia" w:ascii="宋体" w:hAnsi="宋体" w:eastAsia="宋体" w:cs="宋体"/>
                <w:color w:val="auto"/>
                <w:highlight w:val="none"/>
              </w:rPr>
            </w:pPr>
          </w:p>
        </w:tc>
      </w:tr>
      <w:tr w14:paraId="324E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 w:hRule="atLeast"/>
        </w:trPr>
        <w:tc>
          <w:tcPr>
            <w:tcW w:w="937" w:type="dxa"/>
            <w:vMerge w:val="restart"/>
            <w:noWrap w:val="0"/>
            <w:vAlign w:val="center"/>
          </w:tcPr>
          <w:p w14:paraId="0DCD1561">
            <w:pPr>
              <w:spacing w:line="24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2.2.</w:t>
            </w:r>
            <w:r>
              <w:rPr>
                <w:rFonts w:hint="eastAsia" w:ascii="宋体" w:hAnsi="宋体" w:eastAsia="宋体" w:cs="宋体"/>
                <w:color w:val="auto"/>
                <w:highlight w:val="none"/>
                <w:lang w:eastAsia="zh-CN"/>
              </w:rPr>
              <w:t>2（1）</w:t>
            </w:r>
          </w:p>
        </w:tc>
        <w:tc>
          <w:tcPr>
            <w:tcW w:w="637" w:type="dxa"/>
            <w:vMerge w:val="restart"/>
            <w:noWrap w:val="0"/>
            <w:vAlign w:val="center"/>
          </w:tcPr>
          <w:p w14:paraId="04FA3EDF">
            <w:pPr>
              <w:pStyle w:val="18"/>
              <w:spacing w:line="240" w:lineRule="atLeast"/>
              <w:jc w:val="center"/>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施工组织设计</w:t>
            </w:r>
          </w:p>
        </w:tc>
        <w:tc>
          <w:tcPr>
            <w:tcW w:w="786" w:type="dxa"/>
            <w:vMerge w:val="restart"/>
            <w:noWrap w:val="0"/>
            <w:vAlign w:val="center"/>
          </w:tcPr>
          <w:p w14:paraId="07E3A8CA">
            <w:pPr>
              <w:pStyle w:val="18"/>
              <w:spacing w:line="244" w:lineRule="auto"/>
              <w:ind w:left="143" w:right="131"/>
              <w:jc w:val="center"/>
              <w:rPr>
                <w:rFonts w:hint="eastAsia" w:ascii="宋体" w:hAnsi="宋体" w:eastAsia="宋体" w:cs="宋体"/>
                <w:b/>
                <w:color w:val="auto"/>
                <w:highlight w:val="none"/>
              </w:rPr>
            </w:pPr>
            <w:r>
              <w:rPr>
                <w:rFonts w:hint="eastAsia" w:ascii="宋体" w:hAnsi="宋体" w:eastAsia="宋体" w:cs="宋体"/>
                <w:bCs/>
                <w:color w:val="auto"/>
                <w:highlight w:val="none"/>
                <w:lang w:eastAsia="zh-CN"/>
              </w:rPr>
              <w:t>40</w:t>
            </w:r>
            <w:r>
              <w:rPr>
                <w:rFonts w:hint="eastAsia" w:ascii="宋体" w:hAnsi="宋体" w:eastAsia="宋体" w:cs="宋体"/>
                <w:bCs/>
                <w:color w:val="auto"/>
                <w:highlight w:val="none"/>
              </w:rPr>
              <w:t>分</w:t>
            </w:r>
          </w:p>
        </w:tc>
        <w:tc>
          <w:tcPr>
            <w:tcW w:w="2011" w:type="dxa"/>
            <w:noWrap w:val="0"/>
            <w:vAlign w:val="center"/>
          </w:tcPr>
          <w:p w14:paraId="49B0E59E">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总体施工组织布置及规划</w:t>
            </w:r>
          </w:p>
        </w:tc>
        <w:tc>
          <w:tcPr>
            <w:tcW w:w="638" w:type="dxa"/>
            <w:noWrap w:val="0"/>
            <w:vAlign w:val="center"/>
          </w:tcPr>
          <w:p w14:paraId="0C6B6E8A">
            <w:pPr>
              <w:ind w:left="-38" w:leftChars="-18" w:right="-50" w:rightChars="-2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10</w:t>
            </w:r>
          </w:p>
        </w:tc>
        <w:tc>
          <w:tcPr>
            <w:tcW w:w="4319" w:type="dxa"/>
            <w:noWrap w:val="0"/>
            <w:vAlign w:val="center"/>
          </w:tcPr>
          <w:p w14:paraId="2B1B3EC3">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好得9～10分；较好得7～9分；基本满足要求得6～7分。</w:t>
            </w:r>
          </w:p>
        </w:tc>
      </w:tr>
      <w:tr w14:paraId="32F6B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trPr>
        <w:tc>
          <w:tcPr>
            <w:tcW w:w="937" w:type="dxa"/>
            <w:vMerge w:val="continue"/>
            <w:noWrap w:val="0"/>
            <w:vAlign w:val="top"/>
          </w:tcPr>
          <w:p w14:paraId="332A8C95">
            <w:pPr>
              <w:pStyle w:val="4"/>
              <w:spacing w:line="240" w:lineRule="atLeast"/>
              <w:rPr>
                <w:rFonts w:hint="eastAsia" w:ascii="宋体" w:hAnsi="宋体" w:eastAsia="宋体" w:cs="宋体"/>
                <w:color w:val="auto"/>
                <w:sz w:val="21"/>
                <w:highlight w:val="none"/>
                <w:lang w:eastAsia="zh-CN"/>
              </w:rPr>
            </w:pPr>
          </w:p>
        </w:tc>
        <w:tc>
          <w:tcPr>
            <w:tcW w:w="637" w:type="dxa"/>
            <w:vMerge w:val="continue"/>
            <w:noWrap w:val="0"/>
            <w:vAlign w:val="top"/>
          </w:tcPr>
          <w:p w14:paraId="51D5368A">
            <w:pPr>
              <w:pStyle w:val="18"/>
              <w:spacing w:line="240" w:lineRule="atLeast"/>
              <w:rPr>
                <w:rFonts w:hint="eastAsia" w:ascii="宋体" w:hAnsi="宋体" w:eastAsia="宋体" w:cs="宋体"/>
                <w:b/>
                <w:color w:val="auto"/>
                <w:highlight w:val="none"/>
                <w:lang w:eastAsia="zh-CN"/>
              </w:rPr>
            </w:pPr>
          </w:p>
        </w:tc>
        <w:tc>
          <w:tcPr>
            <w:tcW w:w="786" w:type="dxa"/>
            <w:vMerge w:val="continue"/>
            <w:noWrap w:val="0"/>
            <w:vAlign w:val="top"/>
          </w:tcPr>
          <w:p w14:paraId="035CFB84">
            <w:pPr>
              <w:pStyle w:val="18"/>
              <w:spacing w:line="244" w:lineRule="auto"/>
              <w:ind w:left="143" w:right="131"/>
              <w:rPr>
                <w:rFonts w:hint="eastAsia" w:ascii="宋体" w:hAnsi="宋体" w:eastAsia="宋体" w:cs="宋体"/>
                <w:b/>
                <w:color w:val="auto"/>
                <w:highlight w:val="none"/>
                <w:lang w:eastAsia="zh-CN"/>
              </w:rPr>
            </w:pPr>
          </w:p>
        </w:tc>
        <w:tc>
          <w:tcPr>
            <w:tcW w:w="2011" w:type="dxa"/>
            <w:noWrap w:val="0"/>
            <w:vAlign w:val="center"/>
          </w:tcPr>
          <w:p w14:paraId="2EA012E8">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施工方案、方法与技术措施</w:t>
            </w:r>
          </w:p>
        </w:tc>
        <w:tc>
          <w:tcPr>
            <w:tcW w:w="638" w:type="dxa"/>
            <w:noWrap w:val="0"/>
            <w:vAlign w:val="center"/>
          </w:tcPr>
          <w:p w14:paraId="148A9B31">
            <w:pPr>
              <w:spacing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10</w:t>
            </w:r>
          </w:p>
        </w:tc>
        <w:tc>
          <w:tcPr>
            <w:tcW w:w="4319" w:type="dxa"/>
            <w:noWrap w:val="0"/>
            <w:vAlign w:val="center"/>
          </w:tcPr>
          <w:p w14:paraId="0AFAC29B">
            <w:pPr>
              <w:spacing w:line="240" w:lineRule="atLeast"/>
              <w:ind w:left="105" w:leftChars="50" w:right="105" w:rightChars="5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好得9～10分；较好得7～9分；基本满足要求得6～7分。</w:t>
            </w:r>
          </w:p>
        </w:tc>
      </w:tr>
      <w:tr w14:paraId="549D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1" w:hRule="atLeast"/>
        </w:trPr>
        <w:tc>
          <w:tcPr>
            <w:tcW w:w="937" w:type="dxa"/>
            <w:vMerge w:val="continue"/>
            <w:noWrap w:val="0"/>
            <w:vAlign w:val="top"/>
          </w:tcPr>
          <w:p w14:paraId="5DCD7EED">
            <w:pPr>
              <w:spacing w:line="240" w:lineRule="atLeast"/>
              <w:rPr>
                <w:rFonts w:hint="eastAsia" w:ascii="宋体" w:hAnsi="宋体" w:eastAsia="宋体" w:cs="宋体"/>
                <w:color w:val="auto"/>
                <w:highlight w:val="none"/>
                <w:lang w:eastAsia="zh-CN"/>
              </w:rPr>
            </w:pPr>
          </w:p>
        </w:tc>
        <w:tc>
          <w:tcPr>
            <w:tcW w:w="637" w:type="dxa"/>
            <w:vMerge w:val="continue"/>
            <w:noWrap w:val="0"/>
            <w:vAlign w:val="top"/>
          </w:tcPr>
          <w:p w14:paraId="2B5E1FBF">
            <w:pPr>
              <w:pStyle w:val="18"/>
              <w:spacing w:line="240" w:lineRule="atLeast"/>
              <w:rPr>
                <w:rFonts w:hint="eastAsia" w:ascii="宋体" w:hAnsi="宋体" w:eastAsia="宋体" w:cs="宋体"/>
                <w:b/>
                <w:color w:val="auto"/>
                <w:highlight w:val="none"/>
                <w:lang w:eastAsia="zh-CN"/>
              </w:rPr>
            </w:pPr>
          </w:p>
        </w:tc>
        <w:tc>
          <w:tcPr>
            <w:tcW w:w="786" w:type="dxa"/>
            <w:vMerge w:val="continue"/>
            <w:noWrap w:val="0"/>
            <w:vAlign w:val="top"/>
          </w:tcPr>
          <w:p w14:paraId="09B88A94">
            <w:pPr>
              <w:pStyle w:val="18"/>
              <w:spacing w:line="244" w:lineRule="auto"/>
              <w:ind w:left="143" w:right="131"/>
              <w:rPr>
                <w:rFonts w:hint="eastAsia" w:ascii="宋体" w:hAnsi="宋体" w:eastAsia="宋体" w:cs="宋体"/>
                <w:b/>
                <w:color w:val="auto"/>
                <w:highlight w:val="none"/>
                <w:lang w:eastAsia="zh-CN"/>
              </w:rPr>
            </w:pPr>
          </w:p>
        </w:tc>
        <w:tc>
          <w:tcPr>
            <w:tcW w:w="2011" w:type="dxa"/>
            <w:noWrap w:val="0"/>
            <w:vAlign w:val="center"/>
          </w:tcPr>
          <w:p w14:paraId="115372F2">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工期、质量、安全生产、交通保畅管理体系及保证措施</w:t>
            </w:r>
          </w:p>
        </w:tc>
        <w:tc>
          <w:tcPr>
            <w:tcW w:w="638" w:type="dxa"/>
            <w:noWrap w:val="0"/>
            <w:vAlign w:val="center"/>
          </w:tcPr>
          <w:p w14:paraId="690B58B7">
            <w:pPr>
              <w:ind w:left="-38" w:leftChars="-18" w:right="-50" w:rightChars="-2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8</w:t>
            </w:r>
          </w:p>
        </w:tc>
        <w:tc>
          <w:tcPr>
            <w:tcW w:w="4319" w:type="dxa"/>
            <w:noWrap w:val="0"/>
            <w:vAlign w:val="center"/>
          </w:tcPr>
          <w:p w14:paraId="347EDD9E">
            <w:pPr>
              <w:spacing w:line="240" w:lineRule="atLeast"/>
              <w:ind w:left="105" w:leftChars="50" w:right="105" w:rightChars="50"/>
              <w:rPr>
                <w:rFonts w:hint="eastAsia" w:ascii="宋体" w:hAnsi="宋体" w:eastAsia="宋体" w:cs="宋体"/>
                <w:b/>
                <w:bCs/>
                <w:color w:val="auto"/>
                <w:highlight w:val="none"/>
                <w:lang w:eastAsia="zh-CN"/>
              </w:rPr>
            </w:pPr>
            <w:r>
              <w:rPr>
                <w:rFonts w:hint="eastAsia" w:ascii="宋体" w:hAnsi="宋体" w:eastAsia="宋体" w:cs="宋体"/>
                <w:color w:val="auto"/>
                <w:highlight w:val="none"/>
                <w:lang w:eastAsia="zh-CN"/>
              </w:rPr>
              <w:t>好得7.2～8分；较好得5.6～7.2分；基本满足要求得4.8～5.6分。</w:t>
            </w:r>
          </w:p>
        </w:tc>
      </w:tr>
      <w:tr w14:paraId="5FA2E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1" w:hRule="atLeast"/>
        </w:trPr>
        <w:tc>
          <w:tcPr>
            <w:tcW w:w="937" w:type="dxa"/>
            <w:vMerge w:val="continue"/>
            <w:noWrap w:val="0"/>
            <w:vAlign w:val="top"/>
          </w:tcPr>
          <w:p w14:paraId="6C922EDA">
            <w:pPr>
              <w:spacing w:line="240" w:lineRule="atLeast"/>
              <w:rPr>
                <w:rFonts w:hint="eastAsia" w:ascii="宋体" w:hAnsi="宋体" w:eastAsia="宋体" w:cs="宋体"/>
                <w:color w:val="auto"/>
                <w:highlight w:val="none"/>
                <w:lang w:eastAsia="zh-CN"/>
              </w:rPr>
            </w:pPr>
          </w:p>
        </w:tc>
        <w:tc>
          <w:tcPr>
            <w:tcW w:w="637" w:type="dxa"/>
            <w:vMerge w:val="continue"/>
            <w:noWrap w:val="0"/>
            <w:vAlign w:val="top"/>
          </w:tcPr>
          <w:p w14:paraId="2A81B49E">
            <w:pPr>
              <w:pStyle w:val="18"/>
              <w:spacing w:line="240" w:lineRule="atLeast"/>
              <w:rPr>
                <w:rFonts w:hint="eastAsia" w:ascii="宋体" w:hAnsi="宋体" w:eastAsia="宋体" w:cs="宋体"/>
                <w:b/>
                <w:color w:val="auto"/>
                <w:highlight w:val="none"/>
                <w:lang w:eastAsia="zh-CN"/>
              </w:rPr>
            </w:pPr>
          </w:p>
        </w:tc>
        <w:tc>
          <w:tcPr>
            <w:tcW w:w="786" w:type="dxa"/>
            <w:vMerge w:val="continue"/>
            <w:noWrap w:val="0"/>
            <w:vAlign w:val="top"/>
          </w:tcPr>
          <w:p w14:paraId="6322FD29">
            <w:pPr>
              <w:pStyle w:val="18"/>
              <w:spacing w:line="244" w:lineRule="auto"/>
              <w:ind w:left="143" w:right="131"/>
              <w:rPr>
                <w:rFonts w:hint="eastAsia" w:ascii="宋体" w:hAnsi="宋体" w:eastAsia="宋体" w:cs="宋体"/>
                <w:b/>
                <w:color w:val="auto"/>
                <w:highlight w:val="none"/>
                <w:lang w:eastAsia="zh-CN"/>
              </w:rPr>
            </w:pPr>
          </w:p>
        </w:tc>
        <w:tc>
          <w:tcPr>
            <w:tcW w:w="2011" w:type="dxa"/>
            <w:noWrap w:val="0"/>
            <w:vAlign w:val="center"/>
          </w:tcPr>
          <w:p w14:paraId="1FA55C17">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环境保护、文明施工、事故处理管理体系及保证措施</w:t>
            </w:r>
          </w:p>
        </w:tc>
        <w:tc>
          <w:tcPr>
            <w:tcW w:w="638" w:type="dxa"/>
            <w:noWrap w:val="0"/>
            <w:vAlign w:val="center"/>
          </w:tcPr>
          <w:p w14:paraId="5E22EBBF">
            <w:pPr>
              <w:ind w:left="-38" w:leftChars="-18" w:right="-50" w:rightChars="-2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6</w:t>
            </w:r>
          </w:p>
        </w:tc>
        <w:tc>
          <w:tcPr>
            <w:tcW w:w="4319" w:type="dxa"/>
            <w:noWrap w:val="0"/>
            <w:vAlign w:val="center"/>
          </w:tcPr>
          <w:p w14:paraId="016B88BB">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好得5.4～6分；较好得4.2～5.4分；基本满足要求得3.6～4.2分。</w:t>
            </w:r>
          </w:p>
        </w:tc>
      </w:tr>
      <w:tr w14:paraId="0E42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1" w:hRule="atLeast"/>
        </w:trPr>
        <w:tc>
          <w:tcPr>
            <w:tcW w:w="937" w:type="dxa"/>
            <w:vMerge w:val="continue"/>
            <w:noWrap w:val="0"/>
            <w:vAlign w:val="top"/>
          </w:tcPr>
          <w:p w14:paraId="09871F30">
            <w:pPr>
              <w:spacing w:line="240" w:lineRule="atLeast"/>
              <w:rPr>
                <w:rFonts w:hint="eastAsia" w:ascii="宋体" w:hAnsi="宋体" w:eastAsia="宋体" w:cs="宋体"/>
                <w:color w:val="auto"/>
                <w:highlight w:val="none"/>
                <w:lang w:eastAsia="zh-CN"/>
              </w:rPr>
            </w:pPr>
          </w:p>
        </w:tc>
        <w:tc>
          <w:tcPr>
            <w:tcW w:w="637" w:type="dxa"/>
            <w:vMerge w:val="continue"/>
            <w:noWrap w:val="0"/>
            <w:vAlign w:val="top"/>
          </w:tcPr>
          <w:p w14:paraId="25471A98">
            <w:pPr>
              <w:pStyle w:val="18"/>
              <w:spacing w:line="240" w:lineRule="atLeast"/>
              <w:rPr>
                <w:rFonts w:hint="eastAsia" w:ascii="宋体" w:hAnsi="宋体" w:eastAsia="宋体" w:cs="宋体"/>
                <w:b/>
                <w:color w:val="auto"/>
                <w:highlight w:val="none"/>
                <w:lang w:eastAsia="zh-CN"/>
              </w:rPr>
            </w:pPr>
          </w:p>
        </w:tc>
        <w:tc>
          <w:tcPr>
            <w:tcW w:w="786" w:type="dxa"/>
            <w:vMerge w:val="continue"/>
            <w:noWrap w:val="0"/>
            <w:vAlign w:val="top"/>
          </w:tcPr>
          <w:p w14:paraId="0CE86BE4">
            <w:pPr>
              <w:pStyle w:val="18"/>
              <w:spacing w:line="244" w:lineRule="auto"/>
              <w:ind w:left="143" w:right="131"/>
              <w:rPr>
                <w:rFonts w:hint="eastAsia" w:ascii="宋体" w:hAnsi="宋体" w:eastAsia="宋体" w:cs="宋体"/>
                <w:b/>
                <w:color w:val="auto"/>
                <w:highlight w:val="none"/>
                <w:lang w:eastAsia="zh-CN"/>
              </w:rPr>
            </w:pPr>
          </w:p>
        </w:tc>
        <w:tc>
          <w:tcPr>
            <w:tcW w:w="2011" w:type="dxa"/>
            <w:noWrap w:val="0"/>
            <w:vAlign w:val="center"/>
          </w:tcPr>
          <w:p w14:paraId="3266A69F">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支付保障管理体系及保证措施</w:t>
            </w:r>
          </w:p>
        </w:tc>
        <w:tc>
          <w:tcPr>
            <w:tcW w:w="638" w:type="dxa"/>
            <w:noWrap w:val="0"/>
            <w:vAlign w:val="center"/>
          </w:tcPr>
          <w:p w14:paraId="4BEA11A0">
            <w:pPr>
              <w:ind w:left="-38" w:leftChars="-18" w:right="-50" w:rightChars="-2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6</w:t>
            </w:r>
          </w:p>
        </w:tc>
        <w:tc>
          <w:tcPr>
            <w:tcW w:w="4319" w:type="dxa"/>
            <w:noWrap w:val="0"/>
            <w:vAlign w:val="center"/>
          </w:tcPr>
          <w:p w14:paraId="3326C201">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好得5.4～6分；较好得4.2～5.4分；基本满足要求得3.6～4.2分。</w:t>
            </w:r>
          </w:p>
        </w:tc>
      </w:tr>
      <w:tr w14:paraId="6A32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trPr>
        <w:tc>
          <w:tcPr>
            <w:tcW w:w="937" w:type="dxa"/>
            <w:vMerge w:val="restart"/>
            <w:noWrap w:val="0"/>
            <w:vAlign w:val="center"/>
          </w:tcPr>
          <w:p w14:paraId="5A936E4A">
            <w:pPr>
              <w:pStyle w:val="18"/>
              <w:spacing w:before="127"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2.2.</w:t>
            </w:r>
            <w:r>
              <w:rPr>
                <w:rFonts w:hint="eastAsia" w:ascii="宋体" w:hAnsi="宋体" w:eastAsia="宋体" w:cs="宋体"/>
                <w:color w:val="auto"/>
                <w:highlight w:val="none"/>
                <w:lang w:eastAsia="zh-CN"/>
              </w:rPr>
              <w:t>2</w:t>
            </w:r>
          </w:p>
          <w:p w14:paraId="40D19187">
            <w:pPr>
              <w:spacing w:line="24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（2）</w:t>
            </w:r>
          </w:p>
        </w:tc>
        <w:tc>
          <w:tcPr>
            <w:tcW w:w="637" w:type="dxa"/>
            <w:vMerge w:val="restart"/>
            <w:noWrap w:val="0"/>
            <w:vAlign w:val="center"/>
          </w:tcPr>
          <w:p w14:paraId="50F2539B">
            <w:pPr>
              <w:spacing w:line="240" w:lineRule="atLeast"/>
              <w:jc w:val="center"/>
              <w:rPr>
                <w:rFonts w:hint="eastAsia" w:ascii="宋体" w:hAnsi="宋体" w:eastAsia="宋体" w:cs="宋体"/>
                <w:bCs/>
                <w:color w:val="auto"/>
                <w:highlight w:val="none"/>
              </w:rPr>
            </w:pPr>
            <w:r>
              <w:rPr>
                <w:rFonts w:hint="eastAsia" w:ascii="宋体" w:hAnsi="宋体" w:eastAsia="宋体" w:cs="宋体"/>
                <w:bCs/>
                <w:color w:val="auto"/>
                <w:highlight w:val="none"/>
              </w:rPr>
              <w:t>主要人员</w:t>
            </w:r>
          </w:p>
        </w:tc>
        <w:tc>
          <w:tcPr>
            <w:tcW w:w="786" w:type="dxa"/>
            <w:vMerge w:val="restart"/>
            <w:noWrap w:val="0"/>
            <w:vAlign w:val="center"/>
          </w:tcPr>
          <w:p w14:paraId="7CD3342B">
            <w:pPr>
              <w:jc w:val="center"/>
              <w:rPr>
                <w:rFonts w:hint="eastAsia" w:ascii="宋体" w:hAnsi="宋体" w:eastAsia="宋体" w:cs="宋体"/>
                <w:bCs/>
                <w:color w:val="auto"/>
                <w:highlight w:val="none"/>
              </w:rPr>
            </w:pPr>
            <w:r>
              <w:rPr>
                <w:rFonts w:hint="eastAsia" w:ascii="宋体" w:hAnsi="宋体" w:eastAsia="宋体" w:cs="宋体"/>
                <w:bCs/>
                <w:color w:val="auto"/>
                <w:highlight w:val="none"/>
                <w:lang w:eastAsia="zh-CN"/>
              </w:rPr>
              <w:t>25</w:t>
            </w:r>
            <w:r>
              <w:rPr>
                <w:rFonts w:hint="eastAsia" w:ascii="宋体" w:hAnsi="宋体" w:eastAsia="宋体" w:cs="宋体"/>
                <w:bCs/>
                <w:color w:val="auto"/>
                <w:highlight w:val="none"/>
              </w:rPr>
              <w:t>分</w:t>
            </w:r>
          </w:p>
        </w:tc>
        <w:tc>
          <w:tcPr>
            <w:tcW w:w="2011" w:type="dxa"/>
            <w:noWrap w:val="0"/>
            <w:vAlign w:val="center"/>
          </w:tcPr>
          <w:p w14:paraId="2B0778B8">
            <w:pPr>
              <w:pStyle w:val="18"/>
              <w:spacing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满足资格审查条件</w:t>
            </w:r>
          </w:p>
        </w:tc>
        <w:tc>
          <w:tcPr>
            <w:tcW w:w="638" w:type="dxa"/>
            <w:noWrap w:val="0"/>
            <w:vAlign w:val="center"/>
          </w:tcPr>
          <w:p w14:paraId="2EF1FDB9">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15</w:t>
            </w:r>
          </w:p>
        </w:tc>
        <w:tc>
          <w:tcPr>
            <w:tcW w:w="4319" w:type="dxa"/>
            <w:noWrap w:val="0"/>
            <w:vAlign w:val="center"/>
          </w:tcPr>
          <w:p w14:paraId="7FD6E833">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通过资格评审得15分。</w:t>
            </w:r>
          </w:p>
        </w:tc>
      </w:tr>
      <w:tr w14:paraId="6A93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2" w:hRule="atLeast"/>
        </w:trPr>
        <w:tc>
          <w:tcPr>
            <w:tcW w:w="937" w:type="dxa"/>
            <w:vMerge w:val="continue"/>
            <w:noWrap w:val="0"/>
            <w:vAlign w:val="center"/>
          </w:tcPr>
          <w:p w14:paraId="4683ED77">
            <w:pPr>
              <w:spacing w:line="240" w:lineRule="atLeast"/>
              <w:jc w:val="center"/>
              <w:rPr>
                <w:rFonts w:hint="eastAsia" w:ascii="宋体" w:hAnsi="宋体" w:eastAsia="宋体" w:cs="宋体"/>
                <w:color w:val="auto"/>
                <w:highlight w:val="none"/>
              </w:rPr>
            </w:pPr>
          </w:p>
        </w:tc>
        <w:tc>
          <w:tcPr>
            <w:tcW w:w="637" w:type="dxa"/>
            <w:vMerge w:val="continue"/>
            <w:noWrap w:val="0"/>
            <w:vAlign w:val="center"/>
          </w:tcPr>
          <w:p w14:paraId="4D2A076A">
            <w:pPr>
              <w:spacing w:line="240" w:lineRule="atLeast"/>
              <w:jc w:val="center"/>
              <w:rPr>
                <w:rFonts w:hint="eastAsia" w:ascii="宋体" w:hAnsi="宋体" w:eastAsia="宋体" w:cs="宋体"/>
                <w:bCs/>
                <w:color w:val="auto"/>
                <w:highlight w:val="none"/>
              </w:rPr>
            </w:pPr>
          </w:p>
        </w:tc>
        <w:tc>
          <w:tcPr>
            <w:tcW w:w="786" w:type="dxa"/>
            <w:vMerge w:val="continue"/>
            <w:noWrap w:val="0"/>
            <w:vAlign w:val="center"/>
          </w:tcPr>
          <w:p w14:paraId="7C69BBC3">
            <w:pPr>
              <w:jc w:val="center"/>
              <w:rPr>
                <w:rFonts w:hint="eastAsia" w:ascii="宋体" w:hAnsi="宋体" w:eastAsia="宋体" w:cs="宋体"/>
                <w:bCs/>
                <w:color w:val="auto"/>
                <w:highlight w:val="none"/>
                <w:lang w:eastAsia="zh-CN"/>
              </w:rPr>
            </w:pPr>
          </w:p>
        </w:tc>
        <w:tc>
          <w:tcPr>
            <w:tcW w:w="2011" w:type="dxa"/>
            <w:noWrap w:val="0"/>
            <w:vAlign w:val="center"/>
          </w:tcPr>
          <w:p w14:paraId="116794A8">
            <w:pPr>
              <w:pStyle w:val="18"/>
              <w:spacing w:line="240" w:lineRule="atLeast"/>
              <w:jc w:val="center"/>
              <w:rPr>
                <w:rFonts w:hint="eastAsia" w:ascii="宋体" w:hAnsi="宋体" w:eastAsia="宋体" w:cs="宋体"/>
                <w:color w:val="auto"/>
                <w:kern w:val="2"/>
                <w:highlight w:val="none"/>
                <w:lang w:eastAsia="zh-CN"/>
              </w:rPr>
            </w:pPr>
            <w:r>
              <w:rPr>
                <w:rFonts w:hint="eastAsia" w:ascii="宋体" w:hAnsi="宋体" w:eastAsia="宋体" w:cs="宋体"/>
                <w:color w:val="auto"/>
                <w:highlight w:val="none"/>
                <w:lang w:eastAsia="zh-CN"/>
              </w:rPr>
              <w:t>项目经理任职资格与业绩</w:t>
            </w:r>
          </w:p>
        </w:tc>
        <w:tc>
          <w:tcPr>
            <w:tcW w:w="638" w:type="dxa"/>
            <w:noWrap w:val="0"/>
            <w:vAlign w:val="center"/>
          </w:tcPr>
          <w:p w14:paraId="3E8399D4">
            <w:pPr>
              <w:jc w:val="center"/>
              <w:rPr>
                <w:rFonts w:hint="eastAsia" w:ascii="宋体" w:hAnsi="宋体" w:eastAsia="宋体" w:cs="宋体"/>
                <w:color w:val="auto"/>
                <w:kern w:val="2"/>
                <w:highlight w:val="none"/>
                <w:lang w:eastAsia="zh-CN"/>
              </w:rPr>
            </w:pPr>
            <w:r>
              <w:rPr>
                <w:rFonts w:hint="eastAsia" w:ascii="宋体" w:hAnsi="宋体" w:eastAsia="宋体" w:cs="宋体"/>
                <w:color w:val="auto"/>
                <w:highlight w:val="none"/>
                <w:lang w:eastAsia="zh-CN"/>
              </w:rPr>
              <w:t>5</w:t>
            </w:r>
          </w:p>
        </w:tc>
        <w:tc>
          <w:tcPr>
            <w:tcW w:w="4319" w:type="dxa"/>
            <w:noWrap w:val="0"/>
            <w:vAlign w:val="center"/>
          </w:tcPr>
          <w:p w14:paraId="730B32FD">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满足资格审查条件之外，</w:t>
            </w:r>
          </w:p>
          <w:p w14:paraId="54E512A0">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每增加1个建筑面积不小于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000</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（含）房建工程施工合同段项目经理业绩加5分，每增加1个新建或改扩建高速公路主体工程（</w:t>
            </w:r>
            <w:r>
              <w:rPr>
                <w:rFonts w:hint="eastAsia" w:ascii="宋体" w:hAnsi="宋体" w:eastAsia="宋体" w:cs="宋体"/>
                <w:color w:val="auto"/>
                <w:highlight w:val="none"/>
                <w:lang w:val="en-US" w:eastAsia="zh-CN"/>
              </w:rPr>
              <w:t>含</w:t>
            </w:r>
            <w:r>
              <w:rPr>
                <w:rFonts w:hint="eastAsia" w:ascii="宋体" w:hAnsi="宋体" w:eastAsia="宋体" w:cs="宋体"/>
                <w:color w:val="auto"/>
                <w:highlight w:val="none"/>
                <w:lang w:eastAsia="zh-CN"/>
              </w:rPr>
              <w:t>路基或路面）施工合同段项目经理业绩加5分。此项最多加5分。</w:t>
            </w:r>
          </w:p>
        </w:tc>
      </w:tr>
      <w:tr w14:paraId="6F81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7" w:hRule="atLeast"/>
        </w:trPr>
        <w:tc>
          <w:tcPr>
            <w:tcW w:w="937" w:type="dxa"/>
            <w:vMerge w:val="continue"/>
            <w:noWrap w:val="0"/>
            <w:vAlign w:val="center"/>
          </w:tcPr>
          <w:p w14:paraId="5D40419E">
            <w:pPr>
              <w:spacing w:line="240" w:lineRule="atLeast"/>
              <w:jc w:val="center"/>
              <w:rPr>
                <w:rFonts w:hint="eastAsia" w:ascii="宋体" w:hAnsi="宋体" w:eastAsia="宋体" w:cs="宋体"/>
                <w:color w:val="auto"/>
                <w:highlight w:val="none"/>
                <w:lang w:eastAsia="zh-CN"/>
              </w:rPr>
            </w:pPr>
          </w:p>
        </w:tc>
        <w:tc>
          <w:tcPr>
            <w:tcW w:w="637" w:type="dxa"/>
            <w:vMerge w:val="continue"/>
            <w:noWrap w:val="0"/>
            <w:vAlign w:val="center"/>
          </w:tcPr>
          <w:p w14:paraId="1B6C872E">
            <w:pPr>
              <w:spacing w:line="240" w:lineRule="atLeast"/>
              <w:jc w:val="center"/>
              <w:rPr>
                <w:rFonts w:hint="eastAsia" w:ascii="宋体" w:hAnsi="宋体" w:eastAsia="宋体" w:cs="宋体"/>
                <w:bCs/>
                <w:color w:val="auto"/>
                <w:highlight w:val="none"/>
                <w:lang w:eastAsia="zh-CN"/>
              </w:rPr>
            </w:pPr>
          </w:p>
        </w:tc>
        <w:tc>
          <w:tcPr>
            <w:tcW w:w="786" w:type="dxa"/>
            <w:vMerge w:val="continue"/>
            <w:noWrap w:val="0"/>
            <w:vAlign w:val="center"/>
          </w:tcPr>
          <w:p w14:paraId="18EB68C3">
            <w:pPr>
              <w:jc w:val="center"/>
              <w:rPr>
                <w:rFonts w:hint="eastAsia" w:ascii="宋体" w:hAnsi="宋体" w:eastAsia="宋体" w:cs="宋体"/>
                <w:bCs/>
                <w:color w:val="auto"/>
                <w:highlight w:val="none"/>
                <w:lang w:eastAsia="zh-CN"/>
              </w:rPr>
            </w:pPr>
          </w:p>
        </w:tc>
        <w:tc>
          <w:tcPr>
            <w:tcW w:w="2011" w:type="dxa"/>
            <w:noWrap w:val="0"/>
            <w:vAlign w:val="center"/>
          </w:tcPr>
          <w:p w14:paraId="24B1B058">
            <w:pPr>
              <w:pStyle w:val="18"/>
              <w:spacing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项目总工任职资格与业绩</w:t>
            </w:r>
          </w:p>
        </w:tc>
        <w:tc>
          <w:tcPr>
            <w:tcW w:w="638" w:type="dxa"/>
            <w:noWrap w:val="0"/>
            <w:vAlign w:val="center"/>
          </w:tcPr>
          <w:p w14:paraId="293B3EC2">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5</w:t>
            </w:r>
          </w:p>
        </w:tc>
        <w:tc>
          <w:tcPr>
            <w:tcW w:w="4319" w:type="dxa"/>
            <w:noWrap w:val="0"/>
            <w:vAlign w:val="center"/>
          </w:tcPr>
          <w:p w14:paraId="798AAB3F">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满足资格审查条件之外，</w:t>
            </w:r>
          </w:p>
          <w:p w14:paraId="3D05C945">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每增加1个建筑面积不小于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000</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（含）房建工程施工合同段项目</w:t>
            </w:r>
            <w:r>
              <w:rPr>
                <w:rFonts w:hint="eastAsia" w:ascii="宋体" w:hAnsi="宋体" w:eastAsia="宋体" w:cs="宋体"/>
                <w:color w:val="auto"/>
                <w:highlight w:val="none"/>
                <w:lang w:val="en-US" w:eastAsia="zh-CN"/>
              </w:rPr>
              <w:t>总工</w:t>
            </w:r>
            <w:r>
              <w:rPr>
                <w:rFonts w:hint="eastAsia" w:ascii="宋体" w:hAnsi="宋体" w:eastAsia="宋体" w:cs="宋体"/>
                <w:color w:val="auto"/>
                <w:highlight w:val="none"/>
                <w:lang w:eastAsia="zh-CN"/>
              </w:rPr>
              <w:t>业绩加5分，每增加1个新建或改扩建高速公路主体工程（</w:t>
            </w:r>
            <w:r>
              <w:rPr>
                <w:rFonts w:hint="eastAsia" w:ascii="宋体" w:hAnsi="宋体" w:eastAsia="宋体" w:cs="宋体"/>
                <w:color w:val="auto"/>
                <w:highlight w:val="none"/>
                <w:lang w:val="en-US" w:eastAsia="zh-CN"/>
              </w:rPr>
              <w:t>含</w:t>
            </w:r>
            <w:r>
              <w:rPr>
                <w:rFonts w:hint="eastAsia" w:ascii="宋体" w:hAnsi="宋体" w:eastAsia="宋体" w:cs="宋体"/>
                <w:color w:val="auto"/>
                <w:highlight w:val="none"/>
                <w:lang w:eastAsia="zh-CN"/>
              </w:rPr>
              <w:t>路基或路面）施工合同段项目总工业绩加5分。此项最多加5分。</w:t>
            </w:r>
          </w:p>
        </w:tc>
      </w:tr>
      <w:tr w14:paraId="7E13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37" w:type="dxa"/>
            <w:vMerge w:val="restart"/>
            <w:noWrap w:val="0"/>
            <w:vAlign w:val="center"/>
          </w:tcPr>
          <w:p w14:paraId="4CA0B706">
            <w:pPr>
              <w:pStyle w:val="18"/>
              <w:spacing w:before="156"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2.2.</w:t>
            </w:r>
            <w:r>
              <w:rPr>
                <w:rFonts w:hint="eastAsia" w:ascii="宋体" w:hAnsi="宋体" w:eastAsia="宋体" w:cs="宋体"/>
                <w:color w:val="auto"/>
                <w:highlight w:val="none"/>
                <w:lang w:eastAsia="zh-CN"/>
              </w:rPr>
              <w:t>2</w:t>
            </w:r>
          </w:p>
          <w:p w14:paraId="3F4B43AA">
            <w:pPr>
              <w:spacing w:line="24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637" w:type="dxa"/>
            <w:vMerge w:val="restart"/>
            <w:noWrap w:val="0"/>
            <w:vAlign w:val="center"/>
          </w:tcPr>
          <w:p w14:paraId="50D4EF17">
            <w:pPr>
              <w:spacing w:line="240" w:lineRule="atLeast"/>
              <w:jc w:val="center"/>
              <w:rPr>
                <w:rFonts w:hint="eastAsia" w:ascii="宋体" w:hAnsi="宋体" w:eastAsia="宋体" w:cs="宋体"/>
                <w:bCs/>
                <w:color w:val="auto"/>
                <w:highlight w:val="none"/>
                <w:lang w:eastAsia="zh-CN"/>
              </w:rPr>
            </w:pPr>
            <w:r>
              <w:rPr>
                <w:rFonts w:hint="eastAsia" w:ascii="宋体" w:hAnsi="宋体" w:eastAsia="宋体" w:cs="宋体"/>
                <w:color w:val="auto"/>
                <w:highlight w:val="none"/>
                <w:lang w:eastAsia="zh-CN"/>
              </w:rPr>
              <w:t>技术能力</w:t>
            </w:r>
          </w:p>
        </w:tc>
        <w:tc>
          <w:tcPr>
            <w:tcW w:w="786" w:type="dxa"/>
            <w:vMerge w:val="restart"/>
            <w:noWrap w:val="0"/>
            <w:vAlign w:val="center"/>
          </w:tcPr>
          <w:p w14:paraId="0C227622">
            <w:pPr>
              <w:jc w:val="center"/>
              <w:rPr>
                <w:rFonts w:hint="eastAsia" w:ascii="宋体" w:hAnsi="宋体" w:eastAsia="宋体" w:cs="宋体"/>
                <w:bCs/>
                <w:color w:val="auto"/>
                <w:highlight w:val="none"/>
              </w:rPr>
            </w:pPr>
            <w:r>
              <w:rPr>
                <w:rFonts w:hint="eastAsia" w:ascii="宋体" w:hAnsi="宋体" w:eastAsia="宋体" w:cs="宋体"/>
                <w:bCs/>
                <w:color w:val="auto"/>
                <w:highlight w:val="none"/>
              </w:rPr>
              <w:t>10分</w:t>
            </w:r>
          </w:p>
        </w:tc>
        <w:tc>
          <w:tcPr>
            <w:tcW w:w="2011" w:type="dxa"/>
            <w:noWrap w:val="0"/>
            <w:vAlign w:val="center"/>
          </w:tcPr>
          <w:p w14:paraId="19810C39">
            <w:pPr>
              <w:pStyle w:val="17"/>
              <w:tabs>
                <w:tab w:val="left" w:leader="underscore" w:pos="319"/>
              </w:tabs>
              <w:spacing w:before="0" w:after="0" w:line="300" w:lineRule="exac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满足资格审查条件</w:t>
            </w:r>
          </w:p>
        </w:tc>
        <w:tc>
          <w:tcPr>
            <w:tcW w:w="638" w:type="dxa"/>
            <w:noWrap w:val="0"/>
            <w:vAlign w:val="center"/>
          </w:tcPr>
          <w:p w14:paraId="47224D75">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6</w:t>
            </w:r>
          </w:p>
        </w:tc>
        <w:tc>
          <w:tcPr>
            <w:tcW w:w="4319" w:type="dxa"/>
            <w:noWrap w:val="0"/>
            <w:vAlign w:val="center"/>
          </w:tcPr>
          <w:p w14:paraId="78948F91">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通过资格评审得6分。</w:t>
            </w:r>
          </w:p>
        </w:tc>
      </w:tr>
      <w:tr w14:paraId="5D024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1" w:hRule="atLeast"/>
        </w:trPr>
        <w:tc>
          <w:tcPr>
            <w:tcW w:w="937" w:type="dxa"/>
            <w:vMerge w:val="continue"/>
            <w:noWrap w:val="0"/>
            <w:vAlign w:val="center"/>
          </w:tcPr>
          <w:p w14:paraId="586B9046">
            <w:pPr>
              <w:spacing w:line="240" w:lineRule="atLeast"/>
              <w:jc w:val="center"/>
              <w:rPr>
                <w:rFonts w:hint="eastAsia" w:ascii="宋体" w:hAnsi="宋体" w:eastAsia="宋体" w:cs="宋体"/>
                <w:color w:val="auto"/>
                <w:highlight w:val="none"/>
              </w:rPr>
            </w:pPr>
          </w:p>
        </w:tc>
        <w:tc>
          <w:tcPr>
            <w:tcW w:w="637" w:type="dxa"/>
            <w:vMerge w:val="continue"/>
            <w:noWrap w:val="0"/>
            <w:vAlign w:val="center"/>
          </w:tcPr>
          <w:p w14:paraId="46855B23">
            <w:pPr>
              <w:spacing w:line="240" w:lineRule="atLeast"/>
              <w:jc w:val="center"/>
              <w:rPr>
                <w:rFonts w:hint="eastAsia" w:ascii="宋体" w:hAnsi="宋体" w:eastAsia="宋体" w:cs="宋体"/>
                <w:bCs/>
                <w:color w:val="auto"/>
                <w:highlight w:val="none"/>
              </w:rPr>
            </w:pPr>
          </w:p>
        </w:tc>
        <w:tc>
          <w:tcPr>
            <w:tcW w:w="786" w:type="dxa"/>
            <w:vMerge w:val="continue"/>
            <w:noWrap w:val="0"/>
            <w:vAlign w:val="center"/>
          </w:tcPr>
          <w:p w14:paraId="7B66F9C0">
            <w:pPr>
              <w:jc w:val="center"/>
              <w:rPr>
                <w:rFonts w:hint="eastAsia" w:ascii="宋体" w:hAnsi="宋体" w:eastAsia="宋体" w:cs="宋体"/>
                <w:bCs/>
                <w:color w:val="auto"/>
                <w:highlight w:val="none"/>
              </w:rPr>
            </w:pPr>
          </w:p>
        </w:tc>
        <w:tc>
          <w:tcPr>
            <w:tcW w:w="2011" w:type="dxa"/>
            <w:noWrap w:val="0"/>
            <w:vAlign w:val="center"/>
          </w:tcPr>
          <w:p w14:paraId="73636462">
            <w:pPr>
              <w:pStyle w:val="17"/>
              <w:tabs>
                <w:tab w:val="left" w:leader="underscore" w:pos="319"/>
              </w:tabs>
              <w:spacing w:before="0" w:after="0" w:line="300" w:lineRule="exac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科研开发和技术创新能力</w:t>
            </w:r>
          </w:p>
        </w:tc>
        <w:tc>
          <w:tcPr>
            <w:tcW w:w="638" w:type="dxa"/>
            <w:noWrap w:val="0"/>
            <w:vAlign w:val="center"/>
          </w:tcPr>
          <w:p w14:paraId="06320CE5">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4</w:t>
            </w:r>
          </w:p>
        </w:tc>
        <w:tc>
          <w:tcPr>
            <w:tcW w:w="4319" w:type="dxa"/>
            <w:noWrap w:val="0"/>
            <w:vAlign w:val="center"/>
          </w:tcPr>
          <w:p w14:paraId="02CC8335">
            <w:pPr>
              <w:spacing w:line="240" w:lineRule="atLeas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投标人曾获得与项目实施有关的国家级工法、专利（发明专利或实用新型专利），国家科学技术进步奖、省级科学技术进步奖二等奖及以上、国家级优质工程奖项（仅限国家优质工程奖、中国建设工程鲁班奖、中国土木工程詹天佑奖），主编或参编过的国家、行业或地方标准的，每有一项加2分，最多加4分。</w:t>
            </w:r>
          </w:p>
        </w:tc>
      </w:tr>
      <w:tr w14:paraId="731B7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9" w:hRule="atLeast"/>
        </w:trPr>
        <w:tc>
          <w:tcPr>
            <w:tcW w:w="937" w:type="dxa"/>
            <w:noWrap w:val="0"/>
            <w:vAlign w:val="center"/>
          </w:tcPr>
          <w:p w14:paraId="29CCF5BB">
            <w:pPr>
              <w:pStyle w:val="18"/>
              <w:spacing w:before="127"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2.2.</w:t>
            </w:r>
            <w:r>
              <w:rPr>
                <w:rFonts w:hint="eastAsia" w:ascii="宋体" w:hAnsi="宋体" w:cs="宋体"/>
                <w:color w:val="auto"/>
                <w:highlight w:val="none"/>
                <w:lang w:val="en-US" w:eastAsia="zh-CN"/>
              </w:rPr>
              <w:t>2</w:t>
            </w:r>
          </w:p>
          <w:p w14:paraId="2DDF16D2">
            <w:pPr>
              <w:spacing w:line="24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（4）</w:t>
            </w:r>
          </w:p>
        </w:tc>
        <w:tc>
          <w:tcPr>
            <w:tcW w:w="637" w:type="dxa"/>
            <w:noWrap w:val="0"/>
            <w:vAlign w:val="center"/>
          </w:tcPr>
          <w:p w14:paraId="02A5FBF4">
            <w:pPr>
              <w:spacing w:line="240" w:lineRule="atLeast"/>
              <w:jc w:val="center"/>
              <w:rPr>
                <w:rFonts w:hint="eastAsia" w:ascii="宋体" w:hAnsi="宋体" w:eastAsia="宋体" w:cs="宋体"/>
                <w:bCs/>
                <w:color w:val="auto"/>
                <w:highlight w:val="none"/>
              </w:rPr>
            </w:pPr>
            <w:r>
              <w:rPr>
                <w:rFonts w:hint="eastAsia" w:ascii="宋体" w:hAnsi="宋体" w:eastAsia="宋体" w:cs="宋体"/>
                <w:color w:val="auto"/>
                <w:highlight w:val="none"/>
                <w:lang w:eastAsia="zh-CN"/>
              </w:rPr>
              <w:t>履约信誉</w:t>
            </w:r>
          </w:p>
        </w:tc>
        <w:tc>
          <w:tcPr>
            <w:tcW w:w="786" w:type="dxa"/>
            <w:noWrap w:val="0"/>
            <w:vAlign w:val="center"/>
          </w:tcPr>
          <w:p w14:paraId="68894087">
            <w:pPr>
              <w:jc w:val="center"/>
              <w:rPr>
                <w:rFonts w:hint="eastAsia" w:ascii="宋体" w:hAnsi="宋体" w:eastAsia="宋体" w:cs="宋体"/>
                <w:bCs/>
                <w:color w:val="auto"/>
                <w:highlight w:val="none"/>
              </w:rPr>
            </w:pPr>
            <w:r>
              <w:rPr>
                <w:rFonts w:hint="eastAsia" w:ascii="宋体" w:hAnsi="宋体" w:eastAsia="宋体" w:cs="宋体"/>
                <w:bCs/>
                <w:color w:val="auto"/>
                <w:highlight w:val="none"/>
                <w:lang w:eastAsia="zh-CN"/>
              </w:rPr>
              <w:t>15</w:t>
            </w:r>
            <w:r>
              <w:rPr>
                <w:rFonts w:hint="eastAsia" w:ascii="宋体" w:hAnsi="宋体" w:eastAsia="宋体" w:cs="宋体"/>
                <w:bCs/>
                <w:color w:val="auto"/>
                <w:highlight w:val="none"/>
              </w:rPr>
              <w:t>分</w:t>
            </w:r>
          </w:p>
        </w:tc>
        <w:tc>
          <w:tcPr>
            <w:tcW w:w="2011" w:type="dxa"/>
            <w:noWrap w:val="0"/>
            <w:vAlign w:val="center"/>
          </w:tcPr>
          <w:p w14:paraId="598B0EDA">
            <w:pPr>
              <w:pStyle w:val="18"/>
              <w:spacing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信用评价</w:t>
            </w:r>
          </w:p>
        </w:tc>
        <w:tc>
          <w:tcPr>
            <w:tcW w:w="638" w:type="dxa"/>
            <w:noWrap w:val="0"/>
            <w:vAlign w:val="center"/>
          </w:tcPr>
          <w:p w14:paraId="77BE8124">
            <w:pPr>
              <w:jc w:val="center"/>
              <w:rPr>
                <w:rFonts w:hint="eastAsia" w:ascii="宋体" w:hAnsi="宋体" w:eastAsia="宋体" w:cs="宋体"/>
                <w:bCs/>
                <w:color w:val="auto"/>
                <w:highlight w:val="none"/>
                <w:lang w:eastAsia="zh-CN"/>
              </w:rPr>
            </w:pPr>
            <w:r>
              <w:rPr>
                <w:rFonts w:hint="eastAsia" w:ascii="宋体" w:hAnsi="宋体" w:eastAsia="宋体" w:cs="宋体"/>
                <w:bCs/>
                <w:color w:val="auto"/>
                <w:highlight w:val="none"/>
                <w:lang w:eastAsia="zh-CN"/>
              </w:rPr>
              <w:t>15</w:t>
            </w:r>
          </w:p>
        </w:tc>
        <w:tc>
          <w:tcPr>
            <w:tcW w:w="4319" w:type="dxa"/>
            <w:noWrap w:val="0"/>
            <w:vAlign w:val="center"/>
          </w:tcPr>
          <w:p w14:paraId="208FA871">
            <w:pPr>
              <w:pStyle w:val="3"/>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根据陕西省交通运输厅《关于陕西省2024年度公路建设市场从业企业信用评价结果应用的通知》(陕交函[2025]639号）施工企业信用评价结果：按照施工企业的信用评价等级进行评分，信用评价等级为AA级企业得15分；信用评价等级为A级企业得12分；信用评价等级为B级企业得9分；信用评价等级为C级企业得6分；信用评价等级为D级企业限制进入我省公路建设市场。</w:t>
            </w:r>
          </w:p>
          <w:p w14:paraId="7197E7EB">
            <w:pPr>
              <w:pStyle w:val="3"/>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2.对具有省厅2023年度信用评价等级而无2024年度信用评价等级的企业，其2023年度信用评价等级延续1年。</w:t>
            </w:r>
          </w:p>
          <w:p w14:paraId="313228B4">
            <w:pPr>
              <w:pStyle w:val="3"/>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3.初次进入陕西省的从业企业，按照全国综合信用评价等级确定。延续省厅上一年信用评价结果后仍无信用评价结果的，按照全国综合评价结果对待。无全国综合评价结果的企业，且无不良信用行为，按A级对待。</w:t>
            </w:r>
            <w:bookmarkStart w:id="0" w:name="_GoBack"/>
            <w:bookmarkEnd w:id="0"/>
          </w:p>
          <w:p w14:paraId="57EFF9B5">
            <w:pPr>
              <w:pStyle w:val="3"/>
              <w:rPr>
                <w:rFonts w:hint="default"/>
                <w:lang w:val="en-US" w:eastAsia="zh-CN"/>
              </w:rPr>
            </w:pPr>
            <w:r>
              <w:rPr>
                <w:rFonts w:hint="eastAsia" w:ascii="宋体" w:hAnsi="宋体" w:eastAsia="宋体" w:cs="宋体"/>
                <w:color w:val="auto"/>
                <w:highlight w:val="none"/>
                <w:lang w:eastAsia="zh-CN"/>
              </w:rPr>
              <w:t>4.联合体投标的，信用评价加分以牵头人信用评价等级为准。</w:t>
            </w:r>
          </w:p>
        </w:tc>
      </w:tr>
      <w:tr w14:paraId="703B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937" w:type="dxa"/>
            <w:vMerge w:val="restart"/>
            <w:noWrap w:val="0"/>
            <w:vAlign w:val="center"/>
          </w:tcPr>
          <w:p w14:paraId="09501E48">
            <w:pPr>
              <w:pStyle w:val="18"/>
              <w:spacing w:before="127"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2.2.</w:t>
            </w:r>
            <w:r>
              <w:rPr>
                <w:rFonts w:hint="eastAsia" w:ascii="宋体" w:hAnsi="宋体" w:cs="宋体"/>
                <w:color w:val="auto"/>
                <w:highlight w:val="none"/>
                <w:lang w:val="en-US" w:eastAsia="zh-CN"/>
              </w:rPr>
              <w:t>2</w:t>
            </w:r>
          </w:p>
          <w:p w14:paraId="7BC8FCD9">
            <w:pPr>
              <w:spacing w:line="24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eastAsia="zh-CN"/>
              </w:rPr>
              <w:t>5</w:t>
            </w:r>
            <w:r>
              <w:rPr>
                <w:rFonts w:hint="eastAsia" w:ascii="宋体" w:hAnsi="宋体" w:eastAsia="宋体" w:cs="宋体"/>
                <w:color w:val="auto"/>
                <w:highlight w:val="none"/>
              </w:rPr>
              <w:t>）</w:t>
            </w:r>
          </w:p>
        </w:tc>
        <w:tc>
          <w:tcPr>
            <w:tcW w:w="637" w:type="dxa"/>
            <w:vMerge w:val="restart"/>
            <w:noWrap w:val="0"/>
            <w:vAlign w:val="center"/>
          </w:tcPr>
          <w:p w14:paraId="450DEA8B">
            <w:pPr>
              <w:spacing w:line="240" w:lineRule="atLeas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业绩</w:t>
            </w:r>
          </w:p>
        </w:tc>
        <w:tc>
          <w:tcPr>
            <w:tcW w:w="786" w:type="dxa"/>
            <w:vMerge w:val="restart"/>
            <w:noWrap w:val="0"/>
            <w:vAlign w:val="center"/>
          </w:tcPr>
          <w:p w14:paraId="1180B441">
            <w:pPr>
              <w:jc w:val="center"/>
              <w:rPr>
                <w:rFonts w:hint="eastAsia" w:ascii="宋体" w:hAnsi="宋体" w:eastAsia="宋体" w:cs="宋体"/>
                <w:bCs/>
                <w:color w:val="auto"/>
                <w:highlight w:val="none"/>
                <w:lang w:eastAsia="zh-CN"/>
              </w:rPr>
            </w:pPr>
            <w:r>
              <w:rPr>
                <w:rFonts w:hint="eastAsia" w:ascii="宋体" w:hAnsi="宋体" w:eastAsia="宋体" w:cs="宋体"/>
                <w:bCs/>
                <w:color w:val="auto"/>
                <w:highlight w:val="none"/>
                <w:lang w:eastAsia="zh-CN"/>
              </w:rPr>
              <w:t>10分</w:t>
            </w:r>
          </w:p>
        </w:tc>
        <w:tc>
          <w:tcPr>
            <w:tcW w:w="2011" w:type="dxa"/>
            <w:noWrap w:val="0"/>
            <w:vAlign w:val="center"/>
          </w:tcPr>
          <w:p w14:paraId="68E3F634">
            <w:pPr>
              <w:pStyle w:val="17"/>
              <w:tabs>
                <w:tab w:val="left" w:leader="underscore" w:pos="319"/>
              </w:tabs>
              <w:spacing w:before="0" w:after="0" w:line="300" w:lineRule="exact"/>
              <w:ind w:left="105" w:leftChars="50" w:right="105" w:right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满足资格审查条件</w:t>
            </w:r>
          </w:p>
        </w:tc>
        <w:tc>
          <w:tcPr>
            <w:tcW w:w="638" w:type="dxa"/>
            <w:noWrap w:val="0"/>
            <w:vAlign w:val="center"/>
          </w:tcPr>
          <w:p w14:paraId="63AEB36D">
            <w:pPr>
              <w:jc w:val="center"/>
              <w:rPr>
                <w:rFonts w:hint="eastAsia" w:ascii="宋体" w:hAnsi="宋体" w:eastAsia="宋体" w:cs="宋体"/>
                <w:color w:val="auto"/>
                <w:kern w:val="2"/>
                <w:highlight w:val="none"/>
                <w:lang w:eastAsia="zh-CN"/>
              </w:rPr>
            </w:pPr>
            <w:r>
              <w:rPr>
                <w:rFonts w:hint="eastAsia" w:ascii="宋体" w:hAnsi="宋体" w:eastAsia="宋体" w:cs="宋体"/>
                <w:color w:val="auto"/>
                <w:highlight w:val="none"/>
                <w:lang w:eastAsia="zh-CN"/>
              </w:rPr>
              <w:t>6</w:t>
            </w:r>
          </w:p>
        </w:tc>
        <w:tc>
          <w:tcPr>
            <w:tcW w:w="4319" w:type="dxa"/>
            <w:noWrap w:val="0"/>
            <w:vAlign w:val="center"/>
          </w:tcPr>
          <w:p w14:paraId="3ED15090">
            <w:pPr>
              <w:spacing w:line="240" w:lineRule="atLeast"/>
              <w:ind w:left="105" w:leftChars="50" w:right="105" w:rightChars="50"/>
              <w:rPr>
                <w:rFonts w:hint="eastAsia" w:ascii="宋体" w:hAnsi="宋体" w:eastAsia="宋体" w:cs="宋体"/>
                <w:color w:val="auto"/>
                <w:kern w:val="2"/>
                <w:highlight w:val="none"/>
                <w:lang w:eastAsia="zh-CN"/>
              </w:rPr>
            </w:pPr>
            <w:r>
              <w:rPr>
                <w:rFonts w:hint="eastAsia" w:ascii="宋体" w:hAnsi="宋体" w:eastAsia="宋体" w:cs="宋体"/>
                <w:color w:val="auto"/>
                <w:highlight w:val="none"/>
                <w:lang w:eastAsia="zh-CN"/>
              </w:rPr>
              <w:t>通过资格评审得6分。</w:t>
            </w:r>
          </w:p>
        </w:tc>
      </w:tr>
      <w:tr w14:paraId="1133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6" w:hRule="atLeast"/>
        </w:trPr>
        <w:tc>
          <w:tcPr>
            <w:tcW w:w="937" w:type="dxa"/>
            <w:vMerge w:val="continue"/>
            <w:noWrap w:val="0"/>
            <w:vAlign w:val="center"/>
          </w:tcPr>
          <w:p w14:paraId="4808F53D">
            <w:pPr>
              <w:spacing w:line="240" w:lineRule="atLeast"/>
              <w:jc w:val="center"/>
              <w:rPr>
                <w:rFonts w:hint="eastAsia" w:ascii="宋体" w:hAnsi="宋体" w:eastAsia="宋体" w:cs="宋体"/>
                <w:color w:val="auto"/>
                <w:highlight w:val="none"/>
              </w:rPr>
            </w:pPr>
          </w:p>
        </w:tc>
        <w:tc>
          <w:tcPr>
            <w:tcW w:w="637" w:type="dxa"/>
            <w:vMerge w:val="continue"/>
            <w:noWrap w:val="0"/>
            <w:vAlign w:val="center"/>
          </w:tcPr>
          <w:p w14:paraId="578DB36A">
            <w:pPr>
              <w:spacing w:line="240" w:lineRule="atLeast"/>
              <w:jc w:val="center"/>
              <w:rPr>
                <w:rFonts w:hint="eastAsia" w:ascii="宋体" w:hAnsi="宋体" w:eastAsia="宋体" w:cs="宋体"/>
                <w:color w:val="auto"/>
                <w:highlight w:val="none"/>
                <w:lang w:eastAsia="zh-CN"/>
              </w:rPr>
            </w:pPr>
          </w:p>
        </w:tc>
        <w:tc>
          <w:tcPr>
            <w:tcW w:w="786" w:type="dxa"/>
            <w:vMerge w:val="continue"/>
            <w:noWrap w:val="0"/>
            <w:vAlign w:val="center"/>
          </w:tcPr>
          <w:p w14:paraId="6CA09EF6">
            <w:pPr>
              <w:jc w:val="center"/>
              <w:rPr>
                <w:rFonts w:hint="eastAsia" w:ascii="宋体" w:hAnsi="宋体" w:eastAsia="宋体" w:cs="宋体"/>
                <w:bCs/>
                <w:color w:val="auto"/>
                <w:highlight w:val="none"/>
                <w:lang w:eastAsia="zh-CN"/>
              </w:rPr>
            </w:pPr>
          </w:p>
        </w:tc>
        <w:tc>
          <w:tcPr>
            <w:tcW w:w="2011" w:type="dxa"/>
            <w:noWrap w:val="0"/>
            <w:vAlign w:val="center"/>
          </w:tcPr>
          <w:p w14:paraId="69450B7D">
            <w:pPr>
              <w:pStyle w:val="18"/>
              <w:spacing w:line="240" w:lineRule="atLeas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企业</w:t>
            </w:r>
            <w:r>
              <w:rPr>
                <w:rFonts w:hint="eastAsia" w:ascii="宋体" w:hAnsi="宋体" w:eastAsia="宋体" w:cs="宋体"/>
                <w:color w:val="auto"/>
                <w:highlight w:val="none"/>
                <w:lang w:eastAsia="zh-CN"/>
              </w:rPr>
              <w:t>业绩</w:t>
            </w:r>
          </w:p>
        </w:tc>
        <w:tc>
          <w:tcPr>
            <w:tcW w:w="638" w:type="dxa"/>
            <w:noWrap w:val="0"/>
            <w:vAlign w:val="center"/>
          </w:tcPr>
          <w:p w14:paraId="2BEE3816">
            <w:pPr>
              <w:jc w:val="center"/>
              <w:rPr>
                <w:rFonts w:hint="eastAsia" w:ascii="宋体" w:hAnsi="宋体" w:eastAsia="宋体" w:cs="宋体"/>
                <w:bCs/>
                <w:color w:val="auto"/>
                <w:highlight w:val="none"/>
                <w:lang w:eastAsia="zh-CN"/>
              </w:rPr>
            </w:pPr>
            <w:r>
              <w:rPr>
                <w:rFonts w:hint="eastAsia" w:ascii="宋体" w:hAnsi="宋体" w:eastAsia="宋体" w:cs="宋体"/>
                <w:bCs/>
                <w:color w:val="auto"/>
                <w:highlight w:val="none"/>
                <w:lang w:eastAsia="zh-CN"/>
              </w:rPr>
              <w:t>4</w:t>
            </w:r>
          </w:p>
        </w:tc>
        <w:tc>
          <w:tcPr>
            <w:tcW w:w="4319" w:type="dxa"/>
            <w:noWrap w:val="0"/>
            <w:vAlign w:val="center"/>
          </w:tcPr>
          <w:p w14:paraId="3DCC404C">
            <w:pPr>
              <w:pStyle w:val="18"/>
              <w:spacing w:line="240" w:lineRule="atLeast"/>
              <w:ind w:left="105" w:leftChars="50" w:right="105" w:rightChars="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满足资格审查条件之外，2020年1月1日至投标截止时间（以交工或竣工验收时间为准），</w:t>
            </w:r>
          </w:p>
          <w:p w14:paraId="6DA17B4B">
            <w:pPr>
              <w:pStyle w:val="18"/>
              <w:spacing w:line="240" w:lineRule="atLeast"/>
              <w:ind w:left="105" w:leftChars="50" w:right="105" w:rightChars="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1.每增加1个建筑面积不小于5000㎡（含）的房建工程施工合同段业绩加2分，最多加4分。</w:t>
            </w:r>
          </w:p>
          <w:p w14:paraId="3D7C41CB">
            <w:pPr>
              <w:pStyle w:val="18"/>
              <w:spacing w:line="240" w:lineRule="atLeast"/>
              <w:ind w:left="105" w:leftChars="50" w:right="105" w:rightChars="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2.每增加1个新建或改扩建高速公路（含路基或路面）工程施工合同段业绩加2分，最多加4分。</w:t>
            </w:r>
          </w:p>
          <w:p w14:paraId="59195C0C">
            <w:pPr>
              <w:pStyle w:val="18"/>
              <w:spacing w:line="240" w:lineRule="atLeast"/>
              <w:ind w:left="105" w:leftChars="50" w:right="105" w:rightChars="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此项最多得4分。</w:t>
            </w:r>
          </w:p>
        </w:tc>
      </w:tr>
    </w:tbl>
    <w:p w14:paraId="70465229">
      <w:pPr>
        <w:pStyle w:val="17"/>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300" w:lineRule="exact"/>
        <w:ind w:firstLine="480" w:firstLineChars="200"/>
        <w:jc w:val="both"/>
        <w:textAlignment w:val="auto"/>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评标办法正文详见中华人民共和国交通运输部《公路工程标准施工招标文件（2018年版·第一册）》相应内容。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80444"/>
    <w:multiLevelType w:val="singleLevel"/>
    <w:tmpl w:val="93980444"/>
    <w:lvl w:ilvl="0" w:tentative="0">
      <w:start w:val="1"/>
      <w:numFmt w:val="decimal"/>
      <w:lvlText w:val="%1."/>
      <w:lvlJc w:val="left"/>
      <w:pPr>
        <w:tabs>
          <w:tab w:val="left" w:pos="312"/>
        </w:tabs>
      </w:pPr>
    </w:lvl>
  </w:abstractNum>
  <w:abstractNum w:abstractNumId="1">
    <w:nsid w:val="10556DFB"/>
    <w:multiLevelType w:val="singleLevel"/>
    <w:tmpl w:val="10556DFB"/>
    <w:lvl w:ilvl="0" w:tentative="0">
      <w:start w:val="1"/>
      <w:numFmt w:val="decimal"/>
      <w:lvlText w:val="%1."/>
      <w:lvlJc w:val="left"/>
      <w:pPr>
        <w:tabs>
          <w:tab w:val="left" w:pos="312"/>
        </w:tabs>
      </w:pPr>
    </w:lvl>
  </w:abstractNum>
  <w:abstractNum w:abstractNumId="2">
    <w:nsid w:val="12695764"/>
    <w:multiLevelType w:val="singleLevel"/>
    <w:tmpl w:val="12695764"/>
    <w:lvl w:ilvl="0" w:tentative="0">
      <w:start w:val="4"/>
      <w:numFmt w:val="decimal"/>
      <w:suff w:val="nothing"/>
      <w:lvlText w:val="（%1）"/>
      <w:lvlJc w:val="left"/>
    </w:lvl>
  </w:abstractNum>
  <w:abstractNum w:abstractNumId="3">
    <w:nsid w:val="2F57048D"/>
    <w:multiLevelType w:val="singleLevel"/>
    <w:tmpl w:val="2F57048D"/>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MTdhNDcwNmE1ZjAyNzZhNzY5MjhkNjU5MGYzZDAifQ=="/>
  </w:docVars>
  <w:rsids>
    <w:rsidRoot w:val="001A2815"/>
    <w:rsid w:val="000D6F75"/>
    <w:rsid w:val="00103056"/>
    <w:rsid w:val="001A2815"/>
    <w:rsid w:val="001C5CF4"/>
    <w:rsid w:val="00226164"/>
    <w:rsid w:val="0029689A"/>
    <w:rsid w:val="0032466E"/>
    <w:rsid w:val="004C42B6"/>
    <w:rsid w:val="00500606"/>
    <w:rsid w:val="0051577F"/>
    <w:rsid w:val="007B028F"/>
    <w:rsid w:val="00851856"/>
    <w:rsid w:val="008D314B"/>
    <w:rsid w:val="00933BB3"/>
    <w:rsid w:val="00A24E34"/>
    <w:rsid w:val="00F419A9"/>
    <w:rsid w:val="01957410"/>
    <w:rsid w:val="01BB4A92"/>
    <w:rsid w:val="028D3F78"/>
    <w:rsid w:val="06C84AF2"/>
    <w:rsid w:val="0BB363C0"/>
    <w:rsid w:val="0EFE2F29"/>
    <w:rsid w:val="12F02D63"/>
    <w:rsid w:val="144E2637"/>
    <w:rsid w:val="18267D07"/>
    <w:rsid w:val="1DE47D7F"/>
    <w:rsid w:val="20397E92"/>
    <w:rsid w:val="23075673"/>
    <w:rsid w:val="24F35F3C"/>
    <w:rsid w:val="2B3312C8"/>
    <w:rsid w:val="2DFF57B9"/>
    <w:rsid w:val="2E3904E8"/>
    <w:rsid w:val="31B446C5"/>
    <w:rsid w:val="32BC4336"/>
    <w:rsid w:val="33466D48"/>
    <w:rsid w:val="38B62526"/>
    <w:rsid w:val="397909D4"/>
    <w:rsid w:val="39F747A2"/>
    <w:rsid w:val="3A4B6C9E"/>
    <w:rsid w:val="3A6C7E28"/>
    <w:rsid w:val="3C73605C"/>
    <w:rsid w:val="40F9559D"/>
    <w:rsid w:val="479B4231"/>
    <w:rsid w:val="4DF3558D"/>
    <w:rsid w:val="4EB01994"/>
    <w:rsid w:val="4F7412C2"/>
    <w:rsid w:val="4FA3639D"/>
    <w:rsid w:val="50587FB2"/>
    <w:rsid w:val="50DC7FD0"/>
    <w:rsid w:val="51460C6B"/>
    <w:rsid w:val="5B6548CF"/>
    <w:rsid w:val="5EAC7460"/>
    <w:rsid w:val="6C915C0E"/>
    <w:rsid w:val="6C9611B5"/>
    <w:rsid w:val="75062CA1"/>
    <w:rsid w:val="781D61B9"/>
    <w:rsid w:val="7B65786C"/>
    <w:rsid w:val="7D8F372A"/>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0"/>
    <w:pPr>
      <w:keepNext/>
      <w:keepLines/>
      <w:spacing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next w:val="1"/>
    <w:qFormat/>
    <w:uiPriority w:val="0"/>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szCs w:val="21"/>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页脚 字符"/>
    <w:basedOn w:val="10"/>
    <w:link w:val="6"/>
    <w:qFormat/>
    <w:uiPriority w:val="0"/>
    <w:rPr>
      <w:rFonts w:ascii="Calibri" w:hAnsi="Calibri" w:eastAsia="宋体" w:cs="Times New Roman"/>
      <w:kern w:val="2"/>
      <w:sz w:val="18"/>
      <w:szCs w:val="18"/>
    </w:rPr>
  </w:style>
  <w:style w:type="character" w:customStyle="1" w:styleId="14">
    <w:name w:val="标题 3 字符"/>
    <w:basedOn w:val="10"/>
    <w:link w:val="2"/>
    <w:qFormat/>
    <w:uiPriority w:val="0"/>
    <w:rPr>
      <w:rFonts w:ascii="Calibri" w:hAnsi="Calibri" w:eastAsia="宋体" w:cs="Times New Roman"/>
      <w:b/>
      <w:bCs/>
      <w:kern w:val="2"/>
      <w:sz w:val="32"/>
      <w:szCs w:val="32"/>
    </w:rPr>
  </w:style>
  <w:style w:type="paragraph" w:customStyle="1" w:styleId="15">
    <w:name w:val="Table Text"/>
    <w:basedOn w:val="1"/>
    <w:semiHidden/>
    <w:qFormat/>
    <w:uiPriority w:val="0"/>
    <w:rPr>
      <w:rFonts w:ascii="仿宋" w:hAnsi="仿宋" w:eastAsia="仿宋" w:cs="仿宋"/>
      <w:sz w:val="20"/>
      <w:szCs w:val="20"/>
      <w:lang w:eastAsia="en-US"/>
    </w:rPr>
  </w:style>
  <w:style w:type="table" w:customStyle="1" w:styleId="16">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7">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8">
    <w:name w:val="Table Paragraph"/>
    <w:basedOn w:val="1"/>
    <w:qFormat/>
    <w:uiPriority w:val="0"/>
    <w:pPr>
      <w:jc w:val="left"/>
    </w:pPr>
    <w:rPr>
      <w:kern w:val="0"/>
      <w:sz w:val="22"/>
      <w:szCs w:val="22"/>
      <w:lang w:eastAsia="en-US"/>
    </w:rPr>
  </w:style>
  <w:style w:type="paragraph" w:customStyle="1" w:styleId="19">
    <w:name w:val="正文文本11"/>
    <w:basedOn w:val="1"/>
    <w:link w:val="21"/>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0">
    <w:name w:val="正文文本 + 12.5 pt"/>
    <w:basedOn w:val="21"/>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1">
    <w:name w:val="正文文本_"/>
    <w:basedOn w:val="10"/>
    <w:link w:val="19"/>
    <w:autoRedefine/>
    <w:qFormat/>
    <w:uiPriority w:val="0"/>
    <w:rPr>
      <w:rFonts w:ascii="宋体" w:hAnsi="宋体" w:eastAsia="宋体" w:cs="宋体"/>
      <w:sz w:val="23"/>
      <w:szCs w:val="23"/>
    </w:rPr>
  </w:style>
  <w:style w:type="character" w:customStyle="1" w:styleId="22">
    <w:name w:val="正文文本 + MS Gothic"/>
    <w:basedOn w:val="21"/>
    <w:autoRedefine/>
    <w:qFormat/>
    <w:uiPriority w:val="0"/>
    <w:rPr>
      <w:rFonts w:ascii="MS Gothic" w:hAnsi="MS Gothic" w:eastAsia="MS Gothic" w:cs="MS Gothic"/>
      <w:color w:val="000000"/>
      <w:spacing w:val="0"/>
      <w:w w:val="100"/>
      <w:position w:val="0"/>
      <w:sz w:val="15"/>
      <w:szCs w:val="15"/>
      <w:shd w:val="clear" w:color="auto" w:fill="FFFFFF"/>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6630</Words>
  <Characters>6927</Characters>
  <Lines>61</Lines>
  <Paragraphs>17</Paragraphs>
  <TotalTime>1</TotalTime>
  <ScaleCrop>false</ScaleCrop>
  <LinksUpToDate>false</LinksUpToDate>
  <CharactersWithSpaces>6955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cp:lastPrinted>2024-11-07T01:57:00Z</cp:lastPrinted>
  <dcterms:modified xsi:type="dcterms:W3CDTF">2026-01-09T08:33:53Z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F0FD5B533C124921AF9FF715281ACE32_13</vt:lpwstr>
  </property>
  <property fmtid="{D5CDD505-2E9C-101B-9397-08002B2CF9AE}" pid="4" name="KSOTemplateDocerSaveRecord">
    <vt:lpwstr>eyJoZGlkIjoiY2QxMTdhNDcwNmE1ZjAyNzZhNzY5MjhkNjU5MGYzZDAiLCJ1c2VySWQiOiIyNjc1NjI5ODkifQ==</vt:lpwstr>
  </property>
</Properties>
</file>