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299F2">
      <w:pPr>
        <w:tabs>
          <w:tab w:val="left" w:pos="1778"/>
        </w:tabs>
        <w:spacing w:line="760" w:lineRule="exact"/>
        <w:jc w:val="center"/>
        <w:rPr>
          <w:rFonts w:hint="eastAsia" w:ascii="Times New Roman" w:hAnsiTheme="minorEastAsia" w:eastAsiaTheme="minorEastAsia"/>
          <w:b/>
          <w:sz w:val="36"/>
          <w:szCs w:val="36"/>
          <w:lang w:val="en-US" w:eastAsia="zh-CN"/>
        </w:rPr>
      </w:pPr>
      <w:r>
        <w:rPr>
          <w:rFonts w:hint="eastAsia" w:ascii="Times New Roman" w:hAnsiTheme="minorEastAsia" w:eastAsiaTheme="minorEastAsia"/>
          <w:b/>
          <w:sz w:val="36"/>
          <w:szCs w:val="36"/>
          <w:lang w:val="en-US" w:eastAsia="zh-CN"/>
        </w:rPr>
        <w:t>延安至黄陵公路扩容工程及铜川至黄陵公路半截沟联络线项目隧道设施完善工程施工</w:t>
      </w:r>
    </w:p>
    <w:p w14:paraId="69D30C4D">
      <w:pPr>
        <w:tabs>
          <w:tab w:val="left" w:pos="1778"/>
        </w:tabs>
        <w:spacing w:line="760" w:lineRule="exact"/>
        <w:jc w:val="center"/>
        <w:rPr>
          <w:rFonts w:hint="eastAsia" w:ascii="Times New Roman" w:hAnsiTheme="minorEastAsia" w:eastAsiaTheme="minorEastAsia"/>
          <w:b/>
          <w:sz w:val="36"/>
          <w:szCs w:val="36"/>
        </w:rPr>
      </w:pPr>
      <w:r>
        <w:rPr>
          <w:rFonts w:ascii="Times New Roman" w:hAnsiTheme="minorEastAsia" w:eastAsiaTheme="minorEastAsia"/>
          <w:b/>
          <w:sz w:val="36"/>
          <w:szCs w:val="36"/>
        </w:rPr>
        <w:t>招标</w:t>
      </w:r>
      <w:r>
        <w:rPr>
          <w:rFonts w:hint="eastAsia" w:ascii="Times New Roman" w:hAnsiTheme="minorEastAsia" w:eastAsiaTheme="minorEastAsia"/>
          <w:b/>
          <w:sz w:val="36"/>
          <w:szCs w:val="36"/>
        </w:rPr>
        <w:t>关键内容公示</w:t>
      </w:r>
    </w:p>
    <w:p w14:paraId="10D51995">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6F11042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延安至黄陵公路扩容工程及铜川至黄陵公路半截沟联络线项目隧道设施完善工程包括二郎山隧道恢复2#人行横洞、王村隧道恢复车行横洞、杏树梁隧道紧急停车带施工，总预算费用3054.1798万元。相关情况如下：</w:t>
      </w:r>
    </w:p>
    <w:p w14:paraId="5B9F6C9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延安至黄陵公路扩容工程二郎山隧道位于延安市富县东沟乡，穿越二郎山，设计为曲线型双向六车道分离式隧道。隧道左洞全长1177m、右洞全长790m。隧道进口段左、右洞间距约130m，出口段左右洞间距约38m，左线最大埋深约114m，右线最大埋深约118m。隧道设人行横洞2处，车行横洞1处，本次完善二郎山隧道2#人行横洞功能。</w:t>
      </w:r>
    </w:p>
    <w:p w14:paraId="579A8A8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延安至黄陵公路扩容工程王村隧道位于延安市黄陵县桥山镇，穿越黄土残塬沟壑区，设计为曲线型双向六车道分离式隧道。隧道左洞全长1055m、右洞全长1137.2m，左、右两隧道最大埋深约85m，两洞中轴线最大间距约149m。隧道设人行横洞2处，车行横洞1处，本次完善王村隧道车行横洞功能。</w:t>
      </w:r>
    </w:p>
    <w:p w14:paraId="39855C7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_GB2312"/>
          <w:sz w:val="32"/>
          <w:szCs w:val="32"/>
          <w:lang w:val="en-US" w:eastAsia="zh-CN"/>
        </w:rPr>
      </w:pPr>
      <w:r>
        <w:rPr>
          <w:rFonts w:hint="eastAsia" w:ascii="仿宋_GB2312" w:hAnsi="仿宋_GB2312" w:eastAsia="仿宋_GB2312" w:cs="仿宋_GB2312"/>
          <w:color w:val="auto"/>
          <w:kern w:val="2"/>
          <w:sz w:val="32"/>
          <w:szCs w:val="32"/>
          <w:highlight w:val="none"/>
          <w:lang w:val="en-US" w:eastAsia="zh-CN" w:bidi="ar-SA"/>
        </w:rPr>
        <w:t>铜川至黄陵公路半截沟联络线项目杏树梁隧道位于铜川市印台区，属G65包茂高速铜黄半截沟联络线一部分，设计为双向四车道分离式隧道。隧道左洞全长1140m、右洞全长1220m，属长隧道。隧道双向设紧急停车带各1处，本次完善杏树梁隧道紧急停车带功能。项目工期为</w:t>
      </w:r>
      <w:r>
        <w:rPr>
          <w:rFonts w:hint="eastAsia" w:ascii="仿宋" w:hAnsi="仿宋" w:eastAsia="仿宋" w:cs="仿宋_GB2312"/>
          <w:sz w:val="32"/>
          <w:szCs w:val="32"/>
          <w:lang w:val="en-US" w:eastAsia="zh-CN"/>
        </w:rPr>
        <w:t>6个月，缺陷责任期24个月。实际开工时间、工期以发包人要求为准。主要工程内容如下：</w:t>
      </w:r>
    </w:p>
    <w:tbl>
      <w:tblPr>
        <w:tblStyle w:val="8"/>
        <w:tblW w:w="9088"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099"/>
        <w:gridCol w:w="2081"/>
        <w:gridCol w:w="4116"/>
        <w:gridCol w:w="1792"/>
      </w:tblGrid>
      <w:tr w14:paraId="65DF204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20" w:hRule="atLeast"/>
          <w:tblHeader/>
          <w:jc w:val="center"/>
        </w:trPr>
        <w:tc>
          <w:tcPr>
            <w:tcW w:w="1099" w:type="dxa"/>
            <w:tcBorders>
              <w:left w:val="single" w:color="auto" w:sz="4" w:space="0"/>
              <w:bottom w:val="single" w:color="auto" w:sz="4" w:space="0"/>
              <w:right w:val="single" w:color="auto" w:sz="4" w:space="0"/>
            </w:tcBorders>
            <w:noWrap w:val="0"/>
            <w:vAlign w:val="center"/>
          </w:tcPr>
          <w:p w14:paraId="081EB788">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施工标段</w:t>
            </w:r>
          </w:p>
        </w:tc>
        <w:tc>
          <w:tcPr>
            <w:tcW w:w="2081" w:type="dxa"/>
            <w:tcBorders>
              <w:left w:val="single" w:color="auto" w:sz="4" w:space="0"/>
              <w:bottom w:val="single" w:color="auto" w:sz="4" w:space="0"/>
              <w:right w:val="single" w:color="auto" w:sz="4" w:space="0"/>
            </w:tcBorders>
            <w:noWrap w:val="0"/>
            <w:vAlign w:val="center"/>
          </w:tcPr>
          <w:p w14:paraId="520B8E84">
            <w:pPr>
              <w:widowControl/>
              <w:jc w:val="center"/>
              <w:rPr>
                <w:rFonts w:hint="eastAsia" w:ascii="宋体" w:hAnsi="宋体" w:eastAsia="宋体" w:cs="宋体"/>
                <w:b/>
                <w:bCs/>
                <w:color w:val="000000"/>
                <w:kern w:val="0"/>
                <w:szCs w:val="21"/>
                <w:highlight w:val="none"/>
                <w:lang w:eastAsia="zh-CN"/>
              </w:rPr>
            </w:pPr>
            <w:r>
              <w:rPr>
                <w:rFonts w:hint="eastAsia" w:ascii="宋体" w:hAnsi="宋体" w:cs="宋体"/>
                <w:b/>
                <w:bCs/>
                <w:color w:val="000000"/>
                <w:kern w:val="0"/>
                <w:szCs w:val="21"/>
                <w:highlight w:val="none"/>
                <w:lang w:val="en-US" w:eastAsia="zh-CN"/>
              </w:rPr>
              <w:t>工程范围</w:t>
            </w:r>
          </w:p>
        </w:tc>
        <w:tc>
          <w:tcPr>
            <w:tcW w:w="4116" w:type="dxa"/>
            <w:tcBorders>
              <w:left w:val="single" w:color="auto" w:sz="4" w:space="0"/>
              <w:bottom w:val="single" w:color="auto" w:sz="4" w:space="0"/>
              <w:right w:val="single" w:color="auto" w:sz="4" w:space="0"/>
            </w:tcBorders>
            <w:noWrap w:val="0"/>
            <w:vAlign w:val="center"/>
          </w:tcPr>
          <w:p w14:paraId="6B3C3B36">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主要工程内容</w:t>
            </w:r>
          </w:p>
        </w:tc>
        <w:tc>
          <w:tcPr>
            <w:tcW w:w="1792" w:type="dxa"/>
            <w:tcBorders>
              <w:left w:val="single" w:color="auto" w:sz="4" w:space="0"/>
              <w:bottom w:val="single" w:color="auto" w:sz="4" w:space="0"/>
            </w:tcBorders>
            <w:noWrap w:val="0"/>
            <w:vAlign w:val="center"/>
          </w:tcPr>
          <w:p w14:paraId="3246CDD1">
            <w:pPr>
              <w:widowControl/>
              <w:jc w:val="center"/>
              <w:rPr>
                <w:rFonts w:hint="eastAsia" w:ascii="宋体" w:hAnsi="宋体" w:eastAsia="宋体" w:cs="宋体"/>
                <w:b/>
                <w:bCs/>
                <w:color w:val="000000"/>
                <w:kern w:val="0"/>
                <w:szCs w:val="21"/>
                <w:highlight w:val="none"/>
                <w:lang w:val="en-US" w:eastAsia="zh-CN"/>
              </w:rPr>
            </w:pPr>
            <w:r>
              <w:rPr>
                <w:rFonts w:hint="eastAsia" w:ascii="宋体" w:hAnsi="宋体" w:cs="宋体"/>
                <w:b/>
                <w:bCs/>
                <w:color w:val="000000"/>
                <w:kern w:val="0"/>
                <w:szCs w:val="21"/>
                <w:highlight w:val="none"/>
                <w:lang w:val="en-US" w:eastAsia="zh-CN"/>
              </w:rPr>
              <w:t>工期</w:t>
            </w:r>
          </w:p>
        </w:tc>
      </w:tr>
      <w:tr w14:paraId="55CB885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832" w:hRule="atLeast"/>
          <w:jc w:val="center"/>
        </w:trPr>
        <w:tc>
          <w:tcPr>
            <w:tcW w:w="1099" w:type="dxa"/>
            <w:tcBorders>
              <w:top w:val="single" w:color="auto" w:sz="4" w:space="0"/>
              <w:left w:val="single" w:color="auto" w:sz="4" w:space="0"/>
              <w:right w:val="single" w:color="auto" w:sz="4" w:space="0"/>
            </w:tcBorders>
            <w:noWrap w:val="0"/>
            <w:vAlign w:val="center"/>
          </w:tcPr>
          <w:p w14:paraId="3EDFBE41">
            <w:pPr>
              <w:widowControl/>
              <w:jc w:val="center"/>
              <w:rPr>
                <w:rFonts w:hint="default"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lang w:val="en-US" w:eastAsia="zh-CN"/>
              </w:rPr>
              <w:t>HFS-01</w:t>
            </w:r>
          </w:p>
        </w:tc>
        <w:tc>
          <w:tcPr>
            <w:tcW w:w="2081" w:type="dxa"/>
            <w:tcBorders>
              <w:top w:val="single" w:color="auto" w:sz="4" w:space="0"/>
              <w:left w:val="single" w:color="auto" w:sz="4" w:space="0"/>
              <w:right w:val="single" w:color="auto" w:sz="4" w:space="0"/>
            </w:tcBorders>
            <w:noWrap w:val="0"/>
            <w:vAlign w:val="center"/>
          </w:tcPr>
          <w:p w14:paraId="045D523E">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lang w:val="en-US" w:eastAsia="zh-CN"/>
              </w:rPr>
              <w:t>二郎山隧道、王村隧道、杏树梁隧道设施完善工程</w:t>
            </w:r>
          </w:p>
        </w:tc>
        <w:tc>
          <w:tcPr>
            <w:tcW w:w="4116" w:type="dxa"/>
            <w:tcBorders>
              <w:top w:val="single" w:color="auto" w:sz="4" w:space="0"/>
              <w:left w:val="single" w:color="auto" w:sz="4" w:space="0"/>
              <w:right w:val="single" w:color="auto" w:sz="4" w:space="0"/>
            </w:tcBorders>
            <w:noWrap w:val="0"/>
            <w:vAlign w:val="center"/>
          </w:tcPr>
          <w:p w14:paraId="1C337657">
            <w:pPr>
              <w:widowControl/>
              <w:jc w:val="left"/>
              <w:rPr>
                <w:rFonts w:hint="default" w:ascii="宋体" w:hAnsi="宋体" w:cs="宋体"/>
                <w:color w:val="000000"/>
                <w:kern w:val="0"/>
                <w:szCs w:val="21"/>
                <w:highlight w:val="none"/>
                <w:lang w:val="en-US"/>
              </w:rPr>
            </w:pPr>
            <w:r>
              <w:rPr>
                <w:rFonts w:hint="eastAsia" w:ascii="宋体" w:hAnsi="宋体" w:cs="宋体"/>
                <w:color w:val="000000"/>
                <w:kern w:val="0"/>
                <w:szCs w:val="21"/>
                <w:highlight w:val="none"/>
                <w:lang w:val="en-US" w:eastAsia="zh-CN"/>
              </w:rPr>
              <w:t>主要包括国家高速公路包头至茂名线(G65)陕西境黄陵至延安公路扩能工程二郎山隧道恢复人行横洞、王村隧道恢复车行横洞，铜黄高速公路半截沟联络线杏树梁隧道紧急停车带施工以及</w:t>
            </w:r>
            <w:r>
              <w:rPr>
                <w:rFonts w:hint="eastAsia" w:ascii="宋体" w:hAnsi="宋体" w:eastAsia="宋体" w:cs="宋体"/>
                <w:color w:val="auto"/>
                <w:sz w:val="21"/>
                <w:szCs w:val="21"/>
                <w:highlight w:val="none"/>
                <w:lang w:val="en-US" w:eastAsia="zh-CN"/>
              </w:rPr>
              <w:t>缺陷责任期修复。</w:t>
            </w:r>
          </w:p>
        </w:tc>
        <w:tc>
          <w:tcPr>
            <w:tcW w:w="1792" w:type="dxa"/>
            <w:tcBorders>
              <w:top w:val="single" w:color="auto" w:sz="4" w:space="0"/>
              <w:left w:val="single" w:color="auto" w:sz="4" w:space="0"/>
            </w:tcBorders>
            <w:noWrap w:val="0"/>
            <w:vAlign w:val="center"/>
          </w:tcPr>
          <w:p w14:paraId="3D76F235">
            <w:pPr>
              <w:widowControl/>
              <w:jc w:val="left"/>
              <w:rPr>
                <w:rFonts w:hint="default"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6个月，缺陷责任期24个月</w:t>
            </w:r>
          </w:p>
        </w:tc>
      </w:tr>
    </w:tbl>
    <w:p w14:paraId="3B5B8FBB">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p>
    <w:p w14:paraId="1E7086D2">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1CEE8F76">
      <w:pPr>
        <w:pStyle w:val="5"/>
        <w:keepNext w:val="0"/>
        <w:keepLines w:val="0"/>
        <w:pageBreakBefore w:val="0"/>
        <w:widowControl/>
        <w:kinsoku w:val="0"/>
        <w:wordWrap/>
        <w:overflowPunct/>
        <w:topLinePunct w:val="0"/>
        <w:autoSpaceDE w:val="0"/>
        <w:autoSpaceDN w:val="0"/>
        <w:bidi w:val="0"/>
        <w:adjustRightInd w:val="0"/>
        <w:snapToGrid w:val="0"/>
        <w:spacing w:line="5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本次招标投标人须具备独立法人资格、有效的营业执照，且资质、业绩、人员、设备、资金等方面具有承担本项目施工的能力，具体要求如下：</w:t>
      </w:r>
    </w:p>
    <w:p w14:paraId="53325B3D">
      <w:pPr>
        <w:keepNext w:val="0"/>
        <w:keepLines w:val="0"/>
        <w:pageBreakBefore w:val="0"/>
        <w:widowControl w:val="0"/>
        <w:kinsoku/>
        <w:wordWrap/>
        <w:overflowPunct/>
        <w:topLinePunct w:val="0"/>
        <w:autoSpaceDE/>
        <w:autoSpaceDN/>
        <w:bidi w:val="0"/>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en-US" w:bidi="ar-SA"/>
        </w:rPr>
        <w:t>资质最低要求</w:t>
      </w:r>
    </w:p>
    <w:p w14:paraId="2BFDE271">
      <w:pPr>
        <w:spacing w:line="17" w:lineRule="exact"/>
        <w:rPr>
          <w:rFonts w:hint="eastAsia" w:ascii="宋体" w:hAnsi="宋体" w:eastAsia="宋体" w:cs="宋体"/>
          <w:color w:val="000000"/>
          <w:highlight w:val="none"/>
        </w:rPr>
      </w:pPr>
    </w:p>
    <w:tbl>
      <w:tblPr>
        <w:tblStyle w:val="16"/>
        <w:tblW w:w="917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97"/>
        <w:gridCol w:w="7674"/>
      </w:tblGrid>
      <w:tr w14:paraId="319193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jc w:val="center"/>
        </w:trPr>
        <w:tc>
          <w:tcPr>
            <w:tcW w:w="1497" w:type="dxa"/>
            <w:noWrap w:val="0"/>
            <w:vAlign w:val="top"/>
          </w:tcPr>
          <w:p w14:paraId="14621F56">
            <w:pPr>
              <w:spacing w:before="198" w:line="225" w:lineRule="auto"/>
              <w:ind w:left="507"/>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标段</w:t>
            </w:r>
          </w:p>
        </w:tc>
        <w:tc>
          <w:tcPr>
            <w:tcW w:w="7674" w:type="dxa"/>
            <w:noWrap w:val="0"/>
            <w:vAlign w:val="top"/>
          </w:tcPr>
          <w:p w14:paraId="349E6FD0">
            <w:pPr>
              <w:spacing w:before="198" w:line="225" w:lineRule="auto"/>
              <w:ind w:left="3151"/>
              <w:rPr>
                <w:rFonts w:hint="eastAsia" w:ascii="宋体" w:hAnsi="宋体" w:eastAsia="宋体" w:cs="宋体"/>
                <w:b/>
                <w:bCs/>
                <w:color w:val="000000"/>
                <w:sz w:val="24"/>
                <w:szCs w:val="24"/>
                <w:highlight w:val="none"/>
              </w:rPr>
            </w:pPr>
            <w:r>
              <w:rPr>
                <w:rFonts w:hint="eastAsia" w:ascii="宋体" w:hAnsi="宋体" w:eastAsia="宋体" w:cs="宋体"/>
                <w:b/>
                <w:bCs/>
                <w:color w:val="000000"/>
                <w:spacing w:val="5"/>
                <w:sz w:val="24"/>
                <w:szCs w:val="24"/>
                <w:highlight w:val="none"/>
              </w:rPr>
              <w:t>资质要求</w:t>
            </w:r>
          </w:p>
        </w:tc>
      </w:tr>
      <w:tr w14:paraId="2207F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jc w:val="center"/>
        </w:trPr>
        <w:tc>
          <w:tcPr>
            <w:tcW w:w="1497" w:type="dxa"/>
            <w:noWrap w:val="0"/>
            <w:vAlign w:val="center"/>
          </w:tcPr>
          <w:p w14:paraId="401AA909">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jc w:val="center"/>
              <w:textAlignment w:val="baseline"/>
              <w:rPr>
                <w:rFonts w:hint="eastAsia" w:ascii="宋体" w:hAnsi="宋体" w:eastAsia="宋体" w:cs="宋体"/>
                <w:color w:val="000000"/>
                <w:sz w:val="24"/>
                <w:szCs w:val="24"/>
                <w:highlight w:val="none"/>
                <w:lang w:val="en-US" w:eastAsia="zh-CN"/>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HFS-01</w:t>
            </w:r>
          </w:p>
        </w:tc>
        <w:tc>
          <w:tcPr>
            <w:tcW w:w="7674" w:type="dxa"/>
            <w:noWrap w:val="0"/>
            <w:vAlign w:val="top"/>
          </w:tcPr>
          <w:p w14:paraId="08CEA369">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1.具有独立法人资格；</w:t>
            </w:r>
          </w:p>
          <w:p w14:paraId="50B73ADE">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2.具备公路工程施工总承包一级或以上资质；</w:t>
            </w:r>
          </w:p>
          <w:p w14:paraId="293D2EE7">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3.具备隧道工程专业承包一级资质；</w:t>
            </w:r>
          </w:p>
          <w:p w14:paraId="3196D234">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仿宋" w:hAnsi="仿宋" w:eastAsia="仿宋" w:cs="仿宋"/>
                <w:b w:val="0"/>
                <w:bCs w:val="0"/>
                <w:snapToGrid w:val="0"/>
                <w:color w:val="000000"/>
                <w:spacing w:val="5"/>
                <w:kern w:val="0"/>
                <w:sz w:val="24"/>
                <w:szCs w:val="24"/>
                <w:highlight w:val="none"/>
                <w:vertAlign w:val="baseline"/>
                <w:lang w:val="en-US" w:eastAsia="zh-CN" w:bidi="ar-SA"/>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4.具备有效的企业安全生产许可证；</w:t>
            </w:r>
          </w:p>
          <w:p w14:paraId="11B81A81">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spacing w:val="7"/>
                <w:sz w:val="24"/>
                <w:szCs w:val="24"/>
                <w:highlight w:val="none"/>
                <w:lang w:val="en-US" w:eastAsia="zh-CN"/>
              </w:rPr>
            </w:pPr>
            <w:r>
              <w:rPr>
                <w:rFonts w:hint="eastAsia" w:ascii="仿宋" w:hAnsi="仿宋" w:eastAsia="仿宋" w:cs="仿宋"/>
                <w:b w:val="0"/>
                <w:bCs w:val="0"/>
                <w:snapToGrid w:val="0"/>
                <w:color w:val="000000"/>
                <w:spacing w:val="5"/>
                <w:kern w:val="0"/>
                <w:sz w:val="24"/>
                <w:szCs w:val="24"/>
                <w:highlight w:val="none"/>
                <w:vertAlign w:val="baseline"/>
                <w:lang w:val="en-US" w:eastAsia="zh-CN" w:bidi="ar-SA"/>
              </w:rPr>
              <w:t>5.法定代表人持有省级或以上交通运输主管部门核发有效的A类安全生产考核合格证书。</w:t>
            </w:r>
          </w:p>
        </w:tc>
      </w:tr>
    </w:tbl>
    <w:p w14:paraId="77090E04">
      <w:pPr>
        <w:keepNext w:val="0"/>
        <w:keepLines w:val="0"/>
        <w:pageBreakBefore w:val="0"/>
        <w:widowControl w:val="0"/>
        <w:kinsoku/>
        <w:wordWrap/>
        <w:overflowPunct/>
        <w:topLinePunct w:val="0"/>
        <w:autoSpaceDE/>
        <w:autoSpaceDN/>
        <w:bidi w:val="0"/>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（2）财务最低要求</w:t>
      </w:r>
    </w:p>
    <w:tbl>
      <w:tblPr>
        <w:tblStyle w:val="16"/>
        <w:tblW w:w="915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6"/>
        <w:gridCol w:w="7610"/>
      </w:tblGrid>
      <w:tr w14:paraId="1825D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546" w:type="dxa"/>
            <w:noWrap w:val="0"/>
            <w:vAlign w:val="center"/>
          </w:tcPr>
          <w:p w14:paraId="675A7B3E">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标段</w:t>
            </w:r>
          </w:p>
        </w:tc>
        <w:tc>
          <w:tcPr>
            <w:tcW w:w="7610" w:type="dxa"/>
            <w:tcBorders>
              <w:right w:val="single" w:color="auto" w:sz="4" w:space="0"/>
            </w:tcBorders>
            <w:noWrap w:val="0"/>
            <w:vAlign w:val="center"/>
          </w:tcPr>
          <w:p w14:paraId="4014C29B">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lang w:val="en-US" w:eastAsia="zh-CN"/>
              </w:rPr>
              <w:t>财务</w:t>
            </w:r>
            <w:r>
              <w:rPr>
                <w:rFonts w:hint="eastAsia" w:ascii="宋体" w:hAnsi="宋体" w:eastAsia="宋体" w:cs="宋体"/>
                <w:color w:val="000000"/>
                <w:spacing w:val="5"/>
                <w:sz w:val="24"/>
                <w:szCs w:val="24"/>
                <w:highlight w:val="none"/>
              </w:rPr>
              <w:t>要求</w:t>
            </w:r>
          </w:p>
        </w:tc>
      </w:tr>
      <w:tr w14:paraId="108CE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jc w:val="center"/>
        </w:trPr>
        <w:tc>
          <w:tcPr>
            <w:tcW w:w="1546" w:type="dxa"/>
            <w:noWrap w:val="0"/>
            <w:vAlign w:val="center"/>
          </w:tcPr>
          <w:p w14:paraId="6FC19F5A">
            <w:pPr>
              <w:numPr>
                <w:ilvl w:val="0"/>
                <w:numId w:val="0"/>
              </w:numPr>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HFS-01</w:t>
            </w:r>
          </w:p>
        </w:tc>
        <w:tc>
          <w:tcPr>
            <w:tcW w:w="7610" w:type="dxa"/>
            <w:tcBorders>
              <w:right w:val="single" w:color="auto" w:sz="4" w:space="0"/>
            </w:tcBorders>
            <w:noWrap w:val="0"/>
            <w:vAlign w:val="center"/>
          </w:tcPr>
          <w:p w14:paraId="6AA938B3">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2022、2023、2024年平均企业资产负债率小于等于85%。</w:t>
            </w:r>
          </w:p>
        </w:tc>
      </w:tr>
    </w:tbl>
    <w:p w14:paraId="06D1F476">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en-US" w:bidi="ar-SA"/>
        </w:rPr>
        <w:t>业绩最低要求</w:t>
      </w:r>
    </w:p>
    <w:p w14:paraId="24FD801C">
      <w:pPr>
        <w:spacing w:line="14" w:lineRule="exact"/>
        <w:rPr>
          <w:rFonts w:hint="eastAsia" w:ascii="宋体" w:hAnsi="宋体" w:eastAsia="宋体" w:cs="宋体"/>
          <w:color w:val="000000"/>
          <w:highlight w:val="none"/>
        </w:rPr>
      </w:pPr>
    </w:p>
    <w:tbl>
      <w:tblPr>
        <w:tblStyle w:val="16"/>
        <w:tblW w:w="924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6"/>
        <w:gridCol w:w="7641"/>
      </w:tblGrid>
      <w:tr w14:paraId="54218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1606" w:type="dxa"/>
            <w:noWrap w:val="0"/>
            <w:vAlign w:val="center"/>
          </w:tcPr>
          <w:p w14:paraId="6550BA88">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标段</w:t>
            </w:r>
          </w:p>
        </w:tc>
        <w:tc>
          <w:tcPr>
            <w:tcW w:w="7641" w:type="dxa"/>
            <w:tcBorders>
              <w:right w:val="single" w:color="auto" w:sz="4" w:space="0"/>
            </w:tcBorders>
            <w:noWrap w:val="0"/>
            <w:vAlign w:val="center"/>
          </w:tcPr>
          <w:p w14:paraId="2DE079DC">
            <w:pPr>
              <w:spacing w:before="198" w:line="225" w:lineRule="auto"/>
              <w:jc w:val="center"/>
              <w:rPr>
                <w:rFonts w:hint="eastAsia" w:ascii="宋体" w:hAnsi="宋体" w:eastAsia="宋体" w:cs="宋体"/>
                <w:color w:val="000000"/>
                <w:spacing w:val="5"/>
                <w:sz w:val="24"/>
                <w:szCs w:val="24"/>
                <w:highlight w:val="none"/>
              </w:rPr>
            </w:pPr>
            <w:r>
              <w:rPr>
                <w:rFonts w:hint="eastAsia" w:ascii="宋体" w:hAnsi="宋体" w:eastAsia="宋体" w:cs="宋体"/>
                <w:color w:val="000000"/>
                <w:spacing w:val="5"/>
                <w:sz w:val="24"/>
                <w:szCs w:val="24"/>
                <w:highlight w:val="none"/>
              </w:rPr>
              <w:t>业绩要求</w:t>
            </w:r>
          </w:p>
        </w:tc>
      </w:tr>
      <w:tr w14:paraId="554CB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6" w:hRule="atLeast"/>
          <w:jc w:val="center"/>
        </w:trPr>
        <w:tc>
          <w:tcPr>
            <w:tcW w:w="1606" w:type="dxa"/>
            <w:noWrap w:val="0"/>
            <w:vAlign w:val="center"/>
          </w:tcPr>
          <w:p w14:paraId="4E326279">
            <w:pPr>
              <w:numPr>
                <w:ilvl w:val="0"/>
                <w:numId w:val="0"/>
              </w:numPr>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HFS-01</w:t>
            </w:r>
          </w:p>
        </w:tc>
        <w:tc>
          <w:tcPr>
            <w:tcW w:w="7641" w:type="dxa"/>
            <w:tcBorders>
              <w:right w:val="single" w:color="auto" w:sz="4" w:space="0"/>
            </w:tcBorders>
            <w:noWrap w:val="0"/>
            <w:vAlign w:val="center"/>
          </w:tcPr>
          <w:p w14:paraId="3EFAC952">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近5年来（以交工验收时间为准），至少独立完成过2个新建高速公路项目（须包含隧道土建工程）施工合同段业绩。</w:t>
            </w:r>
          </w:p>
        </w:tc>
      </w:tr>
    </w:tbl>
    <w:p w14:paraId="6778EAF6">
      <w:pPr>
        <w:keepNext w:val="0"/>
        <w:keepLines w:val="0"/>
        <w:pageBreakBefore w:val="0"/>
        <w:widowControl w:val="0"/>
        <w:kinsoku/>
        <w:wordWrap/>
        <w:overflowPunct/>
        <w:topLinePunct w:val="0"/>
        <w:autoSpaceDE/>
        <w:autoSpaceDN/>
        <w:bidi w:val="0"/>
        <w:adjustRightInd/>
        <w:snapToGrid/>
        <w:spacing w:line="280" w:lineRule="exact"/>
        <w:ind w:firstLine="482" w:firstLineChars="200"/>
        <w:contextualSpacing/>
        <w:jc w:val="both"/>
        <w:textAlignment w:val="auto"/>
        <w:rPr>
          <w:rFonts w:hint="eastAsia" w:ascii="仿宋" w:hAnsi="仿宋" w:eastAsia="仿宋" w:cs="仿宋_GB2312"/>
          <w:b/>
          <w:bCs/>
          <w:snapToGrid/>
          <w:color w:val="auto"/>
          <w:kern w:val="2"/>
          <w:sz w:val="24"/>
          <w:szCs w:val="24"/>
          <w:highlight w:val="none"/>
          <w:lang w:val="en-US" w:eastAsia="zh-CN"/>
        </w:rPr>
      </w:pPr>
      <w:r>
        <w:rPr>
          <w:rFonts w:hint="eastAsia" w:ascii="仿宋" w:hAnsi="仿宋" w:eastAsia="仿宋" w:cs="仿宋_GB2312"/>
          <w:b/>
          <w:bCs/>
          <w:snapToGrid/>
          <w:color w:val="auto"/>
          <w:kern w:val="2"/>
          <w:sz w:val="24"/>
          <w:szCs w:val="24"/>
          <w:highlight w:val="none"/>
          <w:lang w:val="en-US" w:eastAsia="zh-CN"/>
        </w:rPr>
        <w:t>注：1.近5年是指2020年1月1日至投标截止时间，以交工验收时间为准。</w:t>
      </w:r>
    </w:p>
    <w:p w14:paraId="381AA12F">
      <w:pPr>
        <w:keepNext w:val="0"/>
        <w:keepLines w:val="0"/>
        <w:pageBreakBefore w:val="0"/>
        <w:widowControl w:val="0"/>
        <w:kinsoku/>
        <w:wordWrap/>
        <w:overflowPunct/>
        <w:topLinePunct w:val="0"/>
        <w:autoSpaceDE/>
        <w:autoSpaceDN/>
        <w:bidi w:val="0"/>
        <w:adjustRightInd/>
        <w:snapToGrid/>
        <w:spacing w:line="280" w:lineRule="exact"/>
        <w:ind w:firstLine="482" w:firstLineChars="200"/>
        <w:contextualSpacing/>
        <w:jc w:val="both"/>
        <w:textAlignment w:val="auto"/>
        <w:rPr>
          <w:rFonts w:hint="eastAsia" w:ascii="仿宋" w:hAnsi="仿宋" w:eastAsia="仿宋" w:cs="仿宋_GB2312"/>
          <w:b/>
          <w:bCs/>
          <w:snapToGrid/>
          <w:color w:val="auto"/>
          <w:kern w:val="2"/>
          <w:sz w:val="24"/>
          <w:szCs w:val="24"/>
          <w:highlight w:val="none"/>
          <w:lang w:val="en-US" w:eastAsia="zh-CN"/>
        </w:rPr>
      </w:pPr>
      <w:r>
        <w:rPr>
          <w:rFonts w:hint="eastAsia" w:ascii="仿宋" w:hAnsi="仿宋" w:eastAsia="仿宋" w:cs="仿宋_GB2312"/>
          <w:b/>
          <w:bCs/>
          <w:snapToGrid/>
          <w:color w:val="auto"/>
          <w:kern w:val="2"/>
          <w:sz w:val="24"/>
          <w:szCs w:val="24"/>
          <w:highlight w:val="none"/>
          <w:lang w:val="en-US" w:eastAsia="zh-CN"/>
        </w:rPr>
        <w:t>2.业绩以在“全国公路建设市场监督管理系统”或省级交通运输主管部门“公路建设市场信用信息管理系统”网页截图为准。</w:t>
      </w:r>
    </w:p>
    <w:p w14:paraId="1E057D1B">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en-US" w:bidi="ar-SA"/>
        </w:rPr>
        <w:t>信誉最低要求</w:t>
      </w:r>
    </w:p>
    <w:p w14:paraId="1C0E6526">
      <w:pPr>
        <w:spacing w:line="15" w:lineRule="exact"/>
        <w:rPr>
          <w:rFonts w:hint="eastAsia" w:ascii="宋体" w:hAnsi="宋体" w:eastAsia="宋体" w:cs="宋体"/>
          <w:color w:val="000000"/>
          <w:highlight w:val="none"/>
        </w:rPr>
      </w:pPr>
    </w:p>
    <w:tbl>
      <w:tblPr>
        <w:tblStyle w:val="16"/>
        <w:tblW w:w="929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3"/>
        <w:gridCol w:w="7628"/>
      </w:tblGrid>
      <w:tr w14:paraId="32271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jc w:val="center"/>
        </w:trPr>
        <w:tc>
          <w:tcPr>
            <w:tcW w:w="1663" w:type="dxa"/>
            <w:noWrap w:val="0"/>
            <w:vAlign w:val="center"/>
          </w:tcPr>
          <w:p w14:paraId="4D441D1A">
            <w:pPr>
              <w:pStyle w:val="15"/>
              <w:spacing w:before="209"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标段</w:t>
            </w:r>
          </w:p>
        </w:tc>
        <w:tc>
          <w:tcPr>
            <w:tcW w:w="7628" w:type="dxa"/>
            <w:tcBorders>
              <w:right w:val="single" w:color="auto" w:sz="4" w:space="0"/>
            </w:tcBorders>
            <w:noWrap w:val="0"/>
            <w:vAlign w:val="center"/>
          </w:tcPr>
          <w:p w14:paraId="119A96C5">
            <w:pPr>
              <w:pStyle w:val="15"/>
              <w:spacing w:before="208"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9"/>
                <w:sz w:val="24"/>
                <w:szCs w:val="24"/>
                <w:highlight w:val="none"/>
              </w:rPr>
              <w:t>信誉要求</w:t>
            </w:r>
          </w:p>
        </w:tc>
      </w:tr>
      <w:tr w14:paraId="0788B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7" w:hRule="atLeast"/>
          <w:jc w:val="center"/>
        </w:trPr>
        <w:tc>
          <w:tcPr>
            <w:tcW w:w="1663" w:type="dxa"/>
            <w:noWrap w:val="0"/>
            <w:vAlign w:val="center"/>
          </w:tcPr>
          <w:p w14:paraId="2F704573">
            <w:pPr>
              <w:numPr>
                <w:ilvl w:val="0"/>
                <w:numId w:val="0"/>
              </w:numPr>
              <w:jc w:val="center"/>
              <w:rPr>
                <w:rFonts w:hint="eastAsia" w:ascii="宋体" w:hAnsi="宋体" w:eastAsia="宋体" w:cs="宋体"/>
                <w:snapToGrid w:val="0"/>
                <w:color w:val="000000"/>
                <w:spacing w:val="5"/>
                <w:kern w:val="0"/>
                <w:sz w:val="24"/>
                <w:szCs w:val="24"/>
                <w:highlight w:val="no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HFS-01</w:t>
            </w:r>
          </w:p>
        </w:tc>
        <w:tc>
          <w:tcPr>
            <w:tcW w:w="7628" w:type="dxa"/>
            <w:tcBorders>
              <w:right w:val="single" w:color="auto" w:sz="4" w:space="0"/>
            </w:tcBorders>
            <w:noWrap w:val="0"/>
            <w:vAlign w:val="center"/>
          </w:tcPr>
          <w:p w14:paraId="400A7CC8">
            <w:pPr>
              <w:numPr>
                <w:ilvl w:val="0"/>
                <w:numId w:val="0"/>
              </w:numPr>
              <w:jc w:val="both"/>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未被交通运输部或陕西省交通运输厅列为信用评价等级D级且处于有效期内。</w:t>
            </w:r>
          </w:p>
        </w:tc>
      </w:tr>
    </w:tbl>
    <w:p w14:paraId="53190534">
      <w:pPr>
        <w:widowControl w:val="0"/>
        <w:kinsoku/>
        <w:autoSpaceDE/>
        <w:autoSpaceDN/>
        <w:adjustRightInd/>
        <w:snapToGrid/>
        <w:spacing w:line="360" w:lineRule="auto"/>
        <w:ind w:firstLine="640" w:firstLineChars="200"/>
        <w:contextualSpacing/>
        <w:jc w:val="both"/>
        <w:textAlignment w:val="auto"/>
        <w:rPr>
          <w:rFonts w:hint="eastAsia" w:ascii="仿宋_GB2312" w:hAnsi="仿宋_GB2312" w:eastAsia="仿宋_GB2312" w:cs="仿宋_GB2312"/>
          <w:color w:val="auto"/>
          <w:kern w:val="2"/>
          <w:sz w:val="32"/>
          <w:szCs w:val="32"/>
          <w:highlight w:val="none"/>
          <w:lang w:val="en-US" w:eastAsia="en-U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en-US" w:bidi="ar-SA"/>
        </w:rPr>
        <w:t>主要人员最低要求</w:t>
      </w:r>
    </w:p>
    <w:p w14:paraId="6E216E14">
      <w:pPr>
        <w:spacing w:line="15" w:lineRule="exact"/>
        <w:rPr>
          <w:rFonts w:hint="eastAsia" w:ascii="宋体" w:hAnsi="宋体" w:eastAsia="宋体" w:cs="宋体"/>
          <w:color w:val="000000"/>
          <w:highlight w:val="none"/>
        </w:rPr>
      </w:pPr>
    </w:p>
    <w:tbl>
      <w:tblPr>
        <w:tblStyle w:val="16"/>
        <w:tblW w:w="913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7"/>
        <w:gridCol w:w="703"/>
        <w:gridCol w:w="712"/>
        <w:gridCol w:w="4210"/>
        <w:gridCol w:w="1916"/>
      </w:tblGrid>
      <w:tr w14:paraId="0672D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jc w:val="center"/>
        </w:trPr>
        <w:tc>
          <w:tcPr>
            <w:tcW w:w="1597" w:type="dxa"/>
            <w:noWrap w:val="0"/>
            <w:vAlign w:val="center"/>
          </w:tcPr>
          <w:p w14:paraId="3A0BB964">
            <w:pPr>
              <w:pStyle w:val="15"/>
              <w:spacing w:before="165" w:line="228" w:lineRule="auto"/>
              <w:jc w:val="center"/>
              <w:rPr>
                <w:rFonts w:hint="eastAsia" w:ascii="宋体" w:hAnsi="宋体" w:eastAsia="宋体" w:cs="宋体"/>
                <w:color w:val="000000"/>
                <w:spacing w:val="3"/>
                <w:sz w:val="24"/>
                <w:szCs w:val="24"/>
                <w:highlight w:val="none"/>
                <w:lang w:val="en-US" w:eastAsia="zh-CN"/>
              </w:rPr>
            </w:pPr>
            <w:r>
              <w:rPr>
                <w:rFonts w:hint="eastAsia" w:ascii="宋体" w:hAnsi="宋体" w:eastAsia="宋体" w:cs="宋体"/>
                <w:color w:val="000000"/>
                <w:spacing w:val="3"/>
                <w:sz w:val="24"/>
                <w:szCs w:val="24"/>
                <w:highlight w:val="none"/>
                <w:lang w:val="en-US" w:eastAsia="zh-CN"/>
              </w:rPr>
              <w:t>标段</w:t>
            </w:r>
          </w:p>
        </w:tc>
        <w:tc>
          <w:tcPr>
            <w:tcW w:w="703" w:type="dxa"/>
            <w:noWrap w:val="0"/>
            <w:vAlign w:val="center"/>
          </w:tcPr>
          <w:p w14:paraId="010B8DBA">
            <w:pPr>
              <w:pStyle w:val="15"/>
              <w:spacing w:before="165" w:line="228"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人员</w:t>
            </w:r>
          </w:p>
        </w:tc>
        <w:tc>
          <w:tcPr>
            <w:tcW w:w="712" w:type="dxa"/>
            <w:noWrap w:val="0"/>
            <w:vAlign w:val="center"/>
          </w:tcPr>
          <w:p w14:paraId="19365AFD">
            <w:pPr>
              <w:pStyle w:val="15"/>
              <w:spacing w:before="166" w:line="226"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数量</w:t>
            </w:r>
          </w:p>
        </w:tc>
        <w:tc>
          <w:tcPr>
            <w:tcW w:w="4210" w:type="dxa"/>
            <w:noWrap w:val="0"/>
            <w:vAlign w:val="center"/>
          </w:tcPr>
          <w:p w14:paraId="5A8B7A83">
            <w:pPr>
              <w:pStyle w:val="15"/>
              <w:spacing w:before="166" w:line="225"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5"/>
                <w:sz w:val="24"/>
                <w:szCs w:val="24"/>
                <w:highlight w:val="none"/>
              </w:rPr>
              <w:t>资格要求</w:t>
            </w:r>
          </w:p>
        </w:tc>
        <w:tc>
          <w:tcPr>
            <w:tcW w:w="1916" w:type="dxa"/>
            <w:tcBorders>
              <w:right w:val="single" w:color="auto" w:sz="4" w:space="0"/>
            </w:tcBorders>
            <w:noWrap w:val="0"/>
            <w:vAlign w:val="center"/>
          </w:tcPr>
          <w:p w14:paraId="098E7349">
            <w:pPr>
              <w:pStyle w:val="15"/>
              <w:spacing w:before="165" w:line="223"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在岗要求</w:t>
            </w:r>
          </w:p>
        </w:tc>
      </w:tr>
      <w:tr w14:paraId="1C012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597" w:type="dxa"/>
            <w:vMerge w:val="restart"/>
            <w:noWrap w:val="0"/>
            <w:vAlign w:val="center"/>
          </w:tcPr>
          <w:p w14:paraId="08C866FB">
            <w:pPr>
              <w:pStyle w:val="5"/>
              <w:keepNext w:val="0"/>
              <w:keepLines w:val="0"/>
              <w:pageBreakBefore w:val="0"/>
              <w:widowControl/>
              <w:kinsoku w:val="0"/>
              <w:wordWrap/>
              <w:overflowPunct/>
              <w:topLinePunct w:val="0"/>
              <w:autoSpaceDE w:val="0"/>
              <w:autoSpaceDN w:val="0"/>
              <w:bidi w:val="0"/>
              <w:adjustRightInd w:val="0"/>
              <w:snapToGrid w:val="0"/>
              <w:spacing w:line="280" w:lineRule="exact"/>
              <w:ind w:right="0" w:rightChars="0"/>
              <w:jc w:val="center"/>
              <w:textAlignment w:val="baseline"/>
              <w:rPr>
                <w:rFonts w:hint="eastAsia" w:ascii="宋体" w:hAnsi="宋体" w:eastAsia="宋体" w:cs="宋体"/>
                <w:snapToGrid w:val="0"/>
                <w:color w:val="000000"/>
                <w:spacing w:val="5"/>
                <w:kern w:val="0"/>
                <w:sz w:val="24"/>
                <w:szCs w:val="24"/>
                <w:highlight w:val="no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HFS-01</w:t>
            </w:r>
          </w:p>
        </w:tc>
        <w:tc>
          <w:tcPr>
            <w:tcW w:w="703" w:type="dxa"/>
            <w:noWrap w:val="0"/>
            <w:vAlign w:val="center"/>
          </w:tcPr>
          <w:p w14:paraId="3BDAEA34">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项目经理</w:t>
            </w:r>
          </w:p>
        </w:tc>
        <w:tc>
          <w:tcPr>
            <w:tcW w:w="712" w:type="dxa"/>
            <w:noWrap w:val="0"/>
            <w:vAlign w:val="center"/>
          </w:tcPr>
          <w:p w14:paraId="626CC213">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1</w:t>
            </w:r>
          </w:p>
        </w:tc>
        <w:tc>
          <w:tcPr>
            <w:tcW w:w="4210" w:type="dxa"/>
            <w:noWrap w:val="0"/>
            <w:vAlign w:val="center"/>
          </w:tcPr>
          <w:p w14:paraId="7CB3CB1E">
            <w:pPr>
              <w:textAlignment w:val="top"/>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具有中级或以上技术职称；持有公路工程专业一级建造师注册证书；持有省级或以上交通运输主管部门核发有效的B类安全生产考核合格证书；2020年1月1日至投标截止时间（以交工验收时间为准），至少担任过1个新建高速公路项目（须包含隧道土建工程）施工合同段的项目经理职务。</w:t>
            </w:r>
          </w:p>
        </w:tc>
        <w:tc>
          <w:tcPr>
            <w:tcW w:w="1916" w:type="dxa"/>
            <w:vMerge w:val="restart"/>
            <w:tcBorders>
              <w:right w:val="single" w:color="auto" w:sz="4" w:space="0"/>
            </w:tcBorders>
            <w:noWrap w:val="0"/>
            <w:vAlign w:val="center"/>
          </w:tcPr>
          <w:p w14:paraId="7D25AEAE">
            <w:pPr>
              <w:pStyle w:val="15"/>
              <w:spacing w:before="65" w:line="284" w:lineRule="auto"/>
              <w:ind w:right="24"/>
              <w:jc w:val="both"/>
              <w:rPr>
                <w:rFonts w:hint="eastAsia" w:ascii="宋体" w:hAnsi="宋体" w:eastAsia="宋体" w:cs="宋体"/>
                <w:color w:val="000000"/>
                <w:sz w:val="24"/>
                <w:szCs w:val="24"/>
                <w:highlight w:val="none"/>
              </w:rPr>
            </w:pPr>
            <w:r>
              <w:rPr>
                <w:rFonts w:hint="eastAsia" w:ascii="仿宋" w:hAnsi="仿宋" w:eastAsia="仿宋" w:cs="仿宋"/>
                <w:snapToGrid w:val="0"/>
                <w:color w:val="000000"/>
                <w:spacing w:val="5"/>
                <w:kern w:val="0"/>
                <w:sz w:val="24"/>
                <w:szCs w:val="24"/>
                <w:highlight w:val="none"/>
                <w:vertAlign w:val="baseline"/>
                <w:lang w:val="en-US" w:eastAsia="zh-CN" w:bidi="ar-SA"/>
              </w:rPr>
              <w:t>无在岗项目（指目前未在其他项目上任职，或虽在其他项目上任职但本项目中标后能够从该项目撤离）</w:t>
            </w:r>
          </w:p>
        </w:tc>
      </w:tr>
      <w:tr w14:paraId="61AA5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597" w:type="dxa"/>
            <w:vMerge w:val="continue"/>
            <w:noWrap w:val="0"/>
            <w:vAlign w:val="center"/>
          </w:tcPr>
          <w:p w14:paraId="4E30B822">
            <w:pPr>
              <w:pStyle w:val="15"/>
              <w:spacing w:before="65" w:line="227" w:lineRule="auto"/>
              <w:jc w:val="center"/>
              <w:rPr>
                <w:rFonts w:hint="eastAsia" w:ascii="宋体" w:hAnsi="宋体" w:eastAsia="宋体" w:cs="宋体"/>
                <w:color w:val="000000"/>
                <w:spacing w:val="6"/>
                <w:sz w:val="24"/>
                <w:szCs w:val="24"/>
                <w:highlight w:val="none"/>
              </w:rPr>
            </w:pPr>
          </w:p>
        </w:tc>
        <w:tc>
          <w:tcPr>
            <w:tcW w:w="703" w:type="dxa"/>
            <w:noWrap w:val="0"/>
            <w:vAlign w:val="center"/>
          </w:tcPr>
          <w:p w14:paraId="2C7E9EC3">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项目总工</w:t>
            </w:r>
          </w:p>
        </w:tc>
        <w:tc>
          <w:tcPr>
            <w:tcW w:w="712" w:type="dxa"/>
            <w:noWrap w:val="0"/>
            <w:vAlign w:val="center"/>
          </w:tcPr>
          <w:p w14:paraId="7DEE5CD9">
            <w:pPr>
              <w:pStyle w:val="15"/>
              <w:spacing w:before="65" w:line="284" w:lineRule="auto"/>
              <w:ind w:right="24"/>
              <w:jc w:val="center"/>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1</w:t>
            </w:r>
          </w:p>
        </w:tc>
        <w:tc>
          <w:tcPr>
            <w:tcW w:w="4210" w:type="dxa"/>
            <w:noWrap w:val="0"/>
            <w:vAlign w:val="center"/>
          </w:tcPr>
          <w:p w14:paraId="373CF29A">
            <w:pPr>
              <w:textAlignment w:val="top"/>
              <w:rPr>
                <w:rFonts w:hint="eastAsia" w:ascii="仿宋" w:hAnsi="仿宋" w:eastAsia="仿宋" w:cs="仿宋"/>
                <w:snapToGrid w:val="0"/>
                <w:color w:val="000000"/>
                <w:spacing w:val="5"/>
                <w:kern w:val="0"/>
                <w:sz w:val="24"/>
                <w:szCs w:val="24"/>
                <w:highlight w:val="none"/>
                <w:vertAlign w:val="baseline"/>
                <w:lang w:val="en-US" w:eastAsia="zh-CN" w:bidi="ar-SA"/>
              </w:rPr>
            </w:pPr>
            <w:r>
              <w:rPr>
                <w:rFonts w:hint="eastAsia" w:ascii="仿宋" w:hAnsi="仿宋" w:eastAsia="仿宋" w:cs="仿宋"/>
                <w:snapToGrid w:val="0"/>
                <w:color w:val="000000"/>
                <w:spacing w:val="5"/>
                <w:kern w:val="0"/>
                <w:sz w:val="24"/>
                <w:szCs w:val="24"/>
                <w:highlight w:val="none"/>
                <w:vertAlign w:val="baseline"/>
                <w:lang w:val="en-US" w:eastAsia="zh-CN" w:bidi="ar-SA"/>
              </w:rPr>
              <w:t>具有公路工程相关专业高级或以上技术职称；持有省级或以上交通运输主管部门核发有效的B类安全生产考核合格证书；2020年1月1日至投标截止时间（以交工验收时间为准），至少担任过1个新建高速公路项目（须包含隧道土建工程）施工合同段的项目总工职务。</w:t>
            </w:r>
          </w:p>
        </w:tc>
        <w:tc>
          <w:tcPr>
            <w:tcW w:w="1916" w:type="dxa"/>
            <w:vMerge w:val="continue"/>
            <w:tcBorders>
              <w:right w:val="single" w:color="auto" w:sz="4" w:space="0"/>
            </w:tcBorders>
            <w:noWrap w:val="0"/>
            <w:vAlign w:val="center"/>
          </w:tcPr>
          <w:p w14:paraId="07AA1958">
            <w:pPr>
              <w:jc w:val="center"/>
              <w:rPr>
                <w:rFonts w:hint="eastAsia" w:ascii="宋体" w:hAnsi="宋体" w:eastAsia="宋体" w:cs="宋体"/>
                <w:color w:val="000000"/>
                <w:sz w:val="24"/>
                <w:szCs w:val="24"/>
                <w:highlight w:val="none"/>
              </w:rPr>
            </w:pPr>
          </w:p>
        </w:tc>
      </w:tr>
    </w:tbl>
    <w:p w14:paraId="081EB743">
      <w:pPr>
        <w:keepNext w:val="0"/>
        <w:keepLines w:val="0"/>
        <w:pageBreakBefore w:val="0"/>
        <w:wordWrap/>
        <w:overflowPunct/>
        <w:topLinePunct w:val="0"/>
        <w:bidi w:val="0"/>
        <w:spacing w:line="48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拟投入的其他管理人员和技术人员在投标时不需填报，但须按招标文件中规定的格式、内容和要求做出相关承诺。具体的人员名单在合同谈判期间确定，但必须满足招标文件中规定的数量及资格要求，作为合同文件的组成部分及招标人进行履约检查的依据。如中标人拟派驻的人员数量和资格条件不满足合同附件的要求，招标人将有权取消其中标资格。</w:t>
      </w:r>
    </w:p>
    <w:p w14:paraId="033C5047">
      <w:pPr>
        <w:keepNext w:val="0"/>
        <w:keepLines w:val="0"/>
        <w:pageBreakBefore w:val="0"/>
        <w:wordWrap/>
        <w:overflowPunct/>
        <w:topLinePunct w:val="0"/>
        <w:bidi w:val="0"/>
        <w:spacing w:line="48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拟投入的主要机械设备、主要试验检测设备，在投标时不需填报，但须按招标文件中规定的格式、内容和要求做出相关承诺。具体的主要机械设备、主要试验检测设备清单在合同谈判期间确定，但必须满足招标文件中规定的数量及性能要求，作为合同文件的组成部分及招标人进行履约检查的依据。</w:t>
      </w:r>
    </w:p>
    <w:p w14:paraId="5C9172D0">
      <w:pPr>
        <w:keepNext w:val="0"/>
        <w:keepLines w:val="0"/>
        <w:pageBreakBefore w:val="0"/>
        <w:wordWrap/>
        <w:overflowPunct/>
        <w:topLinePunct w:val="0"/>
        <w:bidi w:val="0"/>
        <w:spacing w:line="48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2.投标人应进入交通运输部“全国公路建设市场监督管理系统”中的资质企业名录，且投标人名称和资质与该名录中的相应企业名称和资质完全一致。</w:t>
      </w:r>
    </w:p>
    <w:p w14:paraId="2660B7A9">
      <w:pPr>
        <w:keepNext w:val="0"/>
        <w:keepLines w:val="0"/>
        <w:pageBreakBefore w:val="0"/>
        <w:wordWrap/>
        <w:overflowPunct/>
        <w:topLinePunct w:val="0"/>
        <w:bidi w:val="0"/>
        <w:spacing w:line="4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3.本次招标不接受联合体投标。</w:t>
      </w:r>
    </w:p>
    <w:p w14:paraId="0E20D722">
      <w:pPr>
        <w:pStyle w:val="5"/>
        <w:keepNext w:val="0"/>
        <w:keepLines w:val="0"/>
        <w:pageBreakBefore w:val="0"/>
        <w:widowControl/>
        <w:kinsoku w:val="0"/>
        <w:wordWrap/>
        <w:overflowPunct/>
        <w:topLinePunct w:val="0"/>
        <w:autoSpaceDE w:val="0"/>
        <w:autoSpaceDN w:val="0"/>
        <w:bidi w:val="0"/>
        <w:adjustRightInd w:val="0"/>
        <w:snapToGrid w:val="0"/>
        <w:spacing w:line="4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4.与招标人存在利害关系可能影响招标公正性的单位，不得参加投标。单位负责人为同一人或存在控股、管理关系的不同单位，不得同时参加同一标段的投标，否则相关投标均无效。</w:t>
      </w:r>
    </w:p>
    <w:p w14:paraId="026132CD">
      <w:pPr>
        <w:pStyle w:val="5"/>
        <w:keepNext w:val="0"/>
        <w:keepLines w:val="0"/>
        <w:pageBreakBefore w:val="0"/>
        <w:widowControl/>
        <w:kinsoku w:val="0"/>
        <w:wordWrap/>
        <w:overflowPunct/>
        <w:topLinePunct w:val="0"/>
        <w:autoSpaceDE w:val="0"/>
        <w:autoSpaceDN w:val="0"/>
        <w:bidi w:val="0"/>
        <w:adjustRightInd w:val="0"/>
        <w:snapToGrid w:val="0"/>
        <w:spacing w:line="4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同一单位以及单位负责人为同一人或者存在控股、管理关系的不同单位不能同时获得施工及施工监理标段的中标资格(具有监理与被监理关系)。如若出现，将优先保留其施工标段的中标资格，取消其施工监理标段的中标资格。</w:t>
      </w:r>
    </w:p>
    <w:p w14:paraId="352B5995">
      <w:pPr>
        <w:pStyle w:val="5"/>
        <w:keepNext w:val="0"/>
        <w:keepLines w:val="0"/>
        <w:pageBreakBefore w:val="0"/>
        <w:widowControl/>
        <w:kinsoku w:val="0"/>
        <w:wordWrap/>
        <w:overflowPunct/>
        <w:topLinePunct w:val="0"/>
        <w:autoSpaceDE w:val="0"/>
        <w:autoSpaceDN w:val="0"/>
        <w:bidi w:val="0"/>
        <w:adjustRightInd w:val="0"/>
        <w:snapToGrid w:val="0"/>
        <w:spacing w:line="480" w:lineRule="exact"/>
        <w:ind w:right="0" w:firstLine="640" w:firstLineChars="200"/>
        <w:textAlignment w:val="baseline"/>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6.在“信用中国”网站中被列入失信被执行人名单的投标人，不得参加投标。</w:t>
      </w:r>
    </w:p>
    <w:p w14:paraId="6DFC8603">
      <w:pPr>
        <w:keepNext w:val="0"/>
        <w:keepLines w:val="0"/>
        <w:pageBreakBefore w:val="0"/>
        <w:wordWrap/>
        <w:overflowPunct/>
        <w:topLinePunct w:val="0"/>
        <w:bidi w:val="0"/>
        <w:spacing w:line="480" w:lineRule="exact"/>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7.投标保证金：每标段人民币15万元，现金或银行保函。</w:t>
      </w:r>
    </w:p>
    <w:p w14:paraId="53655605">
      <w:pPr>
        <w:spacing w:line="360" w:lineRule="auto"/>
        <w:rPr>
          <w:rFonts w:hint="eastAsia" w:ascii="黑体" w:hAnsi="黑体" w:eastAsia="黑体" w:cs="黑体"/>
          <w:sz w:val="32"/>
          <w:szCs w:val="32"/>
        </w:rPr>
      </w:pPr>
      <w:r>
        <w:rPr>
          <w:rFonts w:hint="eastAsia" w:ascii="黑体" w:hAnsi="黑体" w:eastAsia="黑体" w:cs="黑体"/>
          <w:sz w:val="32"/>
          <w:szCs w:val="32"/>
        </w:rPr>
        <w:t>三、‌‌‌评标办法</w:t>
      </w:r>
    </w:p>
    <w:tbl>
      <w:tblPr>
        <w:tblStyle w:val="8"/>
        <w:tblW w:w="9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9"/>
        <w:gridCol w:w="908"/>
        <w:gridCol w:w="7881"/>
      </w:tblGrid>
      <w:tr w14:paraId="50C3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1" w:hRule="atLeast"/>
          <w:jc w:val="center"/>
        </w:trPr>
        <w:tc>
          <w:tcPr>
            <w:tcW w:w="1737" w:type="dxa"/>
            <w:gridSpan w:val="2"/>
            <w:vAlign w:val="center"/>
          </w:tcPr>
          <w:p w14:paraId="57F78F83">
            <w:pPr>
              <w:pStyle w:val="18"/>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b/>
                <w:sz w:val="24"/>
                <w:szCs w:val="24"/>
                <w:highlight w:val="none"/>
              </w:rPr>
            </w:pPr>
          </w:p>
          <w:p w14:paraId="43EB3C4E">
            <w:pPr>
              <w:pStyle w:val="18"/>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条款号</w:t>
            </w:r>
          </w:p>
        </w:tc>
        <w:tc>
          <w:tcPr>
            <w:tcW w:w="7881" w:type="dxa"/>
            <w:vAlign w:val="center"/>
          </w:tcPr>
          <w:p w14:paraId="068A72E9">
            <w:pPr>
              <w:pStyle w:val="18"/>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b/>
                <w:sz w:val="24"/>
                <w:szCs w:val="24"/>
                <w:highlight w:val="none"/>
              </w:rPr>
            </w:pPr>
          </w:p>
          <w:p w14:paraId="1CB93861">
            <w:pPr>
              <w:pStyle w:val="18"/>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评审因素与评审标准</w:t>
            </w:r>
          </w:p>
        </w:tc>
      </w:tr>
      <w:tr w14:paraId="130B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29" w:type="dxa"/>
            <w:vAlign w:val="center"/>
          </w:tcPr>
          <w:p w14:paraId="7DCA445C">
            <w:pPr>
              <w:pStyle w:val="18"/>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908" w:type="dxa"/>
            <w:vAlign w:val="center"/>
          </w:tcPr>
          <w:p w14:paraId="77D8E365">
            <w:pPr>
              <w:pStyle w:val="18"/>
              <w:ind w:left="9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评标方法</w:t>
            </w:r>
          </w:p>
        </w:tc>
        <w:tc>
          <w:tcPr>
            <w:tcW w:w="7881" w:type="dxa"/>
            <w:vAlign w:val="center"/>
          </w:tcPr>
          <w:p w14:paraId="5F757B64">
            <w:pPr>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本次评标采用技术评分最低标价法，资格后审。</w:t>
            </w:r>
          </w:p>
          <w:p w14:paraId="658B9F46">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对满足招标文件实质性要求的投标文件的施工组织设计、主要管理人员、技术能力、履约信誉、业绩等因素进行评分，按照得分由高到低排序，对排名前6名的投标人的报价文件进行评审，按照评标价由低到高的顺序推荐中标候选人。</w:t>
            </w:r>
          </w:p>
          <w:p w14:paraId="38CBBFD7">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评标价相等时，评标委员会依次按照以下优先顺序推荐中标候选人：</w:t>
            </w:r>
          </w:p>
          <w:p w14:paraId="03CA3E45">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（1）履约信誉得分较高的投标人优先；</w:t>
            </w:r>
          </w:p>
          <w:p w14:paraId="0654E106">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（2）施工组织设计得分较高的投标人优先。</w:t>
            </w:r>
          </w:p>
          <w:p w14:paraId="632D8B3C">
            <w:pPr>
              <w:pStyle w:val="23"/>
              <w:keepNext w:val="0"/>
              <w:keepLines w:val="0"/>
              <w:pageBreakBefore w:val="0"/>
              <w:widowControl w:val="0"/>
              <w:kinsoku/>
              <w:wordWrap/>
              <w:overflowPunct/>
              <w:topLinePunct w:val="0"/>
              <w:autoSpaceDE w:val="0"/>
              <w:autoSpaceDN w:val="0"/>
              <w:bidi w:val="0"/>
              <w:adjustRightInd/>
              <w:snapToGrid w:val="0"/>
              <w:spacing w:line="320" w:lineRule="exact"/>
              <w:ind w:left="0" w:leftChars="0" w:right="0" w:righ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（3）业绩数量较多的投标人优先。</w:t>
            </w:r>
          </w:p>
        </w:tc>
      </w:tr>
      <w:tr w14:paraId="7761D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7" w:hRule="atLeast"/>
          <w:jc w:val="center"/>
        </w:trPr>
        <w:tc>
          <w:tcPr>
            <w:tcW w:w="829" w:type="dxa"/>
            <w:shd w:val="clear" w:color="auto" w:fill="auto"/>
            <w:vAlign w:val="top"/>
          </w:tcPr>
          <w:p w14:paraId="15A14207">
            <w:pPr>
              <w:pStyle w:val="18"/>
              <w:rPr>
                <w:rFonts w:hint="eastAsia" w:ascii="宋体" w:hAnsi="宋体" w:eastAsia="宋体" w:cs="宋体"/>
                <w:b/>
                <w:sz w:val="24"/>
                <w:szCs w:val="24"/>
                <w:highlight w:val="none"/>
              </w:rPr>
            </w:pPr>
          </w:p>
          <w:p w14:paraId="0F37741C">
            <w:pPr>
              <w:pStyle w:val="18"/>
              <w:rPr>
                <w:rFonts w:hint="eastAsia" w:ascii="宋体" w:hAnsi="宋体" w:eastAsia="宋体" w:cs="宋体"/>
                <w:b/>
                <w:sz w:val="24"/>
                <w:szCs w:val="24"/>
                <w:highlight w:val="none"/>
              </w:rPr>
            </w:pPr>
          </w:p>
          <w:p w14:paraId="79C4E951">
            <w:pPr>
              <w:pStyle w:val="18"/>
              <w:rPr>
                <w:rFonts w:hint="eastAsia" w:ascii="宋体" w:hAnsi="宋体" w:eastAsia="宋体" w:cs="宋体"/>
                <w:b/>
                <w:sz w:val="24"/>
                <w:szCs w:val="24"/>
                <w:highlight w:val="none"/>
              </w:rPr>
            </w:pPr>
          </w:p>
          <w:p w14:paraId="3F253945">
            <w:pPr>
              <w:pStyle w:val="18"/>
              <w:rPr>
                <w:rFonts w:hint="eastAsia" w:ascii="宋体" w:hAnsi="宋体" w:eastAsia="宋体" w:cs="宋体"/>
                <w:b/>
                <w:sz w:val="24"/>
                <w:szCs w:val="24"/>
                <w:highlight w:val="none"/>
              </w:rPr>
            </w:pPr>
          </w:p>
          <w:p w14:paraId="7738E434">
            <w:pPr>
              <w:pStyle w:val="18"/>
              <w:rPr>
                <w:rFonts w:hint="eastAsia" w:ascii="宋体" w:hAnsi="宋体" w:eastAsia="宋体" w:cs="宋体"/>
                <w:b/>
                <w:sz w:val="24"/>
                <w:szCs w:val="24"/>
                <w:highlight w:val="none"/>
              </w:rPr>
            </w:pPr>
          </w:p>
          <w:p w14:paraId="25B806C7">
            <w:pPr>
              <w:pStyle w:val="18"/>
              <w:rPr>
                <w:rFonts w:hint="eastAsia" w:ascii="宋体" w:hAnsi="宋体" w:eastAsia="宋体" w:cs="宋体"/>
                <w:b/>
                <w:sz w:val="24"/>
                <w:szCs w:val="24"/>
                <w:highlight w:val="none"/>
              </w:rPr>
            </w:pPr>
          </w:p>
          <w:p w14:paraId="1A54C472">
            <w:pPr>
              <w:pStyle w:val="18"/>
              <w:rPr>
                <w:rFonts w:hint="eastAsia" w:ascii="宋体" w:hAnsi="宋体" w:eastAsia="宋体" w:cs="宋体"/>
                <w:b/>
                <w:sz w:val="24"/>
                <w:szCs w:val="24"/>
                <w:highlight w:val="none"/>
              </w:rPr>
            </w:pPr>
          </w:p>
          <w:p w14:paraId="0A1E80BE">
            <w:pPr>
              <w:pStyle w:val="18"/>
              <w:rPr>
                <w:rFonts w:hint="eastAsia" w:ascii="宋体" w:hAnsi="宋体" w:eastAsia="宋体" w:cs="宋体"/>
                <w:b/>
                <w:sz w:val="24"/>
                <w:szCs w:val="24"/>
                <w:highlight w:val="none"/>
              </w:rPr>
            </w:pPr>
          </w:p>
          <w:p w14:paraId="3D3FFC6E">
            <w:pPr>
              <w:pStyle w:val="18"/>
              <w:rPr>
                <w:rFonts w:hint="eastAsia" w:ascii="宋体" w:hAnsi="宋体" w:eastAsia="宋体" w:cs="宋体"/>
                <w:b/>
                <w:sz w:val="24"/>
                <w:szCs w:val="24"/>
                <w:highlight w:val="none"/>
              </w:rPr>
            </w:pPr>
          </w:p>
          <w:p w14:paraId="2D66677F">
            <w:pPr>
              <w:pStyle w:val="18"/>
              <w:rPr>
                <w:rFonts w:hint="eastAsia" w:ascii="宋体" w:hAnsi="宋体" w:eastAsia="宋体" w:cs="宋体"/>
                <w:b/>
                <w:sz w:val="24"/>
                <w:szCs w:val="24"/>
                <w:highlight w:val="none"/>
              </w:rPr>
            </w:pPr>
          </w:p>
          <w:p w14:paraId="7292EA7E">
            <w:pPr>
              <w:pStyle w:val="18"/>
              <w:rPr>
                <w:rFonts w:hint="eastAsia" w:ascii="宋体" w:hAnsi="宋体" w:eastAsia="宋体" w:cs="宋体"/>
                <w:b/>
                <w:sz w:val="24"/>
                <w:szCs w:val="24"/>
                <w:highlight w:val="none"/>
              </w:rPr>
            </w:pPr>
          </w:p>
          <w:p w14:paraId="4F68F2FF">
            <w:pPr>
              <w:pStyle w:val="18"/>
              <w:rPr>
                <w:rFonts w:hint="eastAsia" w:ascii="宋体" w:hAnsi="宋体" w:eastAsia="宋体" w:cs="宋体"/>
                <w:b/>
                <w:sz w:val="24"/>
                <w:szCs w:val="24"/>
                <w:highlight w:val="none"/>
              </w:rPr>
            </w:pPr>
          </w:p>
          <w:p w14:paraId="5F39534B">
            <w:pPr>
              <w:pStyle w:val="18"/>
              <w:rPr>
                <w:rFonts w:hint="eastAsia" w:ascii="宋体" w:hAnsi="宋体" w:eastAsia="宋体" w:cs="宋体"/>
                <w:b/>
                <w:sz w:val="24"/>
                <w:szCs w:val="24"/>
                <w:highlight w:val="none"/>
              </w:rPr>
            </w:pPr>
          </w:p>
          <w:p w14:paraId="645B2EC8">
            <w:pPr>
              <w:pStyle w:val="18"/>
              <w:spacing w:before="8"/>
              <w:rPr>
                <w:rFonts w:hint="eastAsia" w:ascii="宋体" w:hAnsi="宋体" w:eastAsia="宋体" w:cs="宋体"/>
                <w:b/>
                <w:sz w:val="24"/>
                <w:szCs w:val="24"/>
                <w:highlight w:val="none"/>
              </w:rPr>
            </w:pPr>
          </w:p>
          <w:p w14:paraId="10FAFD56">
            <w:pPr>
              <w:pStyle w:val="18"/>
              <w:ind w:left="102"/>
              <w:rPr>
                <w:rFonts w:hint="eastAsia" w:ascii="宋体" w:hAnsi="宋体" w:eastAsia="宋体" w:cs="宋体"/>
                <w:sz w:val="24"/>
                <w:szCs w:val="24"/>
                <w:highlight w:val="none"/>
              </w:rPr>
            </w:pPr>
            <w:r>
              <w:rPr>
                <w:rFonts w:hint="eastAsia" w:ascii="宋体" w:hAnsi="宋体" w:eastAsia="宋体" w:cs="宋体"/>
                <w:sz w:val="24"/>
                <w:szCs w:val="24"/>
                <w:highlight w:val="none"/>
              </w:rPr>
              <w:t>2.1.1</w:t>
            </w:r>
          </w:p>
          <w:p w14:paraId="7E367702">
            <w:pPr>
              <w:pStyle w:val="18"/>
              <w:spacing w:before="12"/>
              <w:rPr>
                <w:rFonts w:hint="eastAsia" w:ascii="宋体" w:hAnsi="宋体" w:eastAsia="宋体" w:cs="宋体"/>
                <w:b/>
                <w:sz w:val="24"/>
                <w:szCs w:val="24"/>
                <w:highlight w:val="none"/>
              </w:rPr>
            </w:pPr>
          </w:p>
          <w:p w14:paraId="363E1C89">
            <w:pPr>
              <w:pStyle w:val="18"/>
              <w:ind w:left="102" w:leftChars="0"/>
              <w:rPr>
                <w:rFonts w:hint="eastAsia" w:ascii="宋体" w:hAnsi="宋体" w:eastAsia="宋体" w:cs="宋体"/>
                <w:kern w:val="0"/>
                <w:sz w:val="24"/>
                <w:szCs w:val="24"/>
                <w:highlight w:val="none"/>
                <w:lang w:val="en-US" w:eastAsia="en-US" w:bidi="ar-SA"/>
              </w:rPr>
            </w:pPr>
            <w:r>
              <w:rPr>
                <w:rFonts w:hint="eastAsia" w:ascii="宋体" w:hAnsi="宋体" w:eastAsia="宋体" w:cs="宋体"/>
                <w:sz w:val="24"/>
                <w:szCs w:val="24"/>
                <w:highlight w:val="none"/>
              </w:rPr>
              <w:t>2.1.3</w:t>
            </w:r>
          </w:p>
        </w:tc>
        <w:tc>
          <w:tcPr>
            <w:tcW w:w="908" w:type="dxa"/>
            <w:shd w:val="clear" w:color="auto" w:fill="auto"/>
            <w:vAlign w:val="center"/>
          </w:tcPr>
          <w:p w14:paraId="57F63539">
            <w:pPr>
              <w:pStyle w:val="18"/>
              <w:jc w:val="center"/>
              <w:rPr>
                <w:rFonts w:hint="eastAsia" w:ascii="宋体" w:hAnsi="宋体" w:eastAsia="宋体" w:cs="宋体"/>
                <w:b/>
                <w:sz w:val="24"/>
                <w:szCs w:val="24"/>
                <w:highlight w:val="none"/>
              </w:rPr>
            </w:pPr>
          </w:p>
          <w:p w14:paraId="788C5A0A">
            <w:pPr>
              <w:pStyle w:val="18"/>
              <w:spacing w:line="410" w:lineRule="auto"/>
              <w:ind w:left="91" w:leftChars="0" w:right="59" w:rightChars="0"/>
              <w:jc w:val="center"/>
              <w:rPr>
                <w:rFonts w:hint="eastAsia" w:ascii="宋体" w:hAnsi="宋体" w:eastAsia="宋体" w:cs="宋体"/>
                <w:kern w:val="0"/>
                <w:sz w:val="24"/>
                <w:szCs w:val="24"/>
                <w:highlight w:val="none"/>
                <w:lang w:val="en-US" w:eastAsia="en-US" w:bidi="ar-SA"/>
              </w:rPr>
            </w:pPr>
            <w:r>
              <w:rPr>
                <w:rFonts w:hint="eastAsia" w:ascii="宋体" w:hAnsi="宋体" w:eastAsia="宋体" w:cs="宋体"/>
                <w:sz w:val="24"/>
                <w:szCs w:val="24"/>
                <w:highlight w:val="none"/>
              </w:rPr>
              <w:t>形式评审与响应性评审标准</w:t>
            </w:r>
          </w:p>
        </w:tc>
        <w:tc>
          <w:tcPr>
            <w:tcW w:w="7881" w:type="dxa"/>
            <w:shd w:val="clear" w:color="auto" w:fill="auto"/>
            <w:vAlign w:val="center"/>
          </w:tcPr>
          <w:p w14:paraId="4B206316">
            <w:pPr>
              <w:pStyle w:val="18"/>
              <w:spacing w:line="400" w:lineRule="exact"/>
              <w:ind w:left="14" w:right="151" w:rightChars="72"/>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第一个信封（商务及技术文件）评审标准：</w:t>
            </w:r>
          </w:p>
          <w:p w14:paraId="6606FDA3">
            <w:pPr>
              <w:pStyle w:val="18"/>
              <w:spacing w:line="40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（1）投标文件按照招标文件规定的格式、内容填写，字迹清晰可辨：</w:t>
            </w:r>
          </w:p>
          <w:p w14:paraId="3AC87371">
            <w:pPr>
              <w:pStyle w:val="18"/>
              <w:tabs>
                <w:tab w:val="left" w:pos="229"/>
              </w:tabs>
              <w:spacing w:line="40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a.</w:t>
            </w:r>
            <w:r>
              <w:rPr>
                <w:rFonts w:hint="eastAsia" w:ascii="宋体" w:hAnsi="宋体" w:eastAsia="宋体" w:cs="宋体"/>
                <w:sz w:val="24"/>
                <w:szCs w:val="24"/>
                <w:highlight w:val="none"/>
              </w:rPr>
              <w:t>投标函按招标文件规定填报了项目名称、标段号、补遗书编号（如有）</w:t>
            </w:r>
            <w:r>
              <w:rPr>
                <w:rFonts w:hint="eastAsia" w:ascii="宋体" w:hAnsi="宋体" w:eastAsia="宋体" w:cs="宋体"/>
                <w:spacing w:val="-3"/>
                <w:sz w:val="24"/>
                <w:szCs w:val="24"/>
                <w:highlight w:val="none"/>
              </w:rPr>
              <w:t>、服务期限、工程质量要求及安全目标；</w:t>
            </w:r>
          </w:p>
          <w:p w14:paraId="72B07B2C">
            <w:pPr>
              <w:pStyle w:val="18"/>
              <w:tabs>
                <w:tab w:val="left" w:pos="227"/>
              </w:tabs>
              <w:spacing w:line="40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b</w:t>
            </w:r>
            <w:r>
              <w:rPr>
                <w:rFonts w:hint="eastAsia" w:ascii="宋体" w:hAnsi="宋体" w:eastAsia="宋体" w:cs="宋体"/>
                <w:spacing w:val="-3"/>
                <w:sz w:val="24"/>
                <w:szCs w:val="24"/>
                <w:highlight w:val="none"/>
                <w:lang w:val="en-US"/>
              </w:rPr>
              <w:t>.</w:t>
            </w:r>
            <w:r>
              <w:rPr>
                <w:rFonts w:hint="eastAsia" w:ascii="宋体" w:hAnsi="宋体" w:eastAsia="宋体" w:cs="宋体"/>
                <w:spacing w:val="-3"/>
                <w:sz w:val="24"/>
                <w:szCs w:val="24"/>
                <w:highlight w:val="none"/>
              </w:rPr>
              <w:t>投标文件组成齐全完整，提供的相关资料符合招标文件规定，内容均按规定填写。</w:t>
            </w:r>
          </w:p>
          <w:p w14:paraId="007AE186">
            <w:pPr>
              <w:pStyle w:val="18"/>
              <w:tabs>
                <w:tab w:val="left" w:pos="542"/>
              </w:tabs>
              <w:spacing w:line="40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rPr>
              <w:t>2</w:t>
            </w:r>
            <w:r>
              <w:rPr>
                <w:rFonts w:hint="eastAsia" w:ascii="宋体" w:hAnsi="宋体" w:eastAsia="宋体" w:cs="宋体"/>
                <w:spacing w:val="-5"/>
                <w:sz w:val="24"/>
                <w:szCs w:val="24"/>
                <w:highlight w:val="none"/>
              </w:rPr>
              <w:t>）投标文件上法定代表人或其委托代理人的签字、投标人的单位章盖章齐全，符合</w:t>
            </w:r>
            <w:r>
              <w:rPr>
                <w:rFonts w:hint="eastAsia" w:ascii="宋体" w:hAnsi="宋体" w:eastAsia="宋体" w:cs="宋体"/>
                <w:spacing w:val="-4"/>
                <w:sz w:val="24"/>
                <w:szCs w:val="24"/>
                <w:highlight w:val="none"/>
              </w:rPr>
              <w:t>招标文件规定。</w:t>
            </w:r>
          </w:p>
          <w:p w14:paraId="5D7D10A4">
            <w:pPr>
              <w:pStyle w:val="18"/>
              <w:tabs>
                <w:tab w:val="left" w:pos="544"/>
              </w:tabs>
              <w:spacing w:line="40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rPr>
              <w:t>3</w:t>
            </w:r>
            <w:r>
              <w:rPr>
                <w:rFonts w:hint="eastAsia" w:ascii="宋体" w:hAnsi="宋体" w:eastAsia="宋体" w:cs="宋体"/>
                <w:spacing w:val="-3"/>
                <w:sz w:val="24"/>
                <w:szCs w:val="24"/>
                <w:highlight w:val="none"/>
              </w:rPr>
              <w:t>）投标人按照招标文件的规定提供了投标保证金：</w:t>
            </w:r>
          </w:p>
          <w:p w14:paraId="4BD1A05F">
            <w:pPr>
              <w:pStyle w:val="18"/>
              <w:spacing w:line="400" w:lineRule="exact"/>
              <w:ind w:left="14" w:right="151" w:rightChars="72"/>
              <w:jc w:val="both"/>
              <w:rPr>
                <w:rFonts w:hint="eastAsia" w:ascii="宋体" w:hAnsi="宋体" w:eastAsia="宋体" w:cs="宋体"/>
                <w:spacing w:val="-4"/>
                <w:sz w:val="24"/>
                <w:szCs w:val="24"/>
                <w:highlight w:val="none"/>
              </w:rPr>
            </w:pPr>
            <w:r>
              <w:rPr>
                <w:rFonts w:hint="eastAsia" w:ascii="宋体" w:hAnsi="宋体" w:eastAsia="宋体" w:cs="宋体"/>
                <w:sz w:val="24"/>
                <w:szCs w:val="24"/>
                <w:highlight w:val="none"/>
              </w:rPr>
              <w:t>a.</w:t>
            </w:r>
            <w:r>
              <w:rPr>
                <w:rFonts w:hint="eastAsia" w:ascii="宋体" w:hAnsi="宋体" w:eastAsia="宋体" w:cs="宋体"/>
                <w:spacing w:val="-4"/>
                <w:sz w:val="24"/>
                <w:szCs w:val="24"/>
                <w:highlight w:val="none"/>
              </w:rPr>
              <w:t>投标保证金金额符合招标文件规定的金额，且投标保证金有效期不少于投标有效期</w:t>
            </w:r>
          </w:p>
          <w:p w14:paraId="3C712445">
            <w:pPr>
              <w:pStyle w:val="18"/>
              <w:spacing w:line="40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b</w:t>
            </w:r>
            <w:r>
              <w:rPr>
                <w:rFonts w:hint="eastAsia" w:ascii="宋体" w:hAnsi="宋体" w:eastAsia="宋体" w:cs="宋体"/>
                <w:spacing w:val="-5"/>
                <w:sz w:val="24"/>
                <w:szCs w:val="24"/>
                <w:highlight w:val="none"/>
              </w:rPr>
              <w:t>.若投标保证金采用现金形式提交，投标人应在递交投标文件截止时间之前，将投标</w:t>
            </w:r>
            <w:r>
              <w:rPr>
                <w:rFonts w:hint="eastAsia" w:ascii="宋体" w:hAnsi="宋体" w:eastAsia="宋体" w:cs="宋体"/>
                <w:spacing w:val="-3"/>
                <w:sz w:val="24"/>
                <w:szCs w:val="24"/>
                <w:highlight w:val="none"/>
              </w:rPr>
              <w:t>保证金由投标人的基本账户转入招标人指定账户；</w:t>
            </w:r>
          </w:p>
          <w:p w14:paraId="1F58E711">
            <w:pPr>
              <w:pStyle w:val="18"/>
              <w:tabs>
                <w:tab w:val="left" w:pos="229"/>
              </w:tabs>
              <w:spacing w:line="40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c.</w:t>
            </w:r>
            <w:r>
              <w:rPr>
                <w:rFonts w:hint="eastAsia" w:ascii="宋体" w:hAnsi="宋体" w:eastAsia="宋体" w:cs="宋体"/>
                <w:sz w:val="24"/>
                <w:szCs w:val="24"/>
                <w:highlight w:val="none"/>
              </w:rPr>
              <w:t>若投标保证金采用银行保函形式提交，银行保函的格式、开具保函的银行均满足招标文件要求，且在递交投标文件截止时间之前向招标人提交了银行保函和开具保函权</w:t>
            </w:r>
            <w:r>
              <w:rPr>
                <w:rFonts w:hint="eastAsia" w:ascii="宋体" w:hAnsi="宋体" w:eastAsia="宋体" w:cs="宋体"/>
                <w:spacing w:val="-1"/>
                <w:sz w:val="24"/>
                <w:szCs w:val="24"/>
                <w:highlight w:val="none"/>
              </w:rPr>
              <w:t>限说明</w:t>
            </w:r>
            <w:r>
              <w:rPr>
                <w:rFonts w:hint="eastAsia" w:ascii="宋体" w:hAnsi="宋体" w:eastAsia="宋体" w:cs="宋体"/>
                <w:sz w:val="24"/>
                <w:szCs w:val="24"/>
                <w:highlight w:val="none"/>
              </w:rPr>
              <w:t>（</w:t>
            </w:r>
            <w:r>
              <w:rPr>
                <w:rFonts w:hint="eastAsia" w:ascii="宋体" w:hAnsi="宋体" w:eastAsia="宋体" w:cs="宋体"/>
                <w:spacing w:val="-2"/>
                <w:sz w:val="24"/>
                <w:szCs w:val="24"/>
                <w:highlight w:val="none"/>
              </w:rPr>
              <w:t>如有</w:t>
            </w:r>
            <w:r>
              <w:rPr>
                <w:rFonts w:hint="eastAsia" w:ascii="宋体" w:hAnsi="宋体" w:eastAsia="宋体" w:cs="宋体"/>
                <w:spacing w:val="-3"/>
                <w:sz w:val="24"/>
                <w:szCs w:val="24"/>
                <w:highlight w:val="none"/>
              </w:rPr>
              <w:t>）</w:t>
            </w:r>
            <w:r>
              <w:rPr>
                <w:rFonts w:hint="eastAsia" w:ascii="宋体" w:hAnsi="宋体" w:eastAsia="宋体" w:cs="宋体"/>
                <w:spacing w:val="-2"/>
                <w:sz w:val="24"/>
                <w:szCs w:val="24"/>
                <w:highlight w:val="none"/>
              </w:rPr>
              <w:t>的原件。</w:t>
            </w:r>
          </w:p>
          <w:p w14:paraId="4304A644">
            <w:pPr>
              <w:pStyle w:val="18"/>
              <w:tabs>
                <w:tab w:val="left" w:pos="227"/>
              </w:tabs>
              <w:spacing w:line="40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rPr>
              <w:t>d.</w:t>
            </w:r>
            <w:r>
              <w:rPr>
                <w:rFonts w:hint="eastAsia" w:ascii="宋体" w:hAnsi="宋体" w:eastAsia="宋体" w:cs="宋体"/>
                <w:spacing w:val="-6"/>
                <w:sz w:val="24"/>
                <w:szCs w:val="24"/>
                <w:highlight w:val="none"/>
              </w:rPr>
              <w:t xml:space="preserve">投标保证金递交符合招标文件投标人须知前附表第 </w:t>
            </w:r>
            <w:r>
              <w:rPr>
                <w:rFonts w:hint="eastAsia" w:ascii="宋体" w:hAnsi="宋体" w:eastAsia="宋体" w:cs="宋体"/>
                <w:sz w:val="24"/>
                <w:szCs w:val="24"/>
                <w:highlight w:val="none"/>
              </w:rPr>
              <w:t>10.</w:t>
            </w:r>
            <w:r>
              <w:rPr>
                <w:rFonts w:hint="eastAsia" w:ascii="宋体" w:hAnsi="宋体" w:eastAsia="宋体" w:cs="宋体"/>
                <w:sz w:val="24"/>
                <w:szCs w:val="24"/>
                <w:highlight w:val="none"/>
                <w:lang w:val="en-US" w:eastAsia="zh-CN"/>
              </w:rPr>
              <w:t>2</w:t>
            </w:r>
            <w:r>
              <w:rPr>
                <w:rFonts w:hint="eastAsia" w:ascii="宋体" w:hAnsi="宋体" w:eastAsia="宋体" w:cs="宋体"/>
                <w:spacing w:val="-10"/>
                <w:sz w:val="24"/>
                <w:szCs w:val="24"/>
                <w:highlight w:val="none"/>
              </w:rPr>
              <w:t xml:space="preserve"> 款相关要求。</w:t>
            </w:r>
          </w:p>
          <w:p w14:paraId="52F148E0">
            <w:pPr>
              <w:pStyle w:val="18"/>
              <w:spacing w:line="400" w:lineRule="exact"/>
              <w:ind w:left="14" w:right="151" w:rightChars="72"/>
              <w:jc w:val="both"/>
              <w:rPr>
                <w:rFonts w:hint="eastAsia" w:ascii="宋体" w:hAnsi="宋体" w:eastAsia="宋体" w:cs="宋体"/>
                <w:spacing w:val="-6"/>
                <w:sz w:val="24"/>
                <w:szCs w:val="24"/>
                <w:highlight w:val="none"/>
              </w:rPr>
            </w:pPr>
            <w:r>
              <w:rPr>
                <w:rFonts w:hint="eastAsia" w:ascii="宋体" w:hAnsi="宋体" w:eastAsia="宋体" w:cs="宋体"/>
                <w:spacing w:val="-3"/>
                <w:sz w:val="24"/>
                <w:szCs w:val="24"/>
                <w:highlight w:val="none"/>
              </w:rPr>
              <w:t>（4）</w:t>
            </w:r>
            <w:r>
              <w:rPr>
                <w:rFonts w:hint="eastAsia" w:ascii="宋体" w:hAnsi="宋体" w:eastAsia="宋体" w:cs="宋体"/>
                <w:spacing w:val="-5"/>
                <w:sz w:val="24"/>
                <w:szCs w:val="24"/>
                <w:highlight w:val="none"/>
              </w:rPr>
              <w:t>投标人法定代表人授权委托代理人签署投标文件的，须提交授权委托书，且授权</w:t>
            </w:r>
            <w:r>
              <w:rPr>
                <w:rFonts w:hint="eastAsia" w:ascii="宋体" w:hAnsi="宋体" w:eastAsia="宋体" w:cs="宋体"/>
                <w:spacing w:val="-6"/>
                <w:sz w:val="24"/>
                <w:szCs w:val="24"/>
                <w:highlight w:val="none"/>
              </w:rPr>
              <w:t>人和被授权人均在授权委托书上签名，未使用印章、签名章或其他电子制版签名代替。</w:t>
            </w:r>
          </w:p>
          <w:p w14:paraId="7E106AC7">
            <w:pPr>
              <w:pStyle w:val="18"/>
              <w:spacing w:line="400" w:lineRule="exact"/>
              <w:ind w:left="14" w:right="151" w:rightChars="72"/>
              <w:jc w:val="both"/>
              <w:rPr>
                <w:rFonts w:hint="eastAsia" w:ascii="宋体" w:hAnsi="宋体" w:eastAsia="宋体" w:cs="宋体"/>
                <w:spacing w:val="-4"/>
                <w:sz w:val="24"/>
                <w:szCs w:val="24"/>
                <w:highlight w:val="none"/>
              </w:rPr>
            </w:pP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rPr>
              <w:t>5</w:t>
            </w:r>
            <w:r>
              <w:rPr>
                <w:rFonts w:hint="eastAsia" w:ascii="宋体" w:hAnsi="宋体" w:eastAsia="宋体" w:cs="宋体"/>
                <w:spacing w:val="-6"/>
                <w:sz w:val="24"/>
                <w:szCs w:val="24"/>
                <w:highlight w:val="none"/>
              </w:rPr>
              <w:t>）</w:t>
            </w:r>
            <w:r>
              <w:rPr>
                <w:rFonts w:hint="eastAsia" w:ascii="宋体" w:hAnsi="宋体" w:eastAsia="宋体" w:cs="宋体"/>
                <w:spacing w:val="-5"/>
                <w:sz w:val="24"/>
                <w:szCs w:val="24"/>
                <w:highlight w:val="none"/>
              </w:rPr>
              <w:t>投标人法定代表人亲自签署投标文件的，提供了法定代表人身份证明，且法定代</w:t>
            </w:r>
            <w:r>
              <w:rPr>
                <w:rFonts w:hint="eastAsia" w:ascii="宋体" w:hAnsi="宋体" w:eastAsia="宋体" w:cs="宋体"/>
                <w:spacing w:val="-4"/>
                <w:sz w:val="24"/>
                <w:szCs w:val="24"/>
                <w:highlight w:val="none"/>
              </w:rPr>
              <w:t>表人在法定代表人身份证明上签名</w:t>
            </w:r>
            <w:r>
              <w:rPr>
                <w:rFonts w:hint="eastAsia" w:ascii="宋体" w:hAnsi="宋体" w:eastAsia="宋体" w:cs="宋体"/>
                <w:spacing w:val="-4"/>
                <w:sz w:val="24"/>
                <w:szCs w:val="24"/>
                <w:highlight w:val="none"/>
                <w:lang w:val="en-US" w:eastAsia="zh-CN"/>
              </w:rPr>
              <w:t>或盖章</w:t>
            </w:r>
            <w:r>
              <w:rPr>
                <w:rFonts w:hint="eastAsia" w:ascii="宋体" w:hAnsi="宋体" w:eastAsia="宋体" w:cs="宋体"/>
                <w:spacing w:val="-4"/>
                <w:sz w:val="24"/>
                <w:szCs w:val="24"/>
                <w:highlight w:val="none"/>
              </w:rPr>
              <w:t>。</w:t>
            </w:r>
          </w:p>
          <w:p w14:paraId="76159D15">
            <w:pPr>
              <w:pStyle w:val="18"/>
              <w:spacing w:line="400" w:lineRule="exact"/>
              <w:ind w:left="14" w:right="151" w:rightChars="72"/>
              <w:jc w:val="both"/>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6</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投标人</w:t>
            </w:r>
            <w:r>
              <w:rPr>
                <w:rFonts w:hint="eastAsia" w:ascii="宋体" w:hAnsi="宋体" w:cs="宋体"/>
                <w:spacing w:val="-4"/>
                <w:sz w:val="24"/>
                <w:szCs w:val="24"/>
                <w:highlight w:val="none"/>
                <w:lang w:val="en-US" w:eastAsia="zh-CN"/>
              </w:rPr>
              <w:t>未</w:t>
            </w:r>
            <w:r>
              <w:rPr>
                <w:rFonts w:hint="eastAsia" w:ascii="宋体" w:hAnsi="宋体" w:eastAsia="宋体" w:cs="宋体"/>
                <w:spacing w:val="-4"/>
                <w:sz w:val="24"/>
                <w:szCs w:val="24"/>
                <w:highlight w:val="none"/>
                <w:lang w:val="en-US" w:eastAsia="zh-CN"/>
              </w:rPr>
              <w:t>以联合体投标。</w:t>
            </w:r>
          </w:p>
          <w:p w14:paraId="6B2EECC9">
            <w:pPr>
              <w:pStyle w:val="18"/>
              <w:spacing w:line="400" w:lineRule="exact"/>
              <w:ind w:left="14" w:right="151" w:rightChars="72"/>
              <w:jc w:val="both"/>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（7）投标人如有分包计划 ，符合招标文件第二章“投标人须知 ”第1.11款规定 ，且按招标文件第九章“投标文件格式 ”的要求填写了“拟分包项目情况表 ”。</w:t>
            </w:r>
          </w:p>
          <w:p w14:paraId="7B9628EE">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8</w:t>
            </w:r>
            <w:r>
              <w:rPr>
                <w:rFonts w:hint="eastAsia" w:ascii="宋体" w:hAnsi="宋体" w:eastAsia="宋体" w:cs="宋体"/>
                <w:spacing w:val="-3"/>
                <w:sz w:val="24"/>
                <w:szCs w:val="24"/>
                <w:highlight w:val="none"/>
              </w:rPr>
              <w:t>）同一投标人未提交两个以上不同的投标文件。</w:t>
            </w:r>
          </w:p>
          <w:p w14:paraId="5ED05E2D">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9</w:t>
            </w:r>
            <w:r>
              <w:rPr>
                <w:rFonts w:hint="eastAsia" w:ascii="宋体" w:hAnsi="宋体" w:eastAsia="宋体" w:cs="宋体"/>
                <w:spacing w:val="-3"/>
                <w:sz w:val="24"/>
                <w:szCs w:val="24"/>
                <w:highlight w:val="none"/>
              </w:rPr>
              <w:t>）投标文件中未出现有关投标报价的内容。</w:t>
            </w:r>
          </w:p>
          <w:p w14:paraId="71DA7EC4">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）投标文件载明的招标项目完成期限符合招标文件规定。</w:t>
            </w:r>
          </w:p>
          <w:p w14:paraId="1A869C45">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11</w:t>
            </w:r>
            <w:r>
              <w:rPr>
                <w:rFonts w:hint="eastAsia" w:ascii="宋体" w:hAnsi="宋体" w:eastAsia="宋体" w:cs="宋体"/>
                <w:spacing w:val="-3"/>
                <w:sz w:val="24"/>
                <w:szCs w:val="24"/>
                <w:highlight w:val="none"/>
              </w:rPr>
              <w:t>）投标文件对招标文件的实质性要求和条件作出响应。</w:t>
            </w:r>
          </w:p>
          <w:p w14:paraId="49161359">
            <w:pPr>
              <w:pStyle w:val="18"/>
              <w:tabs>
                <w:tab w:val="left" w:pos="650"/>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rPr>
              <w:t>1</w:t>
            </w:r>
            <w:r>
              <w:rPr>
                <w:rFonts w:hint="eastAsia" w:ascii="宋体" w:hAnsi="宋体" w:eastAsia="宋体" w:cs="宋体"/>
                <w:spacing w:val="-3"/>
                <w:sz w:val="24"/>
                <w:szCs w:val="24"/>
                <w:highlight w:val="none"/>
                <w:lang w:val="en-US" w:eastAsia="zh-CN"/>
              </w:rPr>
              <w:t>2</w:t>
            </w:r>
            <w:r>
              <w:rPr>
                <w:rFonts w:hint="eastAsia" w:ascii="宋体" w:hAnsi="宋体" w:eastAsia="宋体" w:cs="宋体"/>
                <w:spacing w:val="-3"/>
                <w:sz w:val="24"/>
                <w:szCs w:val="24"/>
                <w:highlight w:val="none"/>
              </w:rPr>
              <w:t>）权利义务符合招标文件规定：</w:t>
            </w:r>
          </w:p>
          <w:p w14:paraId="1A02F9C1">
            <w:pPr>
              <w:pStyle w:val="18"/>
              <w:spacing w:line="36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a.投标人应接受招标文件规定的风险划分原则，未提出新的风险划分办法； </w:t>
            </w:r>
          </w:p>
          <w:p w14:paraId="7BF0ECCC">
            <w:pPr>
              <w:pStyle w:val="18"/>
              <w:spacing w:line="36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b.投标人未增加委托人的责任范围，或减少投标人义务；</w:t>
            </w:r>
          </w:p>
          <w:p w14:paraId="10A8FB98">
            <w:pPr>
              <w:pStyle w:val="18"/>
              <w:spacing w:line="36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c.投标人未提出不同的支付办法；</w:t>
            </w:r>
          </w:p>
          <w:p w14:paraId="1ED142B1">
            <w:pPr>
              <w:pStyle w:val="18"/>
              <w:spacing w:line="360" w:lineRule="exact"/>
              <w:ind w:left="14" w:right="151" w:rightChars="72"/>
              <w:jc w:val="both"/>
              <w:rPr>
                <w:rFonts w:hint="eastAsia" w:ascii="宋体" w:hAnsi="宋体" w:eastAsia="宋体" w:cs="宋体"/>
                <w:spacing w:val="-4"/>
                <w:sz w:val="24"/>
                <w:szCs w:val="24"/>
                <w:highlight w:val="none"/>
              </w:rPr>
            </w:pPr>
            <w:r>
              <w:rPr>
                <w:rFonts w:hint="eastAsia" w:ascii="宋体" w:hAnsi="宋体" w:eastAsia="宋体" w:cs="宋体"/>
                <w:sz w:val="24"/>
                <w:szCs w:val="24"/>
                <w:highlight w:val="none"/>
              </w:rPr>
              <w:t>d.</w:t>
            </w:r>
            <w:r>
              <w:rPr>
                <w:rFonts w:hint="eastAsia" w:ascii="宋体" w:hAnsi="宋体" w:eastAsia="宋体" w:cs="宋体"/>
                <w:spacing w:val="-4"/>
                <w:sz w:val="24"/>
                <w:szCs w:val="24"/>
                <w:highlight w:val="none"/>
              </w:rPr>
              <w:t>投标人对合同纠纷、事故处理办法未提出异议；</w:t>
            </w:r>
          </w:p>
          <w:p w14:paraId="59392D1A">
            <w:pPr>
              <w:pStyle w:val="18"/>
              <w:spacing w:line="36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e.</w:t>
            </w:r>
            <w:r>
              <w:rPr>
                <w:rFonts w:hint="eastAsia" w:ascii="宋体" w:hAnsi="宋体" w:eastAsia="宋体" w:cs="宋体"/>
                <w:spacing w:val="-3"/>
                <w:sz w:val="24"/>
                <w:szCs w:val="24"/>
                <w:highlight w:val="none"/>
              </w:rPr>
              <w:t>投标人在投标活动中无欺诈行为；</w:t>
            </w:r>
          </w:p>
          <w:p w14:paraId="1130E82B">
            <w:pPr>
              <w:pStyle w:val="18"/>
              <w:spacing w:line="360" w:lineRule="exact"/>
              <w:ind w:left="14" w:right="151" w:rightChars="72"/>
              <w:jc w:val="both"/>
              <w:rPr>
                <w:rFonts w:hint="eastAsia" w:ascii="宋体" w:hAnsi="宋体" w:eastAsia="宋体" w:cs="宋体"/>
                <w:spacing w:val="-3"/>
                <w:sz w:val="24"/>
                <w:szCs w:val="24"/>
                <w:highlight w:val="none"/>
              </w:rPr>
            </w:pPr>
            <w:r>
              <w:rPr>
                <w:rFonts w:hint="eastAsia" w:ascii="宋体" w:hAnsi="宋体" w:eastAsia="宋体" w:cs="宋体"/>
                <w:sz w:val="24"/>
                <w:szCs w:val="24"/>
                <w:highlight w:val="none"/>
              </w:rPr>
              <w:t>f.</w:t>
            </w:r>
            <w:r>
              <w:rPr>
                <w:rFonts w:hint="eastAsia" w:ascii="宋体" w:hAnsi="宋体" w:eastAsia="宋体" w:cs="宋体"/>
                <w:spacing w:val="-3"/>
                <w:sz w:val="24"/>
                <w:szCs w:val="24"/>
                <w:highlight w:val="none"/>
              </w:rPr>
              <w:t>投标人未对合同条款有重要保留。</w:t>
            </w:r>
          </w:p>
          <w:p w14:paraId="2619ADFC">
            <w:pPr>
              <w:pStyle w:val="18"/>
              <w:spacing w:line="360" w:lineRule="exact"/>
              <w:ind w:left="14" w:right="151" w:rightChars="72"/>
              <w:jc w:val="both"/>
              <w:rPr>
                <w:rFonts w:hint="eastAsia" w:ascii="宋体" w:hAnsi="宋体" w:eastAsia="宋体" w:cs="宋体"/>
                <w:spacing w:val="-3"/>
                <w:sz w:val="24"/>
                <w:szCs w:val="24"/>
                <w:highlight w:val="none"/>
              </w:rPr>
            </w:pPr>
            <w:r>
              <w:rPr>
                <w:rFonts w:hint="eastAsia" w:ascii="宋体" w:hAnsi="宋体" w:cs="宋体"/>
                <w:spacing w:val="-3"/>
                <w:sz w:val="24"/>
                <w:szCs w:val="24"/>
                <w:highlight w:val="none"/>
                <w:lang w:val="en-US" w:eastAsia="zh-CN"/>
              </w:rPr>
              <w:t>（13）施工组织设计</w:t>
            </w:r>
            <w:r>
              <w:rPr>
                <w:rFonts w:hint="eastAsia" w:ascii="宋体" w:hAnsi="宋体" w:eastAsia="宋体" w:cs="宋体"/>
                <w:spacing w:val="-3"/>
                <w:sz w:val="24"/>
                <w:szCs w:val="24"/>
                <w:highlight w:val="none"/>
                <w:lang w:val="en-US" w:eastAsia="zh-CN"/>
              </w:rPr>
              <w:t>部分</w:t>
            </w:r>
            <w:r>
              <w:rPr>
                <w:rFonts w:hint="eastAsia" w:ascii="宋体" w:hAnsi="宋体" w:cs="宋体"/>
                <w:spacing w:val="-3"/>
                <w:sz w:val="24"/>
                <w:szCs w:val="24"/>
                <w:highlight w:val="none"/>
                <w:lang w:val="en-US" w:eastAsia="zh-CN"/>
              </w:rPr>
              <w:t>编制</w:t>
            </w:r>
            <w:r>
              <w:rPr>
                <w:rFonts w:hint="eastAsia" w:ascii="宋体" w:hAnsi="宋体" w:eastAsia="宋体" w:cs="宋体"/>
                <w:spacing w:val="-3"/>
                <w:sz w:val="24"/>
                <w:szCs w:val="24"/>
                <w:highlight w:val="none"/>
                <w:lang w:val="en-US" w:eastAsia="zh-CN"/>
              </w:rPr>
              <w:t>符合招标文件内暗标编制要求。</w:t>
            </w:r>
          </w:p>
          <w:p w14:paraId="1E09AFA8">
            <w:pPr>
              <w:pStyle w:val="18"/>
              <w:tabs>
                <w:tab w:val="left" w:pos="650"/>
              </w:tabs>
              <w:spacing w:line="360" w:lineRule="exact"/>
              <w:ind w:left="14" w:right="151" w:rightChars="72"/>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第二个信封（</w:t>
            </w:r>
            <w:r>
              <w:rPr>
                <w:rFonts w:hint="eastAsia" w:ascii="宋体" w:hAnsi="宋体" w:eastAsia="宋体" w:cs="宋体"/>
                <w:b/>
                <w:spacing w:val="-1"/>
                <w:sz w:val="24"/>
                <w:szCs w:val="24"/>
                <w:highlight w:val="none"/>
              </w:rPr>
              <w:t>报价文件</w:t>
            </w:r>
            <w:r>
              <w:rPr>
                <w:rFonts w:hint="eastAsia" w:ascii="宋体" w:hAnsi="宋体" w:eastAsia="宋体" w:cs="宋体"/>
                <w:b/>
                <w:spacing w:val="-3"/>
                <w:sz w:val="24"/>
                <w:szCs w:val="24"/>
                <w:highlight w:val="none"/>
              </w:rPr>
              <w:t>）</w:t>
            </w:r>
            <w:r>
              <w:rPr>
                <w:rFonts w:hint="eastAsia" w:ascii="宋体" w:hAnsi="宋体" w:eastAsia="宋体" w:cs="宋体"/>
                <w:b/>
                <w:sz w:val="24"/>
                <w:szCs w:val="24"/>
                <w:highlight w:val="none"/>
              </w:rPr>
              <w:t>评审标准：</w:t>
            </w:r>
          </w:p>
          <w:p w14:paraId="4C363051">
            <w:pPr>
              <w:pStyle w:val="18"/>
              <w:numPr>
                <w:ilvl w:val="0"/>
                <w:numId w:val="1"/>
              </w:numPr>
              <w:spacing w:line="360" w:lineRule="exact"/>
              <w:ind w:left="14" w:right="151" w:rightChars="72"/>
              <w:jc w:val="both"/>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投标文件按照招标文件规定的格式、内容填写，字迹清晰可辨，内容齐全完整：</w:t>
            </w:r>
          </w:p>
          <w:p w14:paraId="3BA952B0">
            <w:pPr>
              <w:pStyle w:val="18"/>
              <w:spacing w:line="360" w:lineRule="exact"/>
              <w:ind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 xml:space="preserve"> a.</w:t>
            </w:r>
            <w:r>
              <w:rPr>
                <w:rFonts w:hint="eastAsia" w:ascii="宋体" w:hAnsi="宋体" w:eastAsia="宋体" w:cs="宋体"/>
                <w:spacing w:val="-7"/>
                <w:sz w:val="24"/>
                <w:szCs w:val="24"/>
                <w:highlight w:val="none"/>
              </w:rPr>
              <w:t>投标函按招标文件规定填报了项目名称、标段号、补遗书编号</w:t>
            </w:r>
            <w:r>
              <w:rPr>
                <w:rFonts w:hint="eastAsia" w:ascii="宋体" w:hAnsi="宋体" w:eastAsia="宋体" w:cs="宋体"/>
                <w:spacing w:val="-3"/>
                <w:sz w:val="24"/>
                <w:szCs w:val="24"/>
                <w:highlight w:val="none"/>
              </w:rPr>
              <w:t>（</w:t>
            </w:r>
            <w:r>
              <w:rPr>
                <w:rFonts w:hint="eastAsia" w:ascii="宋体" w:hAnsi="宋体" w:eastAsia="宋体" w:cs="宋体"/>
                <w:spacing w:val="-2"/>
                <w:sz w:val="24"/>
                <w:szCs w:val="24"/>
                <w:highlight w:val="none"/>
              </w:rPr>
              <w:t>如有</w:t>
            </w:r>
            <w:r>
              <w:rPr>
                <w:rFonts w:hint="eastAsia" w:ascii="宋体" w:hAnsi="宋体" w:eastAsia="宋体" w:cs="宋体"/>
                <w:spacing w:val="-22"/>
                <w:sz w:val="24"/>
                <w:szCs w:val="24"/>
                <w:highlight w:val="none"/>
              </w:rPr>
              <w:t>）</w:t>
            </w:r>
            <w:r>
              <w:rPr>
                <w:rFonts w:hint="eastAsia" w:ascii="宋体" w:hAnsi="宋体" w:eastAsia="宋体" w:cs="宋体"/>
                <w:spacing w:val="-13"/>
                <w:sz w:val="24"/>
                <w:szCs w:val="24"/>
                <w:highlight w:val="none"/>
              </w:rPr>
              <w:t>、投标价</w:t>
            </w:r>
            <w:r>
              <w:rPr>
                <w:rFonts w:hint="eastAsia" w:ascii="宋体" w:hAnsi="宋体" w:eastAsia="宋体" w:cs="宋体"/>
                <w:sz w:val="24"/>
                <w:szCs w:val="24"/>
                <w:highlight w:val="none"/>
              </w:rPr>
              <w:t>（包</w:t>
            </w:r>
            <w:r>
              <w:rPr>
                <w:rFonts w:hint="eastAsia" w:ascii="宋体" w:hAnsi="宋体" w:eastAsia="宋体" w:cs="宋体"/>
                <w:spacing w:val="-3"/>
                <w:sz w:val="24"/>
                <w:szCs w:val="24"/>
                <w:highlight w:val="none"/>
              </w:rPr>
              <w:t>括大写金额和小写金额</w:t>
            </w:r>
            <w:r>
              <w:rPr>
                <w:rFonts w:hint="eastAsia" w:ascii="宋体" w:hAnsi="宋体" w:eastAsia="宋体" w:cs="宋体"/>
                <w:sz w:val="24"/>
                <w:szCs w:val="24"/>
                <w:highlight w:val="none"/>
              </w:rPr>
              <w:t>）；</w:t>
            </w:r>
          </w:p>
          <w:p w14:paraId="31566E60">
            <w:pPr>
              <w:pStyle w:val="18"/>
              <w:tabs>
                <w:tab w:val="left" w:pos="227"/>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rPr>
              <w:t>b.</w:t>
            </w:r>
            <w:r>
              <w:rPr>
                <w:rFonts w:hint="eastAsia" w:ascii="宋体" w:hAnsi="宋体" w:eastAsia="宋体" w:cs="宋体"/>
                <w:spacing w:val="-3"/>
                <w:sz w:val="24"/>
                <w:szCs w:val="24"/>
                <w:highlight w:val="none"/>
              </w:rPr>
              <w:t>已标价报价清单说明文字与招标文件规定一致，未进行实质性修改和删减；</w:t>
            </w:r>
          </w:p>
          <w:p w14:paraId="0846B39A">
            <w:pPr>
              <w:pStyle w:val="18"/>
              <w:tabs>
                <w:tab w:val="left" w:pos="227"/>
              </w:tabs>
              <w:spacing w:line="360" w:lineRule="exact"/>
              <w:ind w:left="13" w:right="151" w:rightChars="72"/>
              <w:jc w:val="both"/>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lang w:val="en-US"/>
              </w:rPr>
              <w:t>c.</w:t>
            </w:r>
            <w:r>
              <w:rPr>
                <w:rFonts w:hint="eastAsia" w:ascii="宋体" w:hAnsi="宋体" w:eastAsia="宋体" w:cs="宋体"/>
                <w:spacing w:val="-3"/>
                <w:sz w:val="24"/>
                <w:szCs w:val="24"/>
                <w:highlight w:val="none"/>
              </w:rPr>
              <w:t>投标文件组成齐全完整，提供的相关资料符合招标文件规定，内容均按规定填写。</w:t>
            </w:r>
          </w:p>
          <w:p w14:paraId="7337F922">
            <w:pPr>
              <w:pStyle w:val="18"/>
              <w:tabs>
                <w:tab w:val="left" w:pos="227"/>
              </w:tabs>
              <w:spacing w:line="360" w:lineRule="exact"/>
              <w:ind w:left="13" w:right="151" w:rightChars="72"/>
              <w:jc w:val="both"/>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rPr>
              <w:t>d.不同投标人的投标文件未互相混装</w:t>
            </w:r>
            <w:r>
              <w:rPr>
                <w:rFonts w:hint="eastAsia" w:ascii="宋体" w:hAnsi="宋体" w:eastAsia="宋体" w:cs="宋体"/>
                <w:spacing w:val="-3"/>
                <w:sz w:val="24"/>
                <w:szCs w:val="24"/>
                <w:highlight w:val="none"/>
                <w:lang w:eastAsia="zh-CN"/>
              </w:rPr>
              <w:t>。</w:t>
            </w:r>
          </w:p>
          <w:p w14:paraId="534226D6">
            <w:pPr>
              <w:pStyle w:val="18"/>
              <w:tabs>
                <w:tab w:val="left" w:pos="542"/>
              </w:tabs>
              <w:spacing w:line="360" w:lineRule="exact"/>
              <w:ind w:left="14" w:right="151" w:rightChars="72"/>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rPr>
              <w:t>2</w:t>
            </w:r>
            <w:r>
              <w:rPr>
                <w:rFonts w:hint="eastAsia" w:ascii="宋体" w:hAnsi="宋体" w:eastAsia="宋体" w:cs="宋体"/>
                <w:spacing w:val="-5"/>
                <w:sz w:val="24"/>
                <w:szCs w:val="24"/>
                <w:highlight w:val="none"/>
              </w:rPr>
              <w:t>）投标文件上法定代表人或其委托代理人的签字、投标人的单位章盖章齐全，符合</w:t>
            </w:r>
            <w:r>
              <w:rPr>
                <w:rFonts w:hint="eastAsia" w:ascii="宋体" w:hAnsi="宋体" w:eastAsia="宋体" w:cs="宋体"/>
                <w:spacing w:val="-4"/>
                <w:sz w:val="24"/>
                <w:szCs w:val="24"/>
                <w:highlight w:val="none"/>
              </w:rPr>
              <w:t>招标文件规定。</w:t>
            </w:r>
          </w:p>
          <w:p w14:paraId="56A0DC0D">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rPr>
              <w:t>3</w:t>
            </w:r>
            <w:r>
              <w:rPr>
                <w:rFonts w:hint="eastAsia" w:ascii="宋体" w:hAnsi="宋体" w:eastAsia="宋体" w:cs="宋体"/>
                <w:spacing w:val="-3"/>
                <w:sz w:val="24"/>
                <w:szCs w:val="24"/>
                <w:highlight w:val="none"/>
              </w:rPr>
              <w:t>）投标报价未超过招标文件设定的最高投标限价。</w:t>
            </w:r>
          </w:p>
          <w:p w14:paraId="3EEDC260">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rPr>
              <w:t>4</w:t>
            </w:r>
            <w:r>
              <w:rPr>
                <w:rFonts w:hint="eastAsia" w:ascii="宋体" w:hAnsi="宋体" w:eastAsia="宋体" w:cs="宋体"/>
                <w:spacing w:val="-3"/>
                <w:sz w:val="24"/>
                <w:szCs w:val="24"/>
                <w:highlight w:val="none"/>
              </w:rPr>
              <w:t>）投标报价的大写金额能够确定具体数值。</w:t>
            </w:r>
          </w:p>
          <w:p w14:paraId="5C4E651F">
            <w:pPr>
              <w:pStyle w:val="18"/>
              <w:tabs>
                <w:tab w:val="left" w:pos="544"/>
              </w:tabs>
              <w:spacing w:line="360" w:lineRule="exact"/>
              <w:ind w:left="13" w:right="151" w:rightChars="72"/>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rPr>
              <w:t>5</w:t>
            </w:r>
            <w:r>
              <w:rPr>
                <w:rFonts w:hint="eastAsia" w:ascii="宋体" w:hAnsi="宋体" w:eastAsia="宋体" w:cs="宋体"/>
                <w:spacing w:val="-3"/>
                <w:sz w:val="24"/>
                <w:szCs w:val="24"/>
                <w:highlight w:val="none"/>
              </w:rPr>
              <w:t>）同一投标人未提交两个以上不同的投标报价。</w:t>
            </w:r>
          </w:p>
          <w:p w14:paraId="21815808">
            <w:pPr>
              <w:pStyle w:val="18"/>
              <w:tabs>
                <w:tab w:val="left" w:pos="544"/>
              </w:tabs>
              <w:spacing w:line="360" w:lineRule="exact"/>
              <w:ind w:left="13" w:right="151" w:rightChars="72"/>
              <w:jc w:val="both"/>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（6）投标人未提交调价函。</w:t>
            </w:r>
          </w:p>
          <w:p w14:paraId="2473CA76">
            <w:pPr>
              <w:pStyle w:val="18"/>
              <w:tabs>
                <w:tab w:val="left" w:pos="544"/>
              </w:tabs>
              <w:spacing w:line="360" w:lineRule="exact"/>
              <w:ind w:left="13" w:right="151" w:rightChars="72"/>
              <w:jc w:val="both"/>
              <w:rPr>
                <w:rFonts w:hint="eastAsia" w:ascii="宋体" w:hAnsi="宋体" w:eastAsia="宋体" w:cs="宋体"/>
                <w:spacing w:val="-5"/>
                <w:sz w:val="24"/>
                <w:szCs w:val="24"/>
                <w:highlight w:val="none"/>
                <w:lang w:val="en-US" w:eastAsia="zh-CN"/>
              </w:rPr>
            </w:pPr>
            <w:r>
              <w:rPr>
                <w:rFonts w:hint="eastAsia" w:ascii="宋体" w:hAnsi="宋体" w:eastAsia="宋体" w:cs="宋体"/>
                <w:spacing w:val="-5"/>
                <w:sz w:val="24"/>
                <w:szCs w:val="24"/>
                <w:highlight w:val="none"/>
                <w:lang w:val="en-US" w:eastAsia="zh-CN"/>
              </w:rPr>
              <w:t>（7）投标人若填写工程量固化清单，填写完毕的工程量固化清单未对工程量固化清单电子文件中的数据、格式和运算定义进行修改；工程量固化清单中的投标报价与投标函大写金额报价一致。</w:t>
            </w:r>
          </w:p>
        </w:tc>
      </w:tr>
      <w:tr w14:paraId="4223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29" w:type="dxa"/>
            <w:shd w:val="clear" w:color="auto" w:fill="auto"/>
            <w:vAlign w:val="center"/>
          </w:tcPr>
          <w:p w14:paraId="5F575C40">
            <w:pPr>
              <w:pStyle w:val="18"/>
              <w:spacing w:line="400" w:lineRule="exact"/>
              <w:ind w:left="83" w:leftChars="0" w:right="55" w:rightChars="0"/>
              <w:jc w:val="both"/>
              <w:rPr>
                <w:rFonts w:hint="eastAsia" w:ascii="宋体" w:hAnsi="宋体" w:eastAsia="宋体" w:cs="宋体"/>
                <w:kern w:val="0"/>
                <w:sz w:val="24"/>
                <w:szCs w:val="24"/>
                <w:highlight w:val="none"/>
                <w:lang w:val="en-US" w:eastAsia="en-US" w:bidi="ar-SA"/>
              </w:rPr>
            </w:pPr>
            <w:r>
              <w:rPr>
                <w:rFonts w:hint="eastAsia" w:ascii="宋体" w:hAnsi="宋体" w:eastAsia="宋体" w:cs="宋体"/>
                <w:color w:val="000000"/>
                <w:sz w:val="24"/>
                <w:szCs w:val="24"/>
                <w:highlight w:val="none"/>
              </w:rPr>
              <w:t>2.1.2</w:t>
            </w:r>
          </w:p>
        </w:tc>
        <w:tc>
          <w:tcPr>
            <w:tcW w:w="908" w:type="dxa"/>
            <w:shd w:val="clear" w:color="auto" w:fill="auto"/>
            <w:vAlign w:val="center"/>
          </w:tcPr>
          <w:p w14:paraId="064E866C">
            <w:pPr>
              <w:pStyle w:val="18"/>
              <w:spacing w:line="400" w:lineRule="exact"/>
              <w:jc w:val="both"/>
              <w:rPr>
                <w:rFonts w:hint="eastAsia" w:ascii="宋体" w:hAnsi="宋体" w:eastAsia="宋体" w:cs="宋体"/>
                <w:b/>
                <w:color w:val="000000"/>
                <w:sz w:val="24"/>
                <w:szCs w:val="24"/>
                <w:highlight w:val="none"/>
              </w:rPr>
            </w:pPr>
          </w:p>
          <w:p w14:paraId="6ADBF599">
            <w:pPr>
              <w:pStyle w:val="18"/>
              <w:spacing w:line="400" w:lineRule="exact"/>
              <w:ind w:left="302" w:leftChars="0" w:right="59" w:rightChars="0" w:hanging="212" w:firstLineChars="0"/>
              <w:jc w:val="both"/>
              <w:rPr>
                <w:rFonts w:hint="eastAsia" w:ascii="宋体" w:hAnsi="宋体" w:eastAsia="宋体" w:cs="宋体"/>
                <w:kern w:val="0"/>
                <w:sz w:val="24"/>
                <w:szCs w:val="24"/>
                <w:highlight w:val="none"/>
                <w:lang w:val="en-US" w:eastAsia="en-US" w:bidi="ar-SA"/>
              </w:rPr>
            </w:pPr>
            <w:r>
              <w:rPr>
                <w:rFonts w:hint="eastAsia" w:ascii="宋体" w:hAnsi="宋体" w:eastAsia="宋体" w:cs="宋体"/>
                <w:color w:val="000000"/>
                <w:sz w:val="24"/>
                <w:szCs w:val="24"/>
                <w:highlight w:val="none"/>
              </w:rPr>
              <w:t>资格评审标准</w:t>
            </w:r>
          </w:p>
        </w:tc>
        <w:tc>
          <w:tcPr>
            <w:tcW w:w="7881" w:type="dxa"/>
            <w:shd w:val="clear" w:color="auto" w:fill="auto"/>
            <w:vAlign w:val="center"/>
          </w:tcPr>
          <w:p w14:paraId="311729AA">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（1）投标人具备有效的营业执照、组织机构代码证、资质证书、安全生产许可证和基本账户开户许可证（或基本账户开户行出具含有企业基本存款账户编号的《基本存款账户信息》）；</w:t>
            </w:r>
          </w:p>
          <w:p w14:paraId="3409B8FA">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（2）投标人的资质等级符合招标文件规定；</w:t>
            </w:r>
          </w:p>
          <w:p w14:paraId="2BCBE6E3">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（3）投标人的财务状况符合招标文件规定；</w:t>
            </w:r>
          </w:p>
          <w:p w14:paraId="60B601A3">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（4）投标人的类似项目业绩符合招标文件规定；</w:t>
            </w:r>
          </w:p>
          <w:p w14:paraId="0B2DEA99">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（5）投标人的信誉符合招标文件规定；</w:t>
            </w:r>
          </w:p>
          <w:p w14:paraId="099D5BC1">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（6）投标人的项目经理和项目总工资格、在岗情况符合招标文件规定；</w:t>
            </w:r>
          </w:p>
          <w:p w14:paraId="6F09FE76">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（7）投标人的其他要求符合招标文件规定；</w:t>
            </w:r>
          </w:p>
          <w:p w14:paraId="3078B3FE">
            <w:pPr>
              <w:pStyle w:val="18"/>
              <w:tabs>
                <w:tab w:val="left" w:pos="544"/>
              </w:tabs>
              <w:spacing w:line="360" w:lineRule="exact"/>
              <w:ind w:left="13" w:leftChars="0" w:right="151" w:rightChars="72"/>
              <w:jc w:val="both"/>
              <w:rPr>
                <w:rFonts w:hint="eastAsia" w:ascii="宋体" w:hAnsi="宋体" w:eastAsia="宋体" w:cs="宋体"/>
                <w:color w:val="000000"/>
                <w:spacing w:val="-3"/>
                <w:sz w:val="24"/>
                <w:szCs w:val="24"/>
                <w:highlight w:val="none"/>
              </w:rPr>
            </w:pPr>
            <w:r>
              <w:rPr>
                <w:rFonts w:hint="eastAsia" w:ascii="宋体" w:hAnsi="宋体" w:eastAsia="宋体" w:cs="宋体"/>
                <w:color w:val="000000"/>
                <w:spacing w:val="-3"/>
                <w:sz w:val="24"/>
                <w:szCs w:val="24"/>
                <w:highlight w:val="none"/>
              </w:rPr>
              <w:t>（8）投标人不存在第二章“投标人须知”第1.4.3项或第1.4.4项规定的任何一种情形；</w:t>
            </w:r>
          </w:p>
          <w:p w14:paraId="6593007E">
            <w:pPr>
              <w:pStyle w:val="18"/>
              <w:tabs>
                <w:tab w:val="left" w:pos="544"/>
              </w:tabs>
              <w:spacing w:line="360" w:lineRule="exact"/>
              <w:ind w:left="13" w:leftChars="0" w:right="151" w:rightChars="72"/>
              <w:jc w:val="both"/>
              <w:rPr>
                <w:rFonts w:hint="eastAsia" w:ascii="宋体" w:hAnsi="宋体" w:eastAsia="宋体" w:cs="宋体"/>
                <w:color w:val="000000"/>
                <w:spacing w:val="-6"/>
                <w:kern w:val="0"/>
                <w:sz w:val="24"/>
                <w:szCs w:val="24"/>
                <w:highlight w:val="none"/>
                <w:lang w:val="en-US" w:eastAsia="zh-CN" w:bidi="ar-SA"/>
              </w:rPr>
            </w:pPr>
            <w:r>
              <w:rPr>
                <w:rFonts w:hint="eastAsia" w:ascii="宋体" w:hAnsi="宋体" w:eastAsia="宋体" w:cs="宋体"/>
                <w:color w:val="000000"/>
                <w:spacing w:val="-3"/>
                <w:sz w:val="24"/>
                <w:szCs w:val="24"/>
                <w:highlight w:val="none"/>
              </w:rPr>
              <w:t>（9）投标人符合第二章“投标人须知”第1.4.5项规定；</w:t>
            </w:r>
          </w:p>
        </w:tc>
      </w:tr>
      <w:tr w14:paraId="69121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1" w:hRule="atLeast"/>
          <w:jc w:val="center"/>
        </w:trPr>
        <w:tc>
          <w:tcPr>
            <w:tcW w:w="829" w:type="dxa"/>
            <w:shd w:val="clear" w:color="auto" w:fill="FFFFFF"/>
            <w:vAlign w:val="center"/>
          </w:tcPr>
          <w:p w14:paraId="5DD5580A">
            <w:pPr>
              <w:pStyle w:val="18"/>
              <w:ind w:left="83" w:right="5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2.2.1</w:t>
            </w:r>
          </w:p>
        </w:tc>
        <w:tc>
          <w:tcPr>
            <w:tcW w:w="908" w:type="dxa"/>
            <w:shd w:val="clear" w:color="auto" w:fill="FFFFFF"/>
            <w:vAlign w:val="center"/>
          </w:tcPr>
          <w:p w14:paraId="3977A673">
            <w:pPr>
              <w:pStyle w:val="18"/>
              <w:ind w:left="91" w:right="105" w:rightChars="5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分值</w:t>
            </w:r>
          </w:p>
          <w:p w14:paraId="45A9CA30">
            <w:pPr>
              <w:pStyle w:val="18"/>
              <w:ind w:left="91" w:right="105" w:rightChars="5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构成</w:t>
            </w:r>
          </w:p>
          <w:p w14:paraId="6C1361A2">
            <w:pPr>
              <w:pStyle w:val="18"/>
              <w:jc w:val="center"/>
              <w:rPr>
                <w:rFonts w:hint="eastAsia" w:ascii="宋体" w:hAnsi="宋体" w:eastAsia="宋体" w:cs="宋体"/>
                <w:b/>
                <w:color w:val="000000"/>
                <w:sz w:val="24"/>
                <w:szCs w:val="24"/>
                <w:highlight w:val="none"/>
              </w:rPr>
            </w:pPr>
          </w:p>
          <w:p w14:paraId="5B67A9B9">
            <w:pPr>
              <w:pStyle w:val="18"/>
              <w:tabs>
                <w:tab w:val="left" w:pos="0"/>
              </w:tabs>
              <w:ind w:right="108" w:firstLine="11"/>
              <w:jc w:val="center"/>
              <w:rPr>
                <w:rFonts w:hint="eastAsia" w:ascii="宋体" w:hAnsi="宋体" w:eastAsia="宋体" w:cs="宋体"/>
                <w:color w:val="000000"/>
                <w:spacing w:val="-20"/>
                <w:sz w:val="24"/>
                <w:szCs w:val="24"/>
                <w:highlight w:val="none"/>
              </w:rPr>
            </w:pPr>
            <w:r>
              <w:rPr>
                <w:rFonts w:hint="eastAsia" w:ascii="宋体" w:hAnsi="宋体" w:eastAsia="宋体" w:cs="宋体"/>
                <w:color w:val="000000"/>
                <w:spacing w:val="-20"/>
                <w:sz w:val="24"/>
                <w:szCs w:val="24"/>
                <w:highlight w:val="none"/>
              </w:rPr>
              <w:t>（总分</w:t>
            </w:r>
          </w:p>
          <w:p w14:paraId="2A38BC41">
            <w:pPr>
              <w:pStyle w:val="18"/>
              <w:tabs>
                <w:tab w:val="left" w:pos="0"/>
              </w:tabs>
              <w:ind w:right="108" w:firstLine="11"/>
              <w:jc w:val="center"/>
              <w:rPr>
                <w:rFonts w:hint="eastAsia" w:ascii="宋体" w:hAnsi="宋体" w:eastAsia="宋体" w:cs="宋体"/>
                <w:color w:val="000000"/>
                <w:sz w:val="24"/>
                <w:szCs w:val="24"/>
                <w:highlight w:val="none"/>
              </w:rPr>
            </w:pPr>
            <w:r>
              <w:rPr>
                <w:rFonts w:hint="eastAsia" w:ascii="宋体" w:hAnsi="宋体" w:eastAsia="宋体" w:cs="宋体"/>
                <w:color w:val="000000"/>
                <w:spacing w:val="-20"/>
                <w:sz w:val="24"/>
                <w:szCs w:val="24"/>
                <w:highlight w:val="none"/>
              </w:rPr>
              <w:t xml:space="preserve"> </w:t>
            </w:r>
            <w:r>
              <w:rPr>
                <w:rFonts w:hint="eastAsia" w:ascii="宋体" w:hAnsi="宋体" w:eastAsia="宋体" w:cs="宋体"/>
                <w:color w:val="000000"/>
                <w:spacing w:val="-34"/>
                <w:sz w:val="24"/>
                <w:szCs w:val="24"/>
                <w:highlight w:val="none"/>
              </w:rPr>
              <w:t>100 分）</w:t>
            </w:r>
          </w:p>
        </w:tc>
        <w:tc>
          <w:tcPr>
            <w:tcW w:w="7881" w:type="dxa"/>
            <w:shd w:val="clear" w:color="auto" w:fill="FFFFFF"/>
            <w:vAlign w:val="center"/>
          </w:tcPr>
          <w:p w14:paraId="507AA6AC">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施工组织设计：40分</w:t>
            </w:r>
          </w:p>
          <w:p w14:paraId="52ED4C9E">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主要管理人员：25分</w:t>
            </w:r>
          </w:p>
          <w:p w14:paraId="5540B1AB">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技术能力：10分</w:t>
            </w:r>
          </w:p>
          <w:p w14:paraId="478C9537">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履约信誉：15分</w:t>
            </w:r>
          </w:p>
          <w:p w14:paraId="3A67685B">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rightChars="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业绩：10分</w:t>
            </w:r>
          </w:p>
          <w:p w14:paraId="5E777B7E">
            <w:pPr>
              <w:pStyle w:val="18"/>
              <w:keepNext w:val="0"/>
              <w:keepLines w:val="0"/>
              <w:pageBreakBefore w:val="0"/>
              <w:widowControl w:val="0"/>
              <w:kinsoku/>
              <w:wordWrap/>
              <w:overflowPunct/>
              <w:topLinePunct w:val="0"/>
              <w:autoSpaceDE w:val="0"/>
              <w:autoSpaceDN w:val="0"/>
              <w:bidi w:val="0"/>
              <w:adjustRightInd/>
              <w:snapToGrid/>
              <w:spacing w:line="280" w:lineRule="exact"/>
              <w:ind w:left="0" w:right="0"/>
              <w:textAlignment w:val="auto"/>
              <w:rPr>
                <w:rFonts w:hint="eastAsia" w:ascii="宋体" w:hAnsi="宋体" w:eastAsia="宋体" w:cs="宋体"/>
                <w:color w:val="000000"/>
                <w:sz w:val="24"/>
                <w:szCs w:val="24"/>
                <w:highlight w:val="none"/>
              </w:rPr>
            </w:pPr>
          </w:p>
        </w:tc>
      </w:tr>
      <w:tr w14:paraId="63FD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4" w:hRule="atLeast"/>
          <w:jc w:val="center"/>
        </w:trPr>
        <w:tc>
          <w:tcPr>
            <w:tcW w:w="829" w:type="dxa"/>
            <w:shd w:val="clear" w:color="auto" w:fill="FFFFFF"/>
            <w:vAlign w:val="center"/>
          </w:tcPr>
          <w:p w14:paraId="4B3502A6">
            <w:pPr>
              <w:pStyle w:val="18"/>
              <w:spacing w:line="240" w:lineRule="auto"/>
              <w:rPr>
                <w:rFonts w:hint="eastAsia" w:ascii="宋体" w:hAnsi="宋体" w:eastAsia="宋体" w:cs="宋体"/>
                <w:b/>
                <w:sz w:val="24"/>
                <w:szCs w:val="24"/>
                <w:highlight w:val="none"/>
              </w:rPr>
            </w:pPr>
          </w:p>
          <w:p w14:paraId="12CF6174">
            <w:pPr>
              <w:pStyle w:val="18"/>
              <w:spacing w:line="240" w:lineRule="auto"/>
              <w:ind w:left="102"/>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2.2.3</w:t>
            </w:r>
          </w:p>
        </w:tc>
        <w:tc>
          <w:tcPr>
            <w:tcW w:w="908" w:type="dxa"/>
            <w:shd w:val="clear" w:color="auto" w:fill="FFFFFF"/>
            <w:vAlign w:val="center"/>
          </w:tcPr>
          <w:p w14:paraId="169C3173">
            <w:pPr>
              <w:pStyle w:val="18"/>
              <w:jc w:val="center"/>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lang w:val="en-US" w:eastAsia="zh-CN"/>
              </w:rPr>
              <w:t>第二信封详细评审标准</w:t>
            </w:r>
          </w:p>
        </w:tc>
        <w:tc>
          <w:tcPr>
            <w:tcW w:w="7881" w:type="dxa"/>
            <w:shd w:val="clear" w:color="auto" w:fill="FFFFFF"/>
            <w:vAlign w:val="center"/>
          </w:tcPr>
          <w:p w14:paraId="39E4BC27">
            <w:pPr>
              <w:pStyle w:val="19"/>
              <w:shd w:val="clear"/>
              <w:spacing w:before="0" w:after="0" w:line="320" w:lineRule="exact"/>
              <w:ind w:right="59" w:rightChars="28" w:firstLine="480" w:firstLineChars="200"/>
              <w:jc w:val="both"/>
              <w:rPr>
                <w:rStyle w:val="20"/>
                <w:rFonts w:hint="eastAsia" w:ascii="宋体" w:hAnsi="宋体" w:eastAsia="宋体" w:cs="宋体"/>
                <w:i w:val="0"/>
                <w:color w:val="auto"/>
                <w:spacing w:val="0"/>
                <w:sz w:val="24"/>
                <w:szCs w:val="24"/>
                <w:highlight w:val="none"/>
                <w:lang w:val="en-US" w:eastAsia="zh-CN"/>
              </w:rPr>
            </w:pPr>
            <w:r>
              <w:rPr>
                <w:rStyle w:val="20"/>
                <w:rFonts w:hint="eastAsia" w:ascii="宋体" w:hAnsi="宋体" w:eastAsia="宋体" w:cs="宋体"/>
                <w:i w:val="0"/>
                <w:color w:val="auto"/>
                <w:spacing w:val="0"/>
                <w:sz w:val="24"/>
                <w:szCs w:val="24"/>
                <w:highlight w:val="none"/>
                <w:lang w:val="en-US" w:eastAsia="zh-CN"/>
              </w:rPr>
              <w:t>评标价计算公式：评标价=投标函中的投标总报价-暂估价-暂列金额</w:t>
            </w:r>
          </w:p>
          <w:p w14:paraId="5C1FC54F">
            <w:pPr>
              <w:pStyle w:val="19"/>
              <w:shd w:val="clear"/>
              <w:spacing w:before="0" w:after="0" w:line="320" w:lineRule="exact"/>
              <w:ind w:right="59" w:rightChars="28" w:firstLine="480" w:firstLineChars="200"/>
              <w:jc w:val="both"/>
              <w:rPr>
                <w:rFonts w:hint="eastAsia" w:ascii="宋体" w:hAnsi="宋体" w:eastAsia="宋体" w:cs="宋体"/>
                <w:color w:val="000000"/>
                <w:sz w:val="24"/>
                <w:szCs w:val="24"/>
                <w:highlight w:val="none"/>
              </w:rPr>
            </w:pPr>
            <w:r>
              <w:rPr>
                <w:rStyle w:val="20"/>
                <w:rFonts w:hint="eastAsia" w:ascii="宋体" w:hAnsi="宋体" w:eastAsia="宋体" w:cs="宋体"/>
                <w:i w:val="0"/>
                <w:color w:val="auto"/>
                <w:spacing w:val="0"/>
                <w:sz w:val="24"/>
                <w:szCs w:val="24"/>
                <w:highlight w:val="none"/>
                <w:lang w:val="en-US" w:eastAsia="zh-CN"/>
              </w:rPr>
              <w:t>评标委员会发现投标人的报价明显低于其他投标报价，使得其投标报价可能低于其个别成本的，应要求该投标人做出书面说明并提供相应的证明材料。投标人不能合理说明或不能提供相关证明材料的，由评标委员会认定该投标人以低于成本报价竞标，并否决其投标。</w:t>
            </w:r>
          </w:p>
        </w:tc>
      </w:tr>
      <w:tr w14:paraId="5F2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5" w:hRule="atLeast"/>
          <w:jc w:val="center"/>
        </w:trPr>
        <w:tc>
          <w:tcPr>
            <w:tcW w:w="829" w:type="dxa"/>
            <w:shd w:val="clear" w:color="auto" w:fill="FFFFFF"/>
            <w:vAlign w:val="center"/>
          </w:tcPr>
          <w:p w14:paraId="73B9D015">
            <w:pPr>
              <w:pStyle w:val="19"/>
              <w:shd w:val="clear" w:color="auto"/>
              <w:spacing w:before="0" w:after="0" w:line="360" w:lineRule="exact"/>
              <w:rPr>
                <w:rFonts w:hint="eastAsia" w:ascii="宋体" w:hAnsi="宋体" w:eastAsia="宋体" w:cs="宋体"/>
                <w:color w:val="auto"/>
                <w:kern w:val="2"/>
                <w:sz w:val="24"/>
                <w:szCs w:val="24"/>
                <w:highlight w:val="none"/>
                <w:shd w:val="clear" w:color="auto" w:fill="FFFFFF"/>
                <w:lang w:val="en-US" w:eastAsia="zh-CN" w:bidi="ar-SA"/>
              </w:rPr>
            </w:pPr>
            <w:r>
              <w:rPr>
                <w:rStyle w:val="20"/>
                <w:rFonts w:hint="eastAsia" w:ascii="宋体" w:hAnsi="宋体" w:eastAsia="宋体" w:cs="宋体"/>
                <w:i w:val="0"/>
                <w:iCs w:val="0"/>
                <w:color w:val="auto"/>
                <w:spacing w:val="0"/>
                <w:sz w:val="24"/>
                <w:szCs w:val="24"/>
                <w:highlight w:val="none"/>
                <w:lang w:val="en-US" w:eastAsia="zh-CN"/>
              </w:rPr>
              <w:t>3.2.4</w:t>
            </w:r>
          </w:p>
        </w:tc>
        <w:tc>
          <w:tcPr>
            <w:tcW w:w="908" w:type="dxa"/>
            <w:shd w:val="clear" w:color="auto" w:fill="FFFFFF"/>
            <w:vAlign w:val="center"/>
          </w:tcPr>
          <w:p w14:paraId="652F7A78">
            <w:pPr>
              <w:pStyle w:val="19"/>
              <w:shd w:val="clear" w:color="auto"/>
              <w:spacing w:before="0" w:after="0" w:line="360" w:lineRule="exact"/>
              <w:rPr>
                <w:rFonts w:hint="eastAsia" w:ascii="宋体" w:hAnsi="宋体" w:eastAsia="宋体" w:cs="宋体"/>
                <w:iCs/>
                <w:color w:val="auto"/>
                <w:kern w:val="2"/>
                <w:sz w:val="24"/>
                <w:szCs w:val="24"/>
                <w:highlight w:val="none"/>
                <w:shd w:val="clear" w:color="auto" w:fill="FFFFFF"/>
                <w:lang w:val="en-US" w:eastAsia="zh-CN" w:bidi="ar-SA"/>
              </w:rPr>
            </w:pPr>
            <w:r>
              <w:rPr>
                <w:rStyle w:val="20"/>
                <w:rFonts w:hint="eastAsia" w:ascii="宋体" w:hAnsi="宋体" w:eastAsia="宋体" w:cs="宋体"/>
                <w:i w:val="0"/>
                <w:color w:val="auto"/>
                <w:spacing w:val="0"/>
                <w:sz w:val="24"/>
                <w:szCs w:val="24"/>
                <w:highlight w:val="none"/>
                <w:lang w:val="en-US" w:eastAsia="zh-CN"/>
              </w:rPr>
              <w:t>通过第一个信封详细评审的投标人数量</w:t>
            </w:r>
          </w:p>
        </w:tc>
        <w:tc>
          <w:tcPr>
            <w:tcW w:w="7881" w:type="dxa"/>
            <w:shd w:val="clear" w:color="auto" w:fill="FFFFFF"/>
            <w:vAlign w:val="center"/>
          </w:tcPr>
          <w:p w14:paraId="141ED44C">
            <w:pPr>
              <w:pStyle w:val="19"/>
              <w:shd w:val="clear" w:color="auto"/>
              <w:spacing w:before="0" w:after="0" w:line="360" w:lineRule="exact"/>
              <w:ind w:right="59" w:rightChars="28" w:firstLine="69" w:firstLineChars="29"/>
              <w:jc w:val="both"/>
              <w:rPr>
                <w:rStyle w:val="20"/>
                <w:rFonts w:hint="eastAsia" w:ascii="宋体" w:hAnsi="宋体" w:eastAsia="宋体" w:cs="宋体"/>
                <w:i w:val="0"/>
                <w:color w:val="auto"/>
                <w:spacing w:val="0"/>
                <w:sz w:val="24"/>
                <w:szCs w:val="24"/>
                <w:highlight w:val="none"/>
                <w:lang w:val="en-US" w:eastAsia="zh-CN"/>
              </w:rPr>
            </w:pPr>
            <w:r>
              <w:rPr>
                <w:rStyle w:val="20"/>
                <w:rFonts w:hint="eastAsia" w:ascii="宋体" w:hAnsi="宋体" w:eastAsia="宋体" w:cs="宋体"/>
                <w:i w:val="0"/>
                <w:color w:val="auto"/>
                <w:spacing w:val="0"/>
                <w:sz w:val="24"/>
                <w:szCs w:val="24"/>
                <w:highlight w:val="none"/>
                <w:lang w:val="en-US" w:eastAsia="zh-CN"/>
              </w:rPr>
              <w:t>按照投标人的商务和技术得分由高到低顺序，选择前6名通过详细评审。通过投标文件第一个信封（商务及技术文件）初步评审的投标人不少于3名且未超过 6 名的，均通过详细评审，不再对投标人的商务和技术文件进行评分。</w:t>
            </w:r>
          </w:p>
          <w:p w14:paraId="67D4F181">
            <w:pPr>
              <w:pStyle w:val="19"/>
              <w:shd w:val="clear" w:color="auto"/>
              <w:spacing w:before="0" w:after="0" w:line="360" w:lineRule="exact"/>
              <w:ind w:right="59" w:rightChars="28" w:firstLine="69" w:firstLineChars="29"/>
              <w:jc w:val="both"/>
              <w:rPr>
                <w:rStyle w:val="20"/>
                <w:rFonts w:hint="eastAsia" w:ascii="宋体" w:hAnsi="宋体" w:eastAsia="宋体" w:cs="宋体"/>
                <w:i w:val="0"/>
                <w:color w:val="auto"/>
                <w:spacing w:val="0"/>
                <w:sz w:val="24"/>
                <w:szCs w:val="24"/>
                <w:highlight w:val="none"/>
                <w:lang w:val="en-US" w:eastAsia="zh-CN"/>
              </w:rPr>
            </w:pPr>
            <w:r>
              <w:rPr>
                <w:rStyle w:val="20"/>
                <w:rFonts w:hint="eastAsia" w:ascii="宋体" w:hAnsi="宋体" w:eastAsia="宋体" w:cs="宋体"/>
                <w:i w:val="0"/>
                <w:color w:val="auto"/>
                <w:spacing w:val="0"/>
                <w:sz w:val="24"/>
                <w:szCs w:val="24"/>
                <w:highlight w:val="none"/>
                <w:lang w:val="en-US" w:eastAsia="zh-CN"/>
              </w:rPr>
              <w:t>商务和技术得分相等时：</w:t>
            </w:r>
          </w:p>
          <w:p w14:paraId="26E7212E">
            <w:pPr>
              <w:pStyle w:val="19"/>
              <w:shd w:val="clear" w:color="auto"/>
              <w:spacing w:before="0" w:after="0" w:line="360" w:lineRule="exact"/>
              <w:ind w:right="59" w:rightChars="28" w:firstLine="69" w:firstLineChars="29"/>
              <w:jc w:val="both"/>
              <w:rPr>
                <w:rStyle w:val="20"/>
                <w:rFonts w:hint="eastAsia" w:ascii="宋体" w:hAnsi="宋体" w:eastAsia="宋体" w:cs="宋体"/>
                <w:i w:val="0"/>
                <w:color w:val="auto"/>
                <w:spacing w:val="0"/>
                <w:sz w:val="24"/>
                <w:szCs w:val="24"/>
                <w:highlight w:val="none"/>
                <w:lang w:val="en-US" w:eastAsia="zh-CN"/>
              </w:rPr>
            </w:pPr>
            <w:r>
              <w:rPr>
                <w:rStyle w:val="20"/>
                <w:rFonts w:hint="eastAsia" w:ascii="宋体" w:hAnsi="宋体" w:eastAsia="宋体" w:cs="宋体"/>
                <w:i w:val="0"/>
                <w:color w:val="auto"/>
                <w:spacing w:val="0"/>
                <w:sz w:val="24"/>
                <w:szCs w:val="24"/>
                <w:highlight w:val="none"/>
                <w:lang w:val="en-US" w:eastAsia="zh-CN"/>
              </w:rPr>
              <w:t>（1）履约信誉得分较高的投标人优先；</w:t>
            </w:r>
          </w:p>
          <w:p w14:paraId="1F4430A8">
            <w:pPr>
              <w:pStyle w:val="19"/>
              <w:shd w:val="clear" w:color="auto"/>
              <w:spacing w:before="0" w:after="0" w:line="360" w:lineRule="exact"/>
              <w:ind w:right="59" w:rightChars="28" w:firstLine="69" w:firstLineChars="29"/>
              <w:jc w:val="both"/>
              <w:rPr>
                <w:rStyle w:val="20"/>
                <w:rFonts w:hint="eastAsia" w:ascii="宋体" w:hAnsi="宋体" w:eastAsia="宋体" w:cs="宋体"/>
                <w:i w:val="0"/>
                <w:color w:val="auto"/>
                <w:spacing w:val="0"/>
                <w:sz w:val="24"/>
                <w:szCs w:val="24"/>
                <w:highlight w:val="none"/>
                <w:lang w:val="en-US" w:eastAsia="zh-CN"/>
              </w:rPr>
            </w:pPr>
            <w:r>
              <w:rPr>
                <w:rStyle w:val="20"/>
                <w:rFonts w:hint="eastAsia" w:ascii="宋体" w:hAnsi="宋体" w:eastAsia="宋体" w:cs="宋体"/>
                <w:i w:val="0"/>
                <w:color w:val="auto"/>
                <w:spacing w:val="0"/>
                <w:sz w:val="24"/>
                <w:szCs w:val="24"/>
                <w:highlight w:val="none"/>
                <w:lang w:val="en-US" w:eastAsia="zh-CN"/>
              </w:rPr>
              <w:t>（2）施工组织设计得分较高的投标人优先。</w:t>
            </w:r>
          </w:p>
          <w:p w14:paraId="1CC05C6B">
            <w:pPr>
              <w:pStyle w:val="19"/>
              <w:shd w:val="clear" w:color="auto"/>
              <w:spacing w:before="0" w:after="0" w:line="360" w:lineRule="exact"/>
              <w:ind w:right="59" w:rightChars="28" w:firstLine="69" w:firstLineChars="29"/>
              <w:jc w:val="both"/>
              <w:rPr>
                <w:rFonts w:hint="eastAsia" w:ascii="宋体" w:hAnsi="宋体" w:eastAsia="宋体" w:cs="宋体"/>
                <w:i w:val="0"/>
                <w:iCs/>
                <w:color w:val="auto"/>
                <w:spacing w:val="0"/>
                <w:w w:val="100"/>
                <w:kern w:val="2"/>
                <w:position w:val="0"/>
                <w:sz w:val="24"/>
                <w:szCs w:val="24"/>
                <w:highlight w:val="none"/>
                <w:shd w:val="clear" w:color="auto" w:fill="FFFFFF"/>
                <w:lang w:val="en-US" w:eastAsia="zh-CN" w:bidi="ar-SA"/>
              </w:rPr>
            </w:pPr>
            <w:r>
              <w:rPr>
                <w:rStyle w:val="20"/>
                <w:rFonts w:hint="eastAsia" w:ascii="宋体" w:hAnsi="宋体" w:eastAsia="宋体" w:cs="宋体"/>
                <w:i w:val="0"/>
                <w:color w:val="auto"/>
                <w:spacing w:val="0"/>
                <w:sz w:val="24"/>
                <w:szCs w:val="24"/>
                <w:highlight w:val="none"/>
                <w:lang w:val="en-US" w:eastAsia="zh-CN"/>
              </w:rPr>
              <w:t>（3）业绩数量较多的投标人优先。</w:t>
            </w:r>
          </w:p>
        </w:tc>
      </w:tr>
      <w:tr w14:paraId="03469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829" w:type="dxa"/>
            <w:shd w:val="clear" w:color="auto" w:fill="FFFFFF"/>
            <w:vAlign w:val="center"/>
          </w:tcPr>
          <w:p w14:paraId="78BC1438">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bidi="zh-CN"/>
              </w:rPr>
              <w:t>3.9.2</w:t>
            </w:r>
          </w:p>
        </w:tc>
        <w:tc>
          <w:tcPr>
            <w:tcW w:w="908" w:type="dxa"/>
            <w:shd w:val="clear" w:color="auto" w:fill="FFFFFF"/>
            <w:vAlign w:val="center"/>
          </w:tcPr>
          <w:p w14:paraId="4CD09EF5">
            <w:pPr>
              <w:pStyle w:val="18"/>
              <w:spacing w:before="157" w:line="240" w:lineRule="auto"/>
              <w:ind w:right="59" w:rightChars="0"/>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lang w:val="en-US" w:eastAsia="zh-CN"/>
              </w:rPr>
              <w:t>评标报告</w:t>
            </w:r>
          </w:p>
        </w:tc>
        <w:tc>
          <w:tcPr>
            <w:tcW w:w="7881" w:type="dxa"/>
            <w:shd w:val="clear" w:color="auto" w:fill="FFFFFF"/>
            <w:vAlign w:val="center"/>
          </w:tcPr>
          <w:p w14:paraId="45D311C5">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评标报告应如实记载下列内容： </w:t>
            </w:r>
          </w:p>
          <w:p w14:paraId="4AE0E389">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（1）招标项目基本情况 </w:t>
            </w:r>
          </w:p>
          <w:p w14:paraId="0551992D">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（2）评标委员会成员名单 </w:t>
            </w:r>
          </w:p>
          <w:p w14:paraId="65816DC0">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（3）监督人员名单 </w:t>
            </w:r>
          </w:p>
          <w:p w14:paraId="4E866181">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（4）开标记录 </w:t>
            </w:r>
          </w:p>
          <w:p w14:paraId="1589DA54">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（5）符合要求的投标人名单 </w:t>
            </w:r>
          </w:p>
          <w:p w14:paraId="2733E27F">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（6）否决的投标人名单以及否决理由 </w:t>
            </w:r>
          </w:p>
          <w:p w14:paraId="623AA9A1">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（7）串通投标情形的评审情况说明 </w:t>
            </w:r>
          </w:p>
          <w:p w14:paraId="71AE7AD4">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（8）评分情况 </w:t>
            </w:r>
          </w:p>
          <w:p w14:paraId="03F77854">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（9）经评审的投标人排序 </w:t>
            </w:r>
          </w:p>
          <w:p w14:paraId="127FBF99">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（10）中标候选人名单 </w:t>
            </w:r>
          </w:p>
          <w:p w14:paraId="68BE9CBB">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（11）澄清、说明事项纪要 </w:t>
            </w:r>
          </w:p>
          <w:p w14:paraId="3518F887">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（12）需要说明的其他事项 </w:t>
            </w:r>
          </w:p>
          <w:p w14:paraId="754B3406">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（13）评标附表</w:t>
            </w:r>
          </w:p>
        </w:tc>
      </w:tr>
    </w:tbl>
    <w:p w14:paraId="20410E9B">
      <w:pPr>
        <w:pStyle w:val="4"/>
        <w:pageBreakBefore w:val="0"/>
        <w:widowControl w:val="0"/>
        <w:kinsoku/>
        <w:wordWrap/>
        <w:overflowPunct/>
        <w:topLinePunct w:val="0"/>
        <w:autoSpaceDE/>
        <w:autoSpaceDN/>
        <w:bidi w:val="0"/>
        <w:adjustRightInd/>
        <w:snapToGrid/>
        <w:spacing w:line="240" w:lineRule="exact"/>
        <w:textAlignment w:val="auto"/>
        <w:rPr>
          <w:rFonts w:hint="eastAsia"/>
        </w:rPr>
      </w:pPr>
    </w:p>
    <w:p w14:paraId="2FE4317D">
      <w:pPr>
        <w:pStyle w:val="2"/>
        <w:keepNext/>
        <w:keepLines/>
        <w:pageBreakBefore w:val="0"/>
        <w:widowControl w:val="0"/>
        <w:kinsoku/>
        <w:wordWrap/>
        <w:overflowPunct/>
        <w:topLinePunct w:val="0"/>
        <w:autoSpaceDE/>
        <w:autoSpaceDN/>
        <w:bidi w:val="0"/>
        <w:adjustRightInd/>
        <w:snapToGrid/>
        <w:spacing w:line="400" w:lineRule="exact"/>
        <w:textAlignment w:val="auto"/>
      </w:pPr>
    </w:p>
    <w:p w14:paraId="45DA299C">
      <w:bookmarkStart w:id="0" w:name="_GoBack"/>
      <w:bookmarkEnd w:id="0"/>
    </w:p>
    <w:p w14:paraId="1220C684">
      <w:pPr>
        <w:pStyle w:val="2"/>
        <w:keepNext/>
        <w:keepLines/>
        <w:pageBreakBefore w:val="0"/>
        <w:widowControl w:val="0"/>
        <w:kinsoku/>
        <w:wordWrap/>
        <w:overflowPunct/>
        <w:topLinePunct w:val="0"/>
        <w:autoSpaceDE/>
        <w:autoSpaceDN/>
        <w:bidi w:val="0"/>
        <w:adjustRightInd/>
        <w:snapToGrid/>
        <w:spacing w:line="400" w:lineRule="exact"/>
        <w:textAlignment w:val="auto"/>
      </w:pPr>
      <w:r>
        <w:t>详细评分标准</w:t>
      </w:r>
    </w:p>
    <w:tbl>
      <w:tblPr>
        <w:tblStyle w:val="8"/>
        <w:tblW w:w="90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7"/>
        <w:gridCol w:w="786"/>
        <w:gridCol w:w="2211"/>
        <w:gridCol w:w="617"/>
        <w:gridCol w:w="4779"/>
      </w:tblGrid>
      <w:tr w14:paraId="371F2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4" w:hRule="atLeast"/>
        </w:trPr>
        <w:tc>
          <w:tcPr>
            <w:tcW w:w="4251" w:type="dxa"/>
            <w:gridSpan w:val="4"/>
            <w:noWrap w:val="0"/>
            <w:vAlign w:val="center"/>
          </w:tcPr>
          <w:p w14:paraId="3A64C717">
            <w:pPr>
              <w:spacing w:line="240" w:lineRule="atLeast"/>
              <w:jc w:val="center"/>
              <w:rPr>
                <w:rFonts w:hint="eastAsia" w:ascii="仿宋_GB2312" w:hAnsi="仿宋_GB2312" w:eastAsia="仿宋_GB2312" w:cs="仿宋_GB2312"/>
                <w:b/>
                <w:bCs/>
                <w:color w:val="000000"/>
                <w:sz w:val="21"/>
                <w:szCs w:val="21"/>
                <w:highlight w:val="none"/>
              </w:rPr>
            </w:pPr>
            <w:r>
              <w:rPr>
                <w:rFonts w:hint="eastAsia" w:ascii="仿宋_GB2312" w:hAnsi="仿宋_GB2312" w:eastAsia="仿宋_GB2312" w:cs="仿宋_GB2312"/>
                <w:b/>
                <w:bCs/>
                <w:color w:val="000000"/>
                <w:sz w:val="21"/>
                <w:szCs w:val="21"/>
                <w:highlight w:val="none"/>
              </w:rPr>
              <w:t>评分因素与权重分值</w:t>
            </w:r>
          </w:p>
        </w:tc>
        <w:tc>
          <w:tcPr>
            <w:tcW w:w="4779" w:type="dxa"/>
            <w:vMerge w:val="restart"/>
            <w:noWrap w:val="0"/>
            <w:vAlign w:val="center"/>
          </w:tcPr>
          <w:p w14:paraId="527DC45A">
            <w:pPr>
              <w:pStyle w:val="18"/>
              <w:spacing w:line="240" w:lineRule="atLeast"/>
              <w:jc w:val="center"/>
              <w:rPr>
                <w:rFonts w:hint="eastAsia" w:ascii="仿宋_GB2312" w:hAnsi="仿宋_GB2312" w:eastAsia="仿宋_GB2312" w:cs="仿宋_GB2312"/>
                <w:b/>
                <w:bCs/>
                <w:color w:val="000000"/>
                <w:sz w:val="21"/>
                <w:szCs w:val="21"/>
                <w:highlight w:val="none"/>
              </w:rPr>
            </w:pPr>
            <w:r>
              <w:rPr>
                <w:rFonts w:hint="eastAsia" w:ascii="仿宋_GB2312" w:hAnsi="仿宋_GB2312" w:eastAsia="仿宋_GB2312" w:cs="仿宋_GB2312"/>
                <w:b/>
                <w:bCs/>
                <w:color w:val="000000"/>
                <w:sz w:val="21"/>
                <w:szCs w:val="21"/>
                <w:highlight w:val="none"/>
              </w:rPr>
              <w:t>评分标准</w:t>
            </w:r>
          </w:p>
        </w:tc>
      </w:tr>
      <w:tr w14:paraId="5338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rPr>
        <w:tc>
          <w:tcPr>
            <w:tcW w:w="637" w:type="dxa"/>
            <w:noWrap w:val="0"/>
            <w:vAlign w:val="center"/>
          </w:tcPr>
          <w:p w14:paraId="6B93EE31">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评分</w:t>
            </w:r>
          </w:p>
          <w:p w14:paraId="39676A6F">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因素</w:t>
            </w:r>
          </w:p>
        </w:tc>
        <w:tc>
          <w:tcPr>
            <w:tcW w:w="786" w:type="dxa"/>
            <w:noWrap w:val="0"/>
            <w:vAlign w:val="center"/>
          </w:tcPr>
          <w:p w14:paraId="48B2FC91">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评分因</w:t>
            </w:r>
          </w:p>
          <w:p w14:paraId="2E778773">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素权重</w:t>
            </w:r>
          </w:p>
          <w:p w14:paraId="619743A3">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分值</w:t>
            </w:r>
          </w:p>
        </w:tc>
        <w:tc>
          <w:tcPr>
            <w:tcW w:w="2211" w:type="dxa"/>
            <w:noWrap w:val="0"/>
            <w:vAlign w:val="center"/>
          </w:tcPr>
          <w:p w14:paraId="4CD0E7F7">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各评分因素</w:t>
            </w:r>
          </w:p>
          <w:p w14:paraId="7F60487A">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细分项</w:t>
            </w:r>
          </w:p>
        </w:tc>
        <w:tc>
          <w:tcPr>
            <w:tcW w:w="617" w:type="dxa"/>
            <w:noWrap w:val="0"/>
            <w:vAlign w:val="center"/>
          </w:tcPr>
          <w:p w14:paraId="06D63CC8">
            <w:pPr>
              <w:spacing w:line="240" w:lineRule="atLeast"/>
              <w:jc w:val="center"/>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b/>
                <w:bCs/>
                <w:color w:val="000000"/>
                <w:sz w:val="24"/>
                <w:szCs w:val="24"/>
                <w:highlight w:val="none"/>
              </w:rPr>
              <w:t>分值</w:t>
            </w:r>
          </w:p>
        </w:tc>
        <w:tc>
          <w:tcPr>
            <w:tcW w:w="4779" w:type="dxa"/>
            <w:vMerge w:val="continue"/>
            <w:noWrap w:val="0"/>
            <w:vAlign w:val="top"/>
          </w:tcPr>
          <w:p w14:paraId="1A4D6808">
            <w:pPr>
              <w:spacing w:line="240" w:lineRule="atLeast"/>
              <w:rPr>
                <w:rFonts w:hint="eastAsia" w:ascii="仿宋_GB2312" w:hAnsi="仿宋_GB2312" w:eastAsia="仿宋_GB2312" w:cs="仿宋_GB2312"/>
                <w:color w:val="000000"/>
                <w:sz w:val="24"/>
                <w:szCs w:val="24"/>
                <w:highlight w:val="none"/>
              </w:rPr>
            </w:pPr>
          </w:p>
        </w:tc>
      </w:tr>
      <w:tr w14:paraId="22FC7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rPr>
        <w:tc>
          <w:tcPr>
            <w:tcW w:w="637" w:type="dxa"/>
            <w:vMerge w:val="restart"/>
            <w:noWrap w:val="0"/>
            <w:vAlign w:val="center"/>
          </w:tcPr>
          <w:p w14:paraId="2EEA973E">
            <w:pPr>
              <w:pStyle w:val="18"/>
              <w:spacing w:line="240" w:lineRule="atLeast"/>
              <w:jc w:val="center"/>
              <w:rPr>
                <w:rFonts w:hint="eastAsia" w:ascii="仿宋_GB2312" w:hAnsi="仿宋_GB2312" w:eastAsia="仿宋_GB2312" w:cs="仿宋_GB2312"/>
                <w:b/>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施工组织设计</w:t>
            </w:r>
          </w:p>
        </w:tc>
        <w:tc>
          <w:tcPr>
            <w:tcW w:w="786" w:type="dxa"/>
            <w:vMerge w:val="restart"/>
            <w:noWrap w:val="0"/>
            <w:vAlign w:val="center"/>
          </w:tcPr>
          <w:p w14:paraId="76703B19">
            <w:pPr>
              <w:pStyle w:val="18"/>
              <w:spacing w:line="244" w:lineRule="auto"/>
              <w:ind w:left="143" w:right="131"/>
              <w:jc w:val="center"/>
              <w:rPr>
                <w:rFonts w:hint="eastAsia" w:ascii="仿宋_GB2312" w:hAnsi="仿宋_GB2312" w:eastAsia="仿宋_GB2312" w:cs="仿宋_GB2312"/>
                <w:b/>
                <w:color w:val="000000"/>
                <w:sz w:val="24"/>
                <w:szCs w:val="24"/>
                <w:highlight w:val="none"/>
                <w:lang w:val="en-US"/>
              </w:rPr>
            </w:pPr>
            <w:r>
              <w:rPr>
                <w:rFonts w:hint="eastAsia" w:ascii="仿宋_GB2312" w:hAnsi="仿宋_GB2312" w:eastAsia="仿宋_GB2312" w:cs="仿宋_GB2312"/>
                <w:bCs/>
                <w:color w:val="000000"/>
                <w:sz w:val="24"/>
                <w:szCs w:val="24"/>
                <w:highlight w:val="none"/>
                <w:lang w:val="en-US" w:eastAsia="zh-CN"/>
              </w:rPr>
              <w:t>40</w:t>
            </w:r>
            <w:r>
              <w:rPr>
                <w:rFonts w:hint="eastAsia" w:ascii="仿宋_GB2312" w:hAnsi="仿宋_GB2312" w:eastAsia="仿宋_GB2312" w:cs="仿宋_GB2312"/>
                <w:bCs/>
                <w:color w:val="000000"/>
                <w:sz w:val="24"/>
                <w:szCs w:val="24"/>
                <w:highlight w:val="none"/>
                <w:lang w:val="en-US"/>
              </w:rPr>
              <w:t>分</w:t>
            </w:r>
          </w:p>
        </w:tc>
        <w:tc>
          <w:tcPr>
            <w:tcW w:w="2211" w:type="dxa"/>
            <w:noWrap w:val="0"/>
            <w:vAlign w:val="center"/>
          </w:tcPr>
          <w:p w14:paraId="0BADC7F5">
            <w:pPr>
              <w:adjustRightInd w:val="0"/>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总体施工组织布置及规划</w:t>
            </w:r>
          </w:p>
        </w:tc>
        <w:tc>
          <w:tcPr>
            <w:tcW w:w="617" w:type="dxa"/>
            <w:noWrap w:val="0"/>
            <w:vAlign w:val="center"/>
          </w:tcPr>
          <w:p w14:paraId="23855FC8">
            <w:pPr>
              <w:ind w:left="-38" w:leftChars="-18" w:right="-50" w:rightChars="-24"/>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w:t>
            </w:r>
          </w:p>
        </w:tc>
        <w:tc>
          <w:tcPr>
            <w:tcW w:w="4779" w:type="dxa"/>
            <w:noWrap w:val="0"/>
            <w:vAlign w:val="center"/>
          </w:tcPr>
          <w:p w14:paraId="3FA6CBE1">
            <w:pPr>
              <w:spacing w:line="240" w:lineRule="atLeast"/>
              <w:ind w:left="105" w:leftChars="50" w:right="105" w:right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好得</w:t>
            </w:r>
            <w:r>
              <w:rPr>
                <w:rFonts w:hint="eastAsia" w:ascii="仿宋_GB2312" w:hAnsi="仿宋_GB2312" w:eastAsia="仿宋_GB2312" w:cs="仿宋_GB2312"/>
                <w:color w:val="000000"/>
                <w:sz w:val="24"/>
                <w:szCs w:val="24"/>
                <w:highlight w:val="none"/>
                <w:lang w:val="en-US" w:eastAsia="zh-CN"/>
              </w:rPr>
              <w:t>9</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10</w:t>
            </w:r>
            <w:r>
              <w:rPr>
                <w:rFonts w:hint="eastAsia" w:ascii="仿宋_GB2312" w:hAnsi="仿宋_GB2312" w:eastAsia="仿宋_GB2312" w:cs="仿宋_GB2312"/>
                <w:color w:val="000000"/>
                <w:sz w:val="24"/>
                <w:szCs w:val="24"/>
                <w:highlight w:val="none"/>
              </w:rPr>
              <w:t>分；较好得</w:t>
            </w:r>
            <w:r>
              <w:rPr>
                <w:rFonts w:hint="eastAsia" w:ascii="仿宋_GB2312" w:hAnsi="仿宋_GB2312" w:eastAsia="仿宋_GB2312" w:cs="仿宋_GB2312"/>
                <w:color w:val="000000"/>
                <w:sz w:val="24"/>
                <w:szCs w:val="24"/>
                <w:highlight w:val="none"/>
                <w:lang w:val="en-US" w:eastAsia="zh-CN"/>
              </w:rPr>
              <w:t>7</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9</w:t>
            </w:r>
            <w:r>
              <w:rPr>
                <w:rFonts w:hint="eastAsia" w:ascii="仿宋_GB2312" w:hAnsi="仿宋_GB2312" w:eastAsia="仿宋_GB2312" w:cs="仿宋_GB2312"/>
                <w:color w:val="000000"/>
                <w:sz w:val="24"/>
                <w:szCs w:val="24"/>
                <w:highlight w:val="none"/>
              </w:rPr>
              <w:t>分；</w:t>
            </w:r>
            <w:r>
              <w:rPr>
                <w:rFonts w:hint="eastAsia" w:ascii="仿宋_GB2312" w:hAnsi="仿宋_GB2312" w:eastAsia="仿宋_GB2312" w:cs="仿宋_GB2312"/>
                <w:color w:val="000000"/>
                <w:sz w:val="24"/>
                <w:szCs w:val="24"/>
                <w:highlight w:val="none"/>
                <w:lang w:val="en-US" w:eastAsia="zh-CN"/>
              </w:rPr>
              <w:t>基本满足要求</w:t>
            </w:r>
            <w:r>
              <w:rPr>
                <w:rFonts w:hint="eastAsia" w:ascii="仿宋_GB2312" w:hAnsi="仿宋_GB2312" w:eastAsia="仿宋_GB2312" w:cs="仿宋_GB2312"/>
                <w:color w:val="000000"/>
                <w:sz w:val="24"/>
                <w:szCs w:val="24"/>
                <w:highlight w:val="none"/>
              </w:rPr>
              <w:t>得</w:t>
            </w:r>
            <w:r>
              <w:rPr>
                <w:rFonts w:hint="eastAsia" w:ascii="仿宋_GB2312" w:hAnsi="仿宋_GB2312" w:eastAsia="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7</w:t>
            </w:r>
            <w:r>
              <w:rPr>
                <w:rFonts w:hint="eastAsia" w:ascii="仿宋_GB2312" w:hAnsi="仿宋_GB2312" w:eastAsia="仿宋_GB2312" w:cs="仿宋_GB2312"/>
                <w:color w:val="000000"/>
                <w:sz w:val="24"/>
                <w:szCs w:val="24"/>
                <w:highlight w:val="none"/>
              </w:rPr>
              <w:t>分。</w:t>
            </w:r>
          </w:p>
        </w:tc>
      </w:tr>
      <w:tr w14:paraId="2B6E7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trPr>
        <w:tc>
          <w:tcPr>
            <w:tcW w:w="637" w:type="dxa"/>
            <w:vMerge w:val="continue"/>
            <w:noWrap w:val="0"/>
            <w:vAlign w:val="top"/>
          </w:tcPr>
          <w:p w14:paraId="0F9CF01E">
            <w:pPr>
              <w:pStyle w:val="18"/>
              <w:spacing w:line="240" w:lineRule="atLeast"/>
              <w:rPr>
                <w:rFonts w:hint="eastAsia" w:ascii="仿宋_GB2312" w:hAnsi="仿宋_GB2312" w:eastAsia="仿宋_GB2312" w:cs="仿宋_GB2312"/>
                <w:b/>
                <w:color w:val="000000"/>
                <w:sz w:val="24"/>
                <w:szCs w:val="24"/>
                <w:highlight w:val="none"/>
              </w:rPr>
            </w:pPr>
          </w:p>
        </w:tc>
        <w:tc>
          <w:tcPr>
            <w:tcW w:w="786" w:type="dxa"/>
            <w:vMerge w:val="continue"/>
            <w:noWrap w:val="0"/>
            <w:vAlign w:val="top"/>
          </w:tcPr>
          <w:p w14:paraId="4F46C394">
            <w:pPr>
              <w:pStyle w:val="18"/>
              <w:spacing w:line="244" w:lineRule="auto"/>
              <w:ind w:left="143" w:right="131"/>
              <w:rPr>
                <w:rFonts w:hint="eastAsia" w:ascii="仿宋_GB2312" w:hAnsi="仿宋_GB2312" w:eastAsia="仿宋_GB2312" w:cs="仿宋_GB2312"/>
                <w:b/>
                <w:color w:val="000000"/>
                <w:sz w:val="24"/>
                <w:szCs w:val="24"/>
                <w:highlight w:val="none"/>
              </w:rPr>
            </w:pPr>
          </w:p>
        </w:tc>
        <w:tc>
          <w:tcPr>
            <w:tcW w:w="2211" w:type="dxa"/>
            <w:noWrap w:val="0"/>
            <w:vAlign w:val="center"/>
          </w:tcPr>
          <w:p w14:paraId="20A35CBF">
            <w:pPr>
              <w:adjustRightInd w:val="0"/>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施工方案、方法与技术措施</w:t>
            </w:r>
          </w:p>
        </w:tc>
        <w:tc>
          <w:tcPr>
            <w:tcW w:w="617" w:type="dxa"/>
            <w:noWrap w:val="0"/>
            <w:vAlign w:val="center"/>
          </w:tcPr>
          <w:p w14:paraId="2A8ACF80">
            <w:pPr>
              <w:spacing w:line="240" w:lineRule="atLeas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10</w:t>
            </w:r>
          </w:p>
        </w:tc>
        <w:tc>
          <w:tcPr>
            <w:tcW w:w="4779" w:type="dxa"/>
            <w:noWrap w:val="0"/>
            <w:vAlign w:val="center"/>
          </w:tcPr>
          <w:p w14:paraId="2A50689D">
            <w:pPr>
              <w:spacing w:line="240" w:lineRule="atLeast"/>
              <w:ind w:left="105" w:leftChars="50" w:right="105" w:rightChars="5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好得</w:t>
            </w:r>
            <w:r>
              <w:rPr>
                <w:rFonts w:hint="eastAsia" w:ascii="仿宋_GB2312" w:hAnsi="仿宋_GB2312" w:eastAsia="仿宋_GB2312" w:cs="仿宋_GB2312"/>
                <w:color w:val="000000"/>
                <w:sz w:val="24"/>
                <w:szCs w:val="24"/>
                <w:highlight w:val="none"/>
                <w:lang w:val="en-US" w:eastAsia="zh-CN"/>
              </w:rPr>
              <w:t>9</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10</w:t>
            </w:r>
            <w:r>
              <w:rPr>
                <w:rFonts w:hint="eastAsia" w:ascii="仿宋_GB2312" w:hAnsi="仿宋_GB2312" w:eastAsia="仿宋_GB2312" w:cs="仿宋_GB2312"/>
                <w:color w:val="000000"/>
                <w:sz w:val="24"/>
                <w:szCs w:val="24"/>
                <w:highlight w:val="none"/>
              </w:rPr>
              <w:t>分；较好得</w:t>
            </w:r>
            <w:r>
              <w:rPr>
                <w:rFonts w:hint="eastAsia" w:ascii="仿宋_GB2312" w:hAnsi="仿宋_GB2312" w:eastAsia="仿宋_GB2312" w:cs="仿宋_GB2312"/>
                <w:color w:val="000000"/>
                <w:sz w:val="24"/>
                <w:szCs w:val="24"/>
                <w:highlight w:val="none"/>
                <w:lang w:val="en-US" w:eastAsia="zh-CN"/>
              </w:rPr>
              <w:t>7</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9</w:t>
            </w:r>
            <w:r>
              <w:rPr>
                <w:rFonts w:hint="eastAsia" w:ascii="仿宋_GB2312" w:hAnsi="仿宋_GB2312" w:eastAsia="仿宋_GB2312" w:cs="仿宋_GB2312"/>
                <w:color w:val="000000"/>
                <w:sz w:val="24"/>
                <w:szCs w:val="24"/>
                <w:highlight w:val="none"/>
              </w:rPr>
              <w:t>分；</w:t>
            </w:r>
            <w:r>
              <w:rPr>
                <w:rFonts w:hint="eastAsia" w:ascii="仿宋_GB2312" w:hAnsi="仿宋_GB2312" w:eastAsia="仿宋_GB2312" w:cs="仿宋_GB2312"/>
                <w:color w:val="000000"/>
                <w:sz w:val="24"/>
                <w:szCs w:val="24"/>
                <w:highlight w:val="none"/>
                <w:lang w:val="en-US" w:eastAsia="zh-CN"/>
              </w:rPr>
              <w:t>基本满足要求</w:t>
            </w:r>
            <w:r>
              <w:rPr>
                <w:rFonts w:hint="eastAsia" w:ascii="仿宋_GB2312" w:hAnsi="仿宋_GB2312" w:eastAsia="仿宋_GB2312" w:cs="仿宋_GB2312"/>
                <w:color w:val="000000"/>
                <w:sz w:val="24"/>
                <w:szCs w:val="24"/>
                <w:highlight w:val="none"/>
              </w:rPr>
              <w:t>得</w:t>
            </w:r>
            <w:r>
              <w:rPr>
                <w:rFonts w:hint="eastAsia" w:ascii="仿宋_GB2312" w:hAnsi="仿宋_GB2312" w:eastAsia="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7</w:t>
            </w:r>
            <w:r>
              <w:rPr>
                <w:rFonts w:hint="eastAsia" w:ascii="仿宋_GB2312" w:hAnsi="仿宋_GB2312" w:eastAsia="仿宋_GB2312" w:cs="仿宋_GB2312"/>
                <w:color w:val="000000"/>
                <w:sz w:val="24"/>
                <w:szCs w:val="24"/>
                <w:highlight w:val="none"/>
              </w:rPr>
              <w:t>分。</w:t>
            </w:r>
          </w:p>
        </w:tc>
      </w:tr>
      <w:tr w14:paraId="041D3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trPr>
        <w:tc>
          <w:tcPr>
            <w:tcW w:w="637" w:type="dxa"/>
            <w:vMerge w:val="continue"/>
            <w:noWrap w:val="0"/>
            <w:vAlign w:val="top"/>
          </w:tcPr>
          <w:p w14:paraId="6CE602C5">
            <w:pPr>
              <w:pStyle w:val="18"/>
              <w:spacing w:line="240" w:lineRule="atLeast"/>
              <w:rPr>
                <w:rFonts w:hint="eastAsia" w:ascii="仿宋_GB2312" w:hAnsi="仿宋_GB2312" w:eastAsia="仿宋_GB2312" w:cs="仿宋_GB2312"/>
                <w:b/>
                <w:color w:val="000000"/>
                <w:sz w:val="24"/>
                <w:szCs w:val="24"/>
                <w:highlight w:val="none"/>
              </w:rPr>
            </w:pPr>
          </w:p>
        </w:tc>
        <w:tc>
          <w:tcPr>
            <w:tcW w:w="786" w:type="dxa"/>
            <w:vMerge w:val="continue"/>
            <w:noWrap w:val="0"/>
            <w:vAlign w:val="top"/>
          </w:tcPr>
          <w:p w14:paraId="32F16C99">
            <w:pPr>
              <w:pStyle w:val="18"/>
              <w:spacing w:line="244" w:lineRule="auto"/>
              <w:ind w:left="143" w:right="131"/>
              <w:rPr>
                <w:rFonts w:hint="eastAsia" w:ascii="仿宋_GB2312" w:hAnsi="仿宋_GB2312" w:eastAsia="仿宋_GB2312" w:cs="仿宋_GB2312"/>
                <w:b/>
                <w:color w:val="000000"/>
                <w:sz w:val="24"/>
                <w:szCs w:val="24"/>
                <w:highlight w:val="none"/>
              </w:rPr>
            </w:pPr>
          </w:p>
        </w:tc>
        <w:tc>
          <w:tcPr>
            <w:tcW w:w="2211" w:type="dxa"/>
            <w:noWrap w:val="0"/>
            <w:vAlign w:val="center"/>
          </w:tcPr>
          <w:p w14:paraId="4B1BD97A">
            <w:pPr>
              <w:adjustRightInd w:val="0"/>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工期、质量、安全生产、交通保畅管理体系及保证措施</w:t>
            </w:r>
          </w:p>
        </w:tc>
        <w:tc>
          <w:tcPr>
            <w:tcW w:w="617" w:type="dxa"/>
            <w:noWrap w:val="0"/>
            <w:vAlign w:val="center"/>
          </w:tcPr>
          <w:p w14:paraId="62C8A444">
            <w:pPr>
              <w:ind w:left="-38" w:leftChars="-18" w:right="-50" w:rightChars="-24"/>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val="en-US" w:eastAsia="zh-CN"/>
              </w:rPr>
              <w:t>8</w:t>
            </w:r>
          </w:p>
        </w:tc>
        <w:tc>
          <w:tcPr>
            <w:tcW w:w="4779" w:type="dxa"/>
            <w:noWrap w:val="0"/>
            <w:vAlign w:val="center"/>
          </w:tcPr>
          <w:p w14:paraId="0348ECD9">
            <w:pPr>
              <w:spacing w:line="240" w:lineRule="atLeast"/>
              <w:ind w:left="105" w:leftChars="50" w:right="105" w:rightChars="50"/>
              <w:rPr>
                <w:rFonts w:hint="eastAsia" w:ascii="仿宋_GB2312" w:hAnsi="仿宋_GB2312" w:eastAsia="仿宋_GB2312" w:cs="仿宋_GB2312"/>
                <w:b/>
                <w:bCs/>
                <w:color w:val="000000"/>
                <w:sz w:val="24"/>
                <w:szCs w:val="24"/>
                <w:highlight w:val="none"/>
              </w:rPr>
            </w:pPr>
            <w:r>
              <w:rPr>
                <w:rFonts w:hint="eastAsia" w:ascii="仿宋_GB2312" w:hAnsi="仿宋_GB2312" w:eastAsia="仿宋_GB2312" w:cs="仿宋_GB2312"/>
                <w:color w:val="000000"/>
                <w:sz w:val="24"/>
                <w:szCs w:val="24"/>
                <w:highlight w:val="none"/>
              </w:rPr>
              <w:t>好得</w:t>
            </w:r>
            <w:r>
              <w:rPr>
                <w:rFonts w:hint="eastAsia" w:ascii="仿宋_GB2312" w:hAnsi="仿宋_GB2312" w:eastAsia="仿宋_GB2312" w:cs="仿宋_GB2312"/>
                <w:color w:val="000000"/>
                <w:sz w:val="24"/>
                <w:szCs w:val="24"/>
                <w:highlight w:val="none"/>
                <w:lang w:val="en-US"/>
              </w:rPr>
              <w:t>7</w:t>
            </w: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rPr>
              <w:t>8</w:t>
            </w:r>
            <w:r>
              <w:rPr>
                <w:rFonts w:hint="eastAsia" w:ascii="仿宋_GB2312" w:hAnsi="仿宋_GB2312" w:eastAsia="仿宋_GB2312" w:cs="仿宋_GB2312"/>
                <w:color w:val="000000"/>
                <w:sz w:val="24"/>
                <w:szCs w:val="24"/>
                <w:highlight w:val="none"/>
              </w:rPr>
              <w:t>分；较好得</w:t>
            </w:r>
            <w:r>
              <w:rPr>
                <w:rFonts w:hint="eastAsia" w:ascii="仿宋_GB2312" w:hAnsi="仿宋_GB2312" w:eastAsia="仿宋_GB2312" w:cs="仿宋_GB2312"/>
                <w:color w:val="000000"/>
                <w:sz w:val="24"/>
                <w:szCs w:val="24"/>
                <w:highlight w:val="none"/>
                <w:lang w:val="en-US" w:eastAsia="zh-CN"/>
              </w:rPr>
              <w:t>5.6</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rPr>
              <w:t>7</w:t>
            </w:r>
            <w:r>
              <w:rPr>
                <w:rFonts w:hint="eastAsia" w:ascii="仿宋_GB2312" w:hAnsi="仿宋_GB2312" w:eastAsia="仿宋_GB2312" w:cs="仿宋_GB2312"/>
                <w:color w:val="000000"/>
                <w:sz w:val="24"/>
                <w:szCs w:val="24"/>
                <w:highlight w:val="none"/>
                <w:lang w:val="en-US" w:eastAsia="zh-CN"/>
              </w:rPr>
              <w:t>.2</w:t>
            </w:r>
            <w:r>
              <w:rPr>
                <w:rFonts w:hint="eastAsia" w:ascii="仿宋_GB2312" w:hAnsi="仿宋_GB2312" w:eastAsia="仿宋_GB2312" w:cs="仿宋_GB2312"/>
                <w:color w:val="000000"/>
                <w:sz w:val="24"/>
                <w:szCs w:val="24"/>
                <w:highlight w:val="none"/>
              </w:rPr>
              <w:t>分；</w:t>
            </w:r>
            <w:r>
              <w:rPr>
                <w:rFonts w:hint="eastAsia" w:ascii="仿宋_GB2312" w:hAnsi="仿宋_GB2312" w:eastAsia="仿宋_GB2312" w:cs="仿宋_GB2312"/>
                <w:color w:val="000000"/>
                <w:sz w:val="24"/>
                <w:szCs w:val="24"/>
                <w:highlight w:val="none"/>
                <w:lang w:val="en-US" w:eastAsia="zh-CN"/>
              </w:rPr>
              <w:t>基本满足要求</w:t>
            </w:r>
            <w:r>
              <w:rPr>
                <w:rFonts w:hint="eastAsia" w:ascii="仿宋_GB2312" w:hAnsi="仿宋_GB2312" w:eastAsia="仿宋_GB2312" w:cs="仿宋_GB2312"/>
                <w:color w:val="000000"/>
                <w:sz w:val="24"/>
                <w:szCs w:val="24"/>
                <w:highlight w:val="none"/>
              </w:rPr>
              <w:t>得</w:t>
            </w:r>
            <w:r>
              <w:rPr>
                <w:rFonts w:hint="eastAsia" w:ascii="仿宋_GB2312" w:hAnsi="仿宋_GB2312" w:eastAsia="仿宋_GB2312" w:cs="仿宋_GB2312"/>
                <w:color w:val="000000"/>
                <w:sz w:val="24"/>
                <w:szCs w:val="24"/>
                <w:highlight w:val="none"/>
                <w:lang w:val="en-US"/>
              </w:rPr>
              <w:t>4.8</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5.6</w:t>
            </w:r>
            <w:r>
              <w:rPr>
                <w:rFonts w:hint="eastAsia" w:ascii="仿宋_GB2312" w:hAnsi="仿宋_GB2312" w:eastAsia="仿宋_GB2312" w:cs="仿宋_GB2312"/>
                <w:color w:val="000000"/>
                <w:sz w:val="24"/>
                <w:szCs w:val="24"/>
                <w:highlight w:val="none"/>
              </w:rPr>
              <w:t>分。</w:t>
            </w:r>
          </w:p>
        </w:tc>
      </w:tr>
      <w:tr w14:paraId="6A9D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637" w:type="dxa"/>
            <w:vMerge w:val="continue"/>
            <w:noWrap w:val="0"/>
            <w:vAlign w:val="top"/>
          </w:tcPr>
          <w:p w14:paraId="5303DCDA">
            <w:pPr>
              <w:pStyle w:val="18"/>
              <w:spacing w:line="240" w:lineRule="atLeast"/>
              <w:rPr>
                <w:rFonts w:hint="eastAsia" w:ascii="仿宋_GB2312" w:hAnsi="仿宋_GB2312" w:eastAsia="仿宋_GB2312" w:cs="仿宋_GB2312"/>
                <w:b/>
                <w:color w:val="000000"/>
                <w:sz w:val="24"/>
                <w:szCs w:val="24"/>
                <w:highlight w:val="none"/>
              </w:rPr>
            </w:pPr>
          </w:p>
        </w:tc>
        <w:tc>
          <w:tcPr>
            <w:tcW w:w="786" w:type="dxa"/>
            <w:vMerge w:val="continue"/>
            <w:noWrap w:val="0"/>
            <w:vAlign w:val="top"/>
          </w:tcPr>
          <w:p w14:paraId="0D3DAAB0">
            <w:pPr>
              <w:pStyle w:val="18"/>
              <w:spacing w:line="244" w:lineRule="auto"/>
              <w:ind w:left="143" w:right="131"/>
              <w:rPr>
                <w:rFonts w:hint="eastAsia" w:ascii="仿宋_GB2312" w:hAnsi="仿宋_GB2312" w:eastAsia="仿宋_GB2312" w:cs="仿宋_GB2312"/>
                <w:b/>
                <w:color w:val="000000"/>
                <w:sz w:val="24"/>
                <w:szCs w:val="24"/>
                <w:highlight w:val="none"/>
              </w:rPr>
            </w:pPr>
          </w:p>
        </w:tc>
        <w:tc>
          <w:tcPr>
            <w:tcW w:w="2211" w:type="dxa"/>
            <w:noWrap w:val="0"/>
            <w:vAlign w:val="center"/>
          </w:tcPr>
          <w:p w14:paraId="00A93BC9">
            <w:pPr>
              <w:adjustRightInd w:val="0"/>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环境保护、文明施工、事故处理管理体系及保证措施</w:t>
            </w:r>
          </w:p>
        </w:tc>
        <w:tc>
          <w:tcPr>
            <w:tcW w:w="617" w:type="dxa"/>
            <w:noWrap w:val="0"/>
            <w:vAlign w:val="center"/>
          </w:tcPr>
          <w:p w14:paraId="5A14CF8F">
            <w:pPr>
              <w:ind w:left="-38" w:leftChars="-18" w:right="-50" w:rightChars="-24"/>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c>
          <w:tcPr>
            <w:tcW w:w="4779" w:type="dxa"/>
            <w:noWrap w:val="0"/>
            <w:vAlign w:val="center"/>
          </w:tcPr>
          <w:p w14:paraId="3EEEB55E">
            <w:pPr>
              <w:spacing w:line="240" w:lineRule="atLeast"/>
              <w:ind w:left="105" w:leftChars="50" w:right="105" w:right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好得</w:t>
            </w:r>
            <w:r>
              <w:rPr>
                <w:rFonts w:hint="eastAsia" w:ascii="仿宋_GB2312" w:hAnsi="仿宋_GB2312" w:eastAsia="仿宋_GB2312" w:cs="仿宋_GB2312"/>
                <w:color w:val="000000"/>
                <w:sz w:val="24"/>
                <w:szCs w:val="24"/>
                <w:highlight w:val="none"/>
                <w:lang w:val="en-US" w:eastAsia="zh-CN"/>
              </w:rPr>
              <w:t>5.4</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分；较好得</w:t>
            </w:r>
            <w:r>
              <w:rPr>
                <w:rFonts w:hint="eastAsia" w:ascii="仿宋_GB2312" w:hAnsi="仿宋_GB2312" w:eastAsia="仿宋_GB2312" w:cs="仿宋_GB2312"/>
                <w:color w:val="000000"/>
                <w:sz w:val="24"/>
                <w:szCs w:val="24"/>
                <w:highlight w:val="none"/>
                <w:lang w:val="en-US" w:eastAsia="zh-CN"/>
              </w:rPr>
              <w:t>4.2</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5.4</w:t>
            </w:r>
            <w:r>
              <w:rPr>
                <w:rFonts w:hint="eastAsia" w:ascii="仿宋_GB2312" w:hAnsi="仿宋_GB2312" w:eastAsia="仿宋_GB2312" w:cs="仿宋_GB2312"/>
                <w:color w:val="000000"/>
                <w:sz w:val="24"/>
                <w:szCs w:val="24"/>
                <w:highlight w:val="none"/>
              </w:rPr>
              <w:t>分；</w:t>
            </w:r>
            <w:r>
              <w:rPr>
                <w:rFonts w:hint="eastAsia" w:ascii="仿宋_GB2312" w:hAnsi="仿宋_GB2312" w:eastAsia="仿宋_GB2312" w:cs="仿宋_GB2312"/>
                <w:color w:val="000000"/>
                <w:sz w:val="24"/>
                <w:szCs w:val="24"/>
                <w:highlight w:val="none"/>
                <w:lang w:val="en-US" w:eastAsia="zh-CN"/>
              </w:rPr>
              <w:t>基本满足要求</w:t>
            </w:r>
            <w:r>
              <w:rPr>
                <w:rFonts w:hint="eastAsia" w:ascii="仿宋_GB2312" w:hAnsi="仿宋_GB2312" w:eastAsia="仿宋_GB2312" w:cs="仿宋_GB2312"/>
                <w:color w:val="000000"/>
                <w:sz w:val="24"/>
                <w:szCs w:val="24"/>
                <w:highlight w:val="none"/>
              </w:rPr>
              <w:t>得</w:t>
            </w:r>
            <w:r>
              <w:rPr>
                <w:rFonts w:hint="eastAsia" w:ascii="仿宋_GB2312" w:hAnsi="仿宋_GB2312" w:eastAsia="仿宋_GB2312" w:cs="仿宋_GB2312"/>
                <w:color w:val="000000"/>
                <w:sz w:val="24"/>
                <w:szCs w:val="24"/>
                <w:highlight w:val="none"/>
                <w:lang w:val="en-US" w:eastAsia="zh-CN"/>
              </w:rPr>
              <w:t>3.6</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4.2</w:t>
            </w:r>
            <w:r>
              <w:rPr>
                <w:rFonts w:hint="eastAsia" w:ascii="仿宋_GB2312" w:hAnsi="仿宋_GB2312" w:eastAsia="仿宋_GB2312" w:cs="仿宋_GB2312"/>
                <w:color w:val="000000"/>
                <w:sz w:val="24"/>
                <w:szCs w:val="24"/>
                <w:highlight w:val="none"/>
              </w:rPr>
              <w:t>分。</w:t>
            </w:r>
          </w:p>
        </w:tc>
      </w:tr>
      <w:tr w14:paraId="5A11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9" w:hRule="atLeast"/>
        </w:trPr>
        <w:tc>
          <w:tcPr>
            <w:tcW w:w="637" w:type="dxa"/>
            <w:vMerge w:val="continue"/>
            <w:noWrap w:val="0"/>
            <w:vAlign w:val="top"/>
          </w:tcPr>
          <w:p w14:paraId="2BA94957">
            <w:pPr>
              <w:pStyle w:val="18"/>
              <w:spacing w:line="240" w:lineRule="atLeast"/>
              <w:rPr>
                <w:rFonts w:hint="eastAsia" w:ascii="仿宋_GB2312" w:hAnsi="仿宋_GB2312" w:eastAsia="仿宋_GB2312" w:cs="仿宋_GB2312"/>
                <w:b/>
                <w:color w:val="000000"/>
                <w:sz w:val="24"/>
                <w:szCs w:val="24"/>
                <w:highlight w:val="none"/>
              </w:rPr>
            </w:pPr>
          </w:p>
        </w:tc>
        <w:tc>
          <w:tcPr>
            <w:tcW w:w="786" w:type="dxa"/>
            <w:vMerge w:val="continue"/>
            <w:noWrap w:val="0"/>
            <w:vAlign w:val="top"/>
          </w:tcPr>
          <w:p w14:paraId="4791144A">
            <w:pPr>
              <w:pStyle w:val="18"/>
              <w:spacing w:line="244" w:lineRule="auto"/>
              <w:ind w:left="143" w:right="131"/>
              <w:rPr>
                <w:rFonts w:hint="eastAsia" w:ascii="仿宋_GB2312" w:hAnsi="仿宋_GB2312" w:eastAsia="仿宋_GB2312" w:cs="仿宋_GB2312"/>
                <w:b/>
                <w:color w:val="000000"/>
                <w:sz w:val="24"/>
                <w:szCs w:val="24"/>
                <w:highlight w:val="none"/>
              </w:rPr>
            </w:pPr>
          </w:p>
        </w:tc>
        <w:tc>
          <w:tcPr>
            <w:tcW w:w="2211" w:type="dxa"/>
            <w:noWrap w:val="0"/>
            <w:vAlign w:val="center"/>
          </w:tcPr>
          <w:p w14:paraId="776DF2CE">
            <w:pPr>
              <w:adjustRightInd w:val="0"/>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支付保障管理体系及保证措施</w:t>
            </w:r>
          </w:p>
        </w:tc>
        <w:tc>
          <w:tcPr>
            <w:tcW w:w="617" w:type="dxa"/>
            <w:noWrap w:val="0"/>
            <w:vAlign w:val="center"/>
          </w:tcPr>
          <w:p w14:paraId="2F8E561E">
            <w:pPr>
              <w:ind w:left="-38" w:leftChars="-18" w:right="-50" w:rightChars="-24"/>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c>
          <w:tcPr>
            <w:tcW w:w="4779" w:type="dxa"/>
            <w:noWrap w:val="0"/>
            <w:vAlign w:val="center"/>
          </w:tcPr>
          <w:p w14:paraId="4BE65136">
            <w:pPr>
              <w:spacing w:line="240" w:lineRule="atLeast"/>
              <w:ind w:left="105" w:leftChars="50" w:right="105" w:rightChars="5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好得</w:t>
            </w:r>
            <w:r>
              <w:rPr>
                <w:rFonts w:hint="eastAsia" w:ascii="仿宋_GB2312" w:hAnsi="仿宋_GB2312" w:eastAsia="仿宋_GB2312" w:cs="仿宋_GB2312"/>
                <w:color w:val="000000"/>
                <w:sz w:val="24"/>
                <w:szCs w:val="24"/>
                <w:highlight w:val="none"/>
                <w:lang w:val="en-US" w:eastAsia="zh-CN"/>
              </w:rPr>
              <w:t>5.4</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分；较好得</w:t>
            </w:r>
            <w:r>
              <w:rPr>
                <w:rFonts w:hint="eastAsia" w:ascii="仿宋_GB2312" w:hAnsi="仿宋_GB2312" w:eastAsia="仿宋_GB2312" w:cs="仿宋_GB2312"/>
                <w:color w:val="000000"/>
                <w:sz w:val="24"/>
                <w:szCs w:val="24"/>
                <w:highlight w:val="none"/>
                <w:lang w:val="en-US" w:eastAsia="zh-CN"/>
              </w:rPr>
              <w:t>4.2</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5.4</w:t>
            </w:r>
            <w:r>
              <w:rPr>
                <w:rFonts w:hint="eastAsia" w:ascii="仿宋_GB2312" w:hAnsi="仿宋_GB2312" w:eastAsia="仿宋_GB2312" w:cs="仿宋_GB2312"/>
                <w:color w:val="000000"/>
                <w:sz w:val="24"/>
                <w:szCs w:val="24"/>
                <w:highlight w:val="none"/>
              </w:rPr>
              <w:t>分；</w:t>
            </w:r>
            <w:r>
              <w:rPr>
                <w:rFonts w:hint="eastAsia" w:ascii="仿宋_GB2312" w:hAnsi="仿宋_GB2312" w:eastAsia="仿宋_GB2312" w:cs="仿宋_GB2312"/>
                <w:color w:val="000000"/>
                <w:sz w:val="24"/>
                <w:szCs w:val="24"/>
                <w:highlight w:val="none"/>
                <w:lang w:val="en-US" w:eastAsia="zh-CN"/>
              </w:rPr>
              <w:t>基本满足要求</w:t>
            </w:r>
            <w:r>
              <w:rPr>
                <w:rFonts w:hint="eastAsia" w:ascii="仿宋_GB2312" w:hAnsi="仿宋_GB2312" w:eastAsia="仿宋_GB2312" w:cs="仿宋_GB2312"/>
                <w:color w:val="000000"/>
                <w:sz w:val="24"/>
                <w:szCs w:val="24"/>
                <w:highlight w:val="none"/>
              </w:rPr>
              <w:t>得</w:t>
            </w:r>
            <w:r>
              <w:rPr>
                <w:rFonts w:hint="eastAsia" w:ascii="仿宋_GB2312" w:hAnsi="仿宋_GB2312" w:eastAsia="仿宋_GB2312" w:cs="仿宋_GB2312"/>
                <w:color w:val="000000"/>
                <w:sz w:val="24"/>
                <w:szCs w:val="24"/>
                <w:highlight w:val="none"/>
                <w:lang w:val="en-US" w:eastAsia="zh-CN"/>
              </w:rPr>
              <w:t>3.6</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sz w:val="24"/>
                <w:szCs w:val="24"/>
                <w:highlight w:val="none"/>
                <w:lang w:val="en-US" w:eastAsia="zh-CN"/>
              </w:rPr>
              <w:t>4.2</w:t>
            </w:r>
            <w:r>
              <w:rPr>
                <w:rFonts w:hint="eastAsia" w:ascii="仿宋_GB2312" w:hAnsi="仿宋_GB2312" w:eastAsia="仿宋_GB2312" w:cs="仿宋_GB2312"/>
                <w:color w:val="000000"/>
                <w:sz w:val="24"/>
                <w:szCs w:val="24"/>
                <w:highlight w:val="none"/>
              </w:rPr>
              <w:t>分。</w:t>
            </w:r>
          </w:p>
        </w:tc>
      </w:tr>
      <w:tr w14:paraId="4CF03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4" w:hRule="atLeast"/>
        </w:trPr>
        <w:tc>
          <w:tcPr>
            <w:tcW w:w="637" w:type="dxa"/>
            <w:vMerge w:val="restart"/>
            <w:noWrap w:val="0"/>
            <w:vAlign w:val="center"/>
          </w:tcPr>
          <w:p w14:paraId="2F5244C6">
            <w:pPr>
              <w:spacing w:line="240" w:lineRule="atLeast"/>
              <w:jc w:val="center"/>
              <w:rPr>
                <w:rFonts w:hint="eastAsia" w:ascii="仿宋_GB2312" w:hAnsi="仿宋_GB2312" w:eastAsia="仿宋_GB2312" w:cs="仿宋_GB2312"/>
                <w:bCs/>
                <w:color w:val="000000"/>
                <w:sz w:val="24"/>
                <w:szCs w:val="24"/>
                <w:highlight w:val="none"/>
                <w:lang w:val="en-US"/>
              </w:rPr>
            </w:pPr>
            <w:r>
              <w:rPr>
                <w:rFonts w:hint="eastAsia" w:ascii="仿宋_GB2312" w:hAnsi="仿宋_GB2312" w:eastAsia="仿宋_GB2312" w:cs="仿宋_GB2312"/>
                <w:bCs/>
                <w:color w:val="000000"/>
                <w:sz w:val="24"/>
                <w:szCs w:val="24"/>
                <w:highlight w:val="none"/>
                <w:lang w:val="en-US"/>
              </w:rPr>
              <w:t>主要人员</w:t>
            </w:r>
          </w:p>
        </w:tc>
        <w:tc>
          <w:tcPr>
            <w:tcW w:w="786" w:type="dxa"/>
            <w:vMerge w:val="restart"/>
            <w:noWrap w:val="0"/>
            <w:vAlign w:val="center"/>
          </w:tcPr>
          <w:p w14:paraId="53FEA1B5">
            <w:pPr>
              <w:jc w:val="center"/>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25</w:t>
            </w:r>
            <w:r>
              <w:rPr>
                <w:rFonts w:hint="eastAsia" w:ascii="仿宋_GB2312" w:hAnsi="仿宋_GB2312" w:eastAsia="仿宋_GB2312" w:cs="仿宋_GB2312"/>
                <w:bCs/>
                <w:color w:val="000000"/>
                <w:sz w:val="24"/>
                <w:szCs w:val="24"/>
                <w:highlight w:val="none"/>
              </w:rPr>
              <w:t>分</w:t>
            </w:r>
          </w:p>
        </w:tc>
        <w:tc>
          <w:tcPr>
            <w:tcW w:w="2211" w:type="dxa"/>
            <w:noWrap w:val="0"/>
            <w:vAlign w:val="center"/>
          </w:tcPr>
          <w:p w14:paraId="158839B7">
            <w:pPr>
              <w:pStyle w:val="18"/>
              <w:spacing w:line="240" w:lineRule="atLeas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满足资格审查条件</w:t>
            </w:r>
          </w:p>
        </w:tc>
        <w:tc>
          <w:tcPr>
            <w:tcW w:w="617" w:type="dxa"/>
            <w:noWrap w:val="0"/>
            <w:vAlign w:val="center"/>
          </w:tcPr>
          <w:p w14:paraId="1B5E99BC">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15</w:t>
            </w:r>
          </w:p>
        </w:tc>
        <w:tc>
          <w:tcPr>
            <w:tcW w:w="4779" w:type="dxa"/>
            <w:noWrap w:val="0"/>
            <w:vAlign w:val="center"/>
          </w:tcPr>
          <w:p w14:paraId="2547FD9F">
            <w:pPr>
              <w:spacing w:line="240" w:lineRule="atLeast"/>
              <w:ind w:left="105" w:leftChars="50" w:right="105" w:rightChars="50"/>
              <w:rPr>
                <w:rFonts w:hint="eastAsia" w:ascii="仿宋_GB2312" w:hAnsi="仿宋_GB2312" w:eastAsia="仿宋_GB2312" w:cs="仿宋_GB2312"/>
                <w:color w:val="000000"/>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通过资格评审得15分。</w:t>
            </w:r>
          </w:p>
        </w:tc>
      </w:tr>
      <w:tr w14:paraId="551B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0" w:hRule="atLeast"/>
        </w:trPr>
        <w:tc>
          <w:tcPr>
            <w:tcW w:w="637" w:type="dxa"/>
            <w:vMerge w:val="continue"/>
            <w:noWrap w:val="0"/>
            <w:vAlign w:val="center"/>
          </w:tcPr>
          <w:p w14:paraId="31DFA5A7">
            <w:pPr>
              <w:spacing w:line="240" w:lineRule="atLeast"/>
              <w:jc w:val="center"/>
              <w:rPr>
                <w:rFonts w:hint="eastAsia" w:ascii="仿宋_GB2312" w:hAnsi="仿宋_GB2312" w:eastAsia="仿宋_GB2312" w:cs="仿宋_GB2312"/>
                <w:bCs/>
                <w:color w:val="000000"/>
                <w:sz w:val="24"/>
                <w:szCs w:val="24"/>
                <w:highlight w:val="none"/>
                <w:lang w:val="en-US"/>
              </w:rPr>
            </w:pPr>
          </w:p>
        </w:tc>
        <w:tc>
          <w:tcPr>
            <w:tcW w:w="786" w:type="dxa"/>
            <w:vMerge w:val="continue"/>
            <w:noWrap w:val="0"/>
            <w:vAlign w:val="center"/>
          </w:tcPr>
          <w:p w14:paraId="103D7134">
            <w:pPr>
              <w:jc w:val="center"/>
              <w:rPr>
                <w:rFonts w:hint="eastAsia" w:ascii="仿宋_GB2312" w:hAnsi="仿宋_GB2312" w:eastAsia="仿宋_GB2312" w:cs="仿宋_GB2312"/>
                <w:bCs/>
                <w:color w:val="000000"/>
                <w:sz w:val="24"/>
                <w:szCs w:val="24"/>
                <w:highlight w:val="none"/>
                <w:lang w:val="en-US" w:eastAsia="zh-CN"/>
              </w:rPr>
            </w:pPr>
          </w:p>
        </w:tc>
        <w:tc>
          <w:tcPr>
            <w:tcW w:w="2211" w:type="dxa"/>
            <w:noWrap w:val="0"/>
            <w:vAlign w:val="center"/>
          </w:tcPr>
          <w:p w14:paraId="62D8314C">
            <w:pPr>
              <w:pStyle w:val="18"/>
              <w:spacing w:line="240" w:lineRule="atLeast"/>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项目</w:t>
            </w:r>
            <w:r>
              <w:rPr>
                <w:rFonts w:hint="eastAsia" w:ascii="仿宋_GB2312" w:hAnsi="仿宋_GB2312" w:eastAsia="仿宋_GB2312" w:cs="仿宋_GB2312"/>
                <w:color w:val="000000"/>
                <w:sz w:val="24"/>
                <w:szCs w:val="24"/>
                <w:highlight w:val="none"/>
                <w:lang w:val="en-US" w:eastAsia="zh-CN"/>
              </w:rPr>
              <w:t>经理任职资格    与业绩</w:t>
            </w:r>
          </w:p>
        </w:tc>
        <w:tc>
          <w:tcPr>
            <w:tcW w:w="617" w:type="dxa"/>
            <w:noWrap w:val="0"/>
            <w:vAlign w:val="center"/>
          </w:tcPr>
          <w:p w14:paraId="13691B22">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5</w:t>
            </w:r>
          </w:p>
        </w:tc>
        <w:tc>
          <w:tcPr>
            <w:tcW w:w="4779" w:type="dxa"/>
            <w:noWrap w:val="0"/>
            <w:vAlign w:val="center"/>
          </w:tcPr>
          <w:p w14:paraId="7920879F">
            <w:pPr>
              <w:spacing w:line="240" w:lineRule="atLeast"/>
              <w:ind w:left="105" w:leftChars="50" w:right="105" w:rightChars="5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bidi="ar-SA"/>
              </w:rPr>
              <w:t>满足资格审查条件之</w:t>
            </w:r>
            <w:r>
              <w:rPr>
                <w:rFonts w:hint="eastAsia" w:ascii="仿宋_GB2312" w:hAnsi="仿宋_GB2312" w:eastAsia="仿宋_GB2312" w:cs="仿宋_GB2312"/>
                <w:color w:val="000000"/>
                <w:sz w:val="24"/>
                <w:szCs w:val="24"/>
                <w:highlight w:val="none"/>
                <w:lang w:val="en-US" w:eastAsia="zh-CN"/>
              </w:rPr>
              <w:t>外，</w:t>
            </w:r>
          </w:p>
          <w:p w14:paraId="13EE67F0">
            <w:pPr>
              <w:spacing w:line="240" w:lineRule="atLeast"/>
              <w:ind w:left="105" w:leftChars="50" w:right="105" w:rightChars="50"/>
              <w:rPr>
                <w:rFonts w:hint="eastAsia"/>
                <w:sz w:val="24"/>
                <w:szCs w:val="24"/>
                <w:lang w:val="en-US" w:eastAsia="zh-CN"/>
              </w:rPr>
            </w:pPr>
            <w:r>
              <w:rPr>
                <w:rFonts w:hint="eastAsia" w:ascii="仿宋_GB2312" w:hAnsi="仿宋_GB2312" w:eastAsia="仿宋_GB2312" w:cs="仿宋_GB2312"/>
                <w:color w:val="000000"/>
                <w:kern w:val="2"/>
                <w:sz w:val="24"/>
                <w:szCs w:val="24"/>
                <w:highlight w:val="none"/>
                <w:lang w:val="en-US" w:eastAsia="zh-CN" w:bidi="ar-SA"/>
              </w:rPr>
              <w:t>每增加1个新建或改扩建高速公路项目（须包含隧道土建工程）项目经理业绩加5分，此项最多加5分。</w:t>
            </w:r>
          </w:p>
        </w:tc>
      </w:tr>
      <w:tr w14:paraId="7B1A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2" w:hRule="atLeast"/>
        </w:trPr>
        <w:tc>
          <w:tcPr>
            <w:tcW w:w="637" w:type="dxa"/>
            <w:vMerge w:val="continue"/>
            <w:noWrap w:val="0"/>
            <w:vAlign w:val="center"/>
          </w:tcPr>
          <w:p w14:paraId="2E70A3E0">
            <w:pPr>
              <w:spacing w:line="240" w:lineRule="atLeast"/>
              <w:jc w:val="center"/>
              <w:rPr>
                <w:rFonts w:hint="eastAsia" w:ascii="仿宋_GB2312" w:hAnsi="仿宋_GB2312" w:eastAsia="仿宋_GB2312" w:cs="仿宋_GB2312"/>
                <w:bCs/>
                <w:color w:val="000000"/>
                <w:sz w:val="24"/>
                <w:szCs w:val="24"/>
                <w:highlight w:val="none"/>
                <w:lang w:val="en-US"/>
              </w:rPr>
            </w:pPr>
          </w:p>
        </w:tc>
        <w:tc>
          <w:tcPr>
            <w:tcW w:w="786" w:type="dxa"/>
            <w:vMerge w:val="continue"/>
            <w:noWrap w:val="0"/>
            <w:vAlign w:val="center"/>
          </w:tcPr>
          <w:p w14:paraId="3B1EF330">
            <w:pPr>
              <w:jc w:val="center"/>
              <w:rPr>
                <w:rFonts w:hint="eastAsia" w:ascii="仿宋_GB2312" w:hAnsi="仿宋_GB2312" w:eastAsia="仿宋_GB2312" w:cs="仿宋_GB2312"/>
                <w:bCs/>
                <w:color w:val="000000"/>
                <w:sz w:val="24"/>
                <w:szCs w:val="24"/>
                <w:highlight w:val="none"/>
                <w:lang w:val="en-US"/>
              </w:rPr>
            </w:pPr>
          </w:p>
        </w:tc>
        <w:tc>
          <w:tcPr>
            <w:tcW w:w="2211" w:type="dxa"/>
            <w:noWrap w:val="0"/>
            <w:vAlign w:val="center"/>
          </w:tcPr>
          <w:p w14:paraId="3E76FB09">
            <w:pPr>
              <w:pStyle w:val="18"/>
              <w:spacing w:line="240" w:lineRule="atLeast"/>
              <w:jc w:val="center"/>
              <w:rPr>
                <w:rFonts w:hint="eastAsia" w:ascii="仿宋_GB2312" w:hAnsi="仿宋_GB2312" w:eastAsia="仿宋_GB2312" w:cs="仿宋_GB2312"/>
                <w:color w:val="000000"/>
                <w:sz w:val="24"/>
                <w:szCs w:val="24"/>
                <w:highlight w:val="none"/>
                <w:shd w:val="clear" w:color="auto" w:fill="auto"/>
                <w:lang w:val="en-US" w:eastAsia="zh-CN"/>
              </w:rPr>
            </w:pPr>
            <w:r>
              <w:rPr>
                <w:rFonts w:hint="eastAsia" w:ascii="仿宋_GB2312" w:hAnsi="仿宋_GB2312" w:eastAsia="仿宋_GB2312" w:cs="仿宋_GB2312"/>
                <w:color w:val="000000"/>
                <w:sz w:val="24"/>
                <w:szCs w:val="24"/>
                <w:highlight w:val="none"/>
                <w:shd w:val="clear" w:color="auto" w:fill="auto"/>
              </w:rPr>
              <w:t>项目</w:t>
            </w:r>
            <w:r>
              <w:rPr>
                <w:rFonts w:hint="eastAsia" w:ascii="仿宋_GB2312" w:hAnsi="仿宋_GB2312" w:eastAsia="仿宋_GB2312" w:cs="仿宋_GB2312"/>
                <w:color w:val="000000"/>
                <w:sz w:val="24"/>
                <w:szCs w:val="24"/>
                <w:highlight w:val="none"/>
                <w:shd w:val="clear" w:color="auto" w:fill="auto"/>
                <w:lang w:val="en-US" w:eastAsia="zh-CN"/>
              </w:rPr>
              <w:t>总工任职资格   与业绩</w:t>
            </w:r>
          </w:p>
        </w:tc>
        <w:tc>
          <w:tcPr>
            <w:tcW w:w="617" w:type="dxa"/>
            <w:noWrap w:val="0"/>
            <w:vAlign w:val="center"/>
          </w:tcPr>
          <w:p w14:paraId="2896AD6A">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5</w:t>
            </w:r>
          </w:p>
        </w:tc>
        <w:tc>
          <w:tcPr>
            <w:tcW w:w="4779" w:type="dxa"/>
            <w:noWrap w:val="0"/>
            <w:vAlign w:val="center"/>
          </w:tcPr>
          <w:p w14:paraId="118C1AD2">
            <w:pPr>
              <w:spacing w:line="240" w:lineRule="atLeast"/>
              <w:ind w:left="105" w:leftChars="50" w:right="105" w:rightChars="50"/>
              <w:rPr>
                <w:rFonts w:hint="eastAsia" w:ascii="仿宋_GB2312" w:hAnsi="仿宋_GB2312" w:eastAsia="仿宋_GB2312" w:cs="仿宋_GB2312"/>
                <w:color w:val="000000"/>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bidi="ar-SA"/>
              </w:rPr>
              <w:t>满足资格审查条件之外，</w:t>
            </w:r>
          </w:p>
          <w:p w14:paraId="69F217EF">
            <w:pPr>
              <w:spacing w:line="240" w:lineRule="atLeast"/>
              <w:ind w:right="105" w:rightChars="50"/>
              <w:rPr>
                <w:rFonts w:hint="eastAsia"/>
                <w:sz w:val="24"/>
                <w:szCs w:val="24"/>
                <w:lang w:val="en-US" w:eastAsia="zh-CN"/>
              </w:rPr>
            </w:pPr>
            <w:r>
              <w:rPr>
                <w:rFonts w:hint="eastAsia" w:ascii="仿宋_GB2312" w:hAnsi="仿宋_GB2312" w:eastAsia="仿宋_GB2312" w:cs="仿宋_GB2312"/>
                <w:color w:val="000000"/>
                <w:kern w:val="2"/>
                <w:sz w:val="24"/>
                <w:szCs w:val="24"/>
                <w:highlight w:val="none"/>
                <w:lang w:val="en-US" w:eastAsia="zh-CN" w:bidi="ar-SA"/>
              </w:rPr>
              <w:t>每增加1个新建或改扩建高速公路项目（须包含隧道土建工程）项目总工业绩加5分，此项最多加5分。</w:t>
            </w:r>
          </w:p>
        </w:tc>
      </w:tr>
      <w:tr w14:paraId="6C21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trPr>
        <w:tc>
          <w:tcPr>
            <w:tcW w:w="637" w:type="dxa"/>
            <w:vMerge w:val="restart"/>
            <w:noWrap w:val="0"/>
            <w:vAlign w:val="center"/>
          </w:tcPr>
          <w:p w14:paraId="032C5310">
            <w:pPr>
              <w:spacing w:line="240" w:lineRule="atLeast"/>
              <w:jc w:val="center"/>
              <w:rPr>
                <w:rFonts w:hint="eastAsia" w:ascii="仿宋_GB2312" w:hAnsi="仿宋_GB2312" w:eastAsia="仿宋_GB2312" w:cs="仿宋_GB2312"/>
                <w:bCs/>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技术能力</w:t>
            </w:r>
          </w:p>
        </w:tc>
        <w:tc>
          <w:tcPr>
            <w:tcW w:w="786" w:type="dxa"/>
            <w:vMerge w:val="restart"/>
            <w:noWrap w:val="0"/>
            <w:vAlign w:val="center"/>
          </w:tcPr>
          <w:p w14:paraId="0B37CBFE">
            <w:pPr>
              <w:jc w:val="center"/>
              <w:rPr>
                <w:rFonts w:hint="eastAsia" w:ascii="仿宋_GB2312" w:hAnsi="仿宋_GB2312" w:eastAsia="仿宋_GB2312" w:cs="仿宋_GB2312"/>
                <w:bCs/>
                <w:color w:val="000000"/>
                <w:sz w:val="24"/>
                <w:szCs w:val="24"/>
                <w:highlight w:val="none"/>
                <w:lang w:val="en-US"/>
              </w:rPr>
            </w:pPr>
            <w:r>
              <w:rPr>
                <w:rFonts w:hint="eastAsia" w:ascii="仿宋_GB2312" w:hAnsi="仿宋_GB2312" w:eastAsia="仿宋_GB2312" w:cs="仿宋_GB2312"/>
                <w:bCs/>
                <w:color w:val="000000"/>
                <w:sz w:val="24"/>
                <w:szCs w:val="24"/>
                <w:highlight w:val="none"/>
              </w:rPr>
              <w:t>10分</w:t>
            </w:r>
          </w:p>
        </w:tc>
        <w:tc>
          <w:tcPr>
            <w:tcW w:w="2211" w:type="dxa"/>
            <w:noWrap w:val="0"/>
            <w:vAlign w:val="center"/>
          </w:tcPr>
          <w:p w14:paraId="50D0FF4B">
            <w:pPr>
              <w:pStyle w:val="17"/>
              <w:tabs>
                <w:tab w:val="left" w:leader="underscore" w:pos="319"/>
              </w:tabs>
              <w:spacing w:before="0" w:after="0" w:line="300" w:lineRule="exact"/>
              <w:ind w:left="105" w:leftChars="50" w:right="105" w:rightChars="50"/>
              <w:rPr>
                <w:rFonts w:hint="eastAsia" w:ascii="仿宋_GB2312" w:hAnsi="仿宋_GB2312" w:eastAsia="仿宋_GB2312" w:cs="仿宋_GB2312"/>
                <w:color w:val="000000"/>
                <w:kern w:val="0"/>
                <w:sz w:val="24"/>
                <w:szCs w:val="24"/>
                <w:highlight w:val="none"/>
                <w:shd w:val="clear" w:color="auto" w:fill="auto"/>
                <w:lang w:val="en-US" w:eastAsia="zh-CN" w:bidi="ar-SA"/>
              </w:rPr>
            </w:pPr>
            <w:r>
              <w:rPr>
                <w:rFonts w:hint="eastAsia" w:ascii="仿宋_GB2312" w:hAnsi="仿宋_GB2312" w:eastAsia="仿宋_GB2312" w:cs="仿宋_GB2312"/>
                <w:color w:val="000000"/>
                <w:sz w:val="24"/>
                <w:szCs w:val="24"/>
                <w:highlight w:val="none"/>
                <w:shd w:val="clear" w:color="auto" w:fill="auto"/>
                <w:lang w:val="en-US" w:eastAsia="zh-CN"/>
              </w:rPr>
              <w:t>满足资格审查条件</w:t>
            </w:r>
          </w:p>
        </w:tc>
        <w:tc>
          <w:tcPr>
            <w:tcW w:w="617" w:type="dxa"/>
            <w:noWrap w:val="0"/>
            <w:vAlign w:val="center"/>
          </w:tcPr>
          <w:p w14:paraId="17598D87">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6</w:t>
            </w:r>
          </w:p>
        </w:tc>
        <w:tc>
          <w:tcPr>
            <w:tcW w:w="4779" w:type="dxa"/>
            <w:noWrap w:val="0"/>
            <w:vAlign w:val="center"/>
          </w:tcPr>
          <w:p w14:paraId="64962949">
            <w:pPr>
              <w:spacing w:line="240" w:lineRule="atLeast"/>
              <w:ind w:left="105" w:leftChars="50" w:right="105" w:rightChars="50"/>
              <w:rPr>
                <w:rFonts w:hint="eastAsia" w:ascii="仿宋_GB2312" w:hAnsi="仿宋_GB2312" w:eastAsia="仿宋_GB2312" w:cs="仿宋_GB2312"/>
                <w:color w:val="000000"/>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通过资格评审得6分。</w:t>
            </w:r>
          </w:p>
        </w:tc>
      </w:tr>
      <w:tr w14:paraId="25E0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4" w:hRule="atLeast"/>
        </w:trPr>
        <w:tc>
          <w:tcPr>
            <w:tcW w:w="637" w:type="dxa"/>
            <w:vMerge w:val="continue"/>
            <w:noWrap w:val="0"/>
            <w:vAlign w:val="center"/>
          </w:tcPr>
          <w:p w14:paraId="2D3199EE">
            <w:pPr>
              <w:spacing w:line="240" w:lineRule="atLeast"/>
              <w:jc w:val="center"/>
              <w:rPr>
                <w:rFonts w:hint="eastAsia" w:ascii="仿宋_GB2312" w:hAnsi="仿宋_GB2312" w:eastAsia="仿宋_GB2312" w:cs="仿宋_GB2312"/>
                <w:bCs/>
                <w:color w:val="000000"/>
                <w:sz w:val="24"/>
                <w:szCs w:val="24"/>
                <w:highlight w:val="none"/>
                <w:lang w:val="en-US"/>
              </w:rPr>
            </w:pPr>
          </w:p>
        </w:tc>
        <w:tc>
          <w:tcPr>
            <w:tcW w:w="786" w:type="dxa"/>
            <w:vMerge w:val="continue"/>
            <w:noWrap w:val="0"/>
            <w:vAlign w:val="center"/>
          </w:tcPr>
          <w:p w14:paraId="0F5AB0F0">
            <w:pPr>
              <w:jc w:val="center"/>
              <w:rPr>
                <w:rFonts w:hint="eastAsia" w:ascii="仿宋_GB2312" w:hAnsi="仿宋_GB2312" w:eastAsia="仿宋_GB2312" w:cs="仿宋_GB2312"/>
                <w:bCs/>
                <w:color w:val="000000"/>
                <w:sz w:val="24"/>
                <w:szCs w:val="24"/>
                <w:highlight w:val="none"/>
                <w:lang w:val="en-US"/>
              </w:rPr>
            </w:pPr>
          </w:p>
        </w:tc>
        <w:tc>
          <w:tcPr>
            <w:tcW w:w="2211" w:type="dxa"/>
            <w:noWrap w:val="0"/>
            <w:vAlign w:val="center"/>
          </w:tcPr>
          <w:p w14:paraId="5FD04120">
            <w:pPr>
              <w:pStyle w:val="17"/>
              <w:tabs>
                <w:tab w:val="left" w:leader="underscore" w:pos="319"/>
              </w:tabs>
              <w:spacing w:before="0" w:after="0" w:line="300" w:lineRule="exact"/>
              <w:ind w:left="105" w:leftChars="50" w:right="105" w:rightChars="50"/>
              <w:rPr>
                <w:rFonts w:hint="eastAsia" w:ascii="仿宋_GB2312" w:hAnsi="仿宋_GB2312" w:eastAsia="仿宋_GB2312" w:cs="仿宋_GB2312"/>
                <w:color w:val="000000"/>
                <w:sz w:val="24"/>
                <w:szCs w:val="24"/>
                <w:highlight w:val="none"/>
                <w:shd w:val="clear" w:color="auto" w:fill="auto"/>
                <w:lang w:val="en-US" w:eastAsia="zh-CN" w:bidi="ar-SA"/>
              </w:rPr>
            </w:pPr>
            <w:r>
              <w:rPr>
                <w:rFonts w:hint="eastAsia" w:ascii="仿宋_GB2312" w:hAnsi="仿宋_GB2312" w:eastAsia="仿宋_GB2312" w:cs="仿宋_GB2312"/>
                <w:color w:val="000000"/>
                <w:kern w:val="0"/>
                <w:sz w:val="24"/>
                <w:szCs w:val="24"/>
                <w:highlight w:val="none"/>
                <w:shd w:val="clear" w:color="auto" w:fill="auto"/>
                <w:lang w:val="en-US" w:eastAsia="zh-CN" w:bidi="ar-SA"/>
              </w:rPr>
              <w:t>科研开发和技术创新能力</w:t>
            </w:r>
          </w:p>
        </w:tc>
        <w:tc>
          <w:tcPr>
            <w:tcW w:w="617" w:type="dxa"/>
            <w:noWrap w:val="0"/>
            <w:vAlign w:val="center"/>
          </w:tcPr>
          <w:p w14:paraId="76169229">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4</w:t>
            </w:r>
          </w:p>
        </w:tc>
        <w:tc>
          <w:tcPr>
            <w:tcW w:w="4779" w:type="dxa"/>
            <w:noWrap w:val="0"/>
            <w:vAlign w:val="center"/>
          </w:tcPr>
          <w:p w14:paraId="23CDEDC7">
            <w:pPr>
              <w:spacing w:line="240" w:lineRule="atLeast"/>
              <w:ind w:left="105" w:leftChars="50" w:right="105" w:rightChars="5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rPr>
              <w:t>投标人曾获得与项目实施有关的国家级工法、专利（发明专利或实用新型专利）</w:t>
            </w:r>
            <w:r>
              <w:rPr>
                <w:rFonts w:hint="eastAsia" w:ascii="仿宋_GB2312" w:hAnsi="仿宋_GB2312" w:eastAsia="仿宋_GB2312" w:cs="仿宋_GB2312"/>
                <w:color w:val="000000"/>
                <w:sz w:val="24"/>
                <w:szCs w:val="24"/>
                <w:highlight w:val="none"/>
                <w:lang w:eastAsia="zh-CN"/>
              </w:rPr>
              <w:t>，</w:t>
            </w:r>
            <w:r>
              <w:rPr>
                <w:rFonts w:hint="eastAsia" w:ascii="仿宋_GB2312" w:hAnsi="仿宋_GB2312" w:eastAsia="仿宋_GB2312" w:cs="仿宋_GB2312"/>
                <w:color w:val="000000"/>
                <w:sz w:val="24"/>
                <w:szCs w:val="24"/>
                <w:highlight w:val="none"/>
              </w:rPr>
              <w:t>国家科学技术进步奖、省级科学技术进步奖二等奖及以上、国家级优质工程奖项（仅限国家优质工程奖、中国建设工程鲁班奖、中国土木工程詹天佑奖），主编或参编过的国家、行业或地方标准的，每有一项加2分，最多加4分。</w:t>
            </w:r>
          </w:p>
        </w:tc>
      </w:tr>
      <w:tr w14:paraId="21A6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87" w:hRule="atLeast"/>
        </w:trPr>
        <w:tc>
          <w:tcPr>
            <w:tcW w:w="637" w:type="dxa"/>
            <w:noWrap w:val="0"/>
            <w:vAlign w:val="center"/>
          </w:tcPr>
          <w:p w14:paraId="27BE84D8">
            <w:pPr>
              <w:spacing w:line="240" w:lineRule="atLeast"/>
              <w:jc w:val="center"/>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color w:val="000000"/>
                <w:sz w:val="24"/>
                <w:szCs w:val="24"/>
                <w:highlight w:val="none"/>
                <w:lang w:val="en-US" w:eastAsia="zh-CN"/>
              </w:rPr>
              <w:t>履约信誉</w:t>
            </w:r>
          </w:p>
        </w:tc>
        <w:tc>
          <w:tcPr>
            <w:tcW w:w="786" w:type="dxa"/>
            <w:noWrap w:val="0"/>
            <w:vAlign w:val="center"/>
          </w:tcPr>
          <w:p w14:paraId="6C5E9B39">
            <w:pPr>
              <w:jc w:val="center"/>
              <w:rPr>
                <w:rFonts w:hint="eastAsia" w:ascii="仿宋_GB2312" w:hAnsi="仿宋_GB2312" w:eastAsia="仿宋_GB2312" w:cs="仿宋_GB2312"/>
                <w:bCs/>
                <w:color w:val="000000"/>
                <w:sz w:val="24"/>
                <w:szCs w:val="24"/>
                <w:highlight w:val="none"/>
              </w:rPr>
            </w:pPr>
            <w:r>
              <w:rPr>
                <w:rFonts w:hint="eastAsia" w:ascii="仿宋_GB2312" w:hAnsi="仿宋_GB2312" w:eastAsia="仿宋_GB2312" w:cs="仿宋_GB2312"/>
                <w:bCs/>
                <w:color w:val="000000"/>
                <w:sz w:val="24"/>
                <w:szCs w:val="24"/>
                <w:highlight w:val="none"/>
                <w:lang w:val="en-US" w:eastAsia="zh-CN"/>
              </w:rPr>
              <w:t>15</w:t>
            </w:r>
            <w:r>
              <w:rPr>
                <w:rFonts w:hint="eastAsia" w:ascii="仿宋_GB2312" w:hAnsi="仿宋_GB2312" w:eastAsia="仿宋_GB2312" w:cs="仿宋_GB2312"/>
                <w:bCs/>
                <w:color w:val="000000"/>
                <w:sz w:val="24"/>
                <w:szCs w:val="24"/>
                <w:highlight w:val="none"/>
              </w:rPr>
              <w:t>分</w:t>
            </w:r>
          </w:p>
        </w:tc>
        <w:tc>
          <w:tcPr>
            <w:tcW w:w="2211" w:type="dxa"/>
            <w:noWrap w:val="0"/>
            <w:vAlign w:val="center"/>
          </w:tcPr>
          <w:p w14:paraId="78A9EF65">
            <w:pPr>
              <w:pStyle w:val="18"/>
              <w:spacing w:line="240" w:lineRule="atLeast"/>
              <w:jc w:val="center"/>
              <w:rPr>
                <w:rFonts w:hint="eastAsia" w:ascii="仿宋_GB2312" w:hAnsi="仿宋_GB2312" w:eastAsia="仿宋_GB2312" w:cs="仿宋_GB2312"/>
                <w:color w:val="000000"/>
                <w:sz w:val="24"/>
                <w:szCs w:val="24"/>
                <w:highlight w:val="none"/>
                <w:shd w:val="clear" w:color="auto" w:fill="auto"/>
                <w:lang w:val="en-US" w:eastAsia="zh-CN"/>
              </w:rPr>
            </w:pPr>
            <w:r>
              <w:rPr>
                <w:rFonts w:hint="eastAsia" w:ascii="仿宋_GB2312" w:hAnsi="仿宋_GB2312" w:eastAsia="仿宋_GB2312" w:cs="仿宋_GB2312"/>
                <w:color w:val="000000"/>
                <w:sz w:val="24"/>
                <w:szCs w:val="24"/>
                <w:highlight w:val="none"/>
                <w:shd w:val="clear" w:color="auto" w:fill="auto"/>
                <w:lang w:val="en-US" w:eastAsia="zh-CN"/>
              </w:rPr>
              <w:t>信用评价</w:t>
            </w:r>
          </w:p>
        </w:tc>
        <w:tc>
          <w:tcPr>
            <w:tcW w:w="617" w:type="dxa"/>
            <w:noWrap w:val="0"/>
            <w:vAlign w:val="center"/>
          </w:tcPr>
          <w:p w14:paraId="722565FB">
            <w:pPr>
              <w:jc w:val="center"/>
              <w:rPr>
                <w:rFonts w:hint="eastAsia" w:ascii="仿宋_GB2312" w:hAnsi="仿宋_GB2312" w:eastAsia="仿宋_GB2312" w:cs="仿宋_GB2312"/>
                <w:bCs/>
                <w:color w:val="000000"/>
                <w:sz w:val="24"/>
                <w:szCs w:val="24"/>
                <w:highlight w:val="none"/>
                <w:lang w:val="en-US" w:eastAsia="zh-CN"/>
              </w:rPr>
            </w:pPr>
            <w:r>
              <w:rPr>
                <w:rFonts w:hint="eastAsia" w:ascii="仿宋_GB2312" w:hAnsi="仿宋_GB2312" w:eastAsia="仿宋_GB2312" w:cs="仿宋_GB2312"/>
                <w:bCs/>
                <w:color w:val="000000"/>
                <w:sz w:val="24"/>
                <w:szCs w:val="24"/>
                <w:highlight w:val="none"/>
                <w:lang w:val="en-US" w:eastAsia="zh-CN"/>
              </w:rPr>
              <w:t>15</w:t>
            </w:r>
          </w:p>
        </w:tc>
        <w:tc>
          <w:tcPr>
            <w:tcW w:w="4779" w:type="dxa"/>
            <w:noWrap w:val="0"/>
            <w:vAlign w:val="center"/>
          </w:tcPr>
          <w:p w14:paraId="19DC28AC">
            <w:pPr>
              <w:spacing w:line="240" w:lineRule="atLeast"/>
              <w:ind w:right="105" w:rightChars="5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根据陕西省交通运输厅《关于陕西省2024年度公路建设市场从业企业信用评价结果应用的通知》施工企业信用评价结果：按照施工企业的信用评价等级进行评分，信用评价等级为AA级企业得15分；信用评价等级为A级企业得12分；信用评价等级为B级企业得9分；信用评价等级为C级企业得6分；信用评价等级为D级企业限制进入我省公路建设市场。</w:t>
            </w:r>
          </w:p>
          <w:p w14:paraId="0ABF0F32">
            <w:pPr>
              <w:spacing w:line="240" w:lineRule="atLeast"/>
              <w:ind w:right="105" w:rightChars="5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2.对具有省厅2023年度信用评价等级而无2024年度信用评价等级的企业，其2023年度信用评价等级延续1年。</w:t>
            </w:r>
          </w:p>
          <w:p w14:paraId="17B377C0">
            <w:pPr>
              <w:spacing w:line="240" w:lineRule="atLeast"/>
              <w:ind w:right="105" w:rightChars="50"/>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延续陕西省交通运输厅上一年信用评价结果后仍无信用评价结果的，按照全国综合评价结果对待。初次进入陕西省的从业企业，按照全国综合信用评价等级确定。无全国综合评价结果的企业，且无不良信用行为，按A级对待。</w:t>
            </w:r>
          </w:p>
        </w:tc>
      </w:tr>
      <w:tr w14:paraId="2F4D5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trPr>
        <w:tc>
          <w:tcPr>
            <w:tcW w:w="637" w:type="dxa"/>
            <w:vMerge w:val="restart"/>
            <w:noWrap w:val="0"/>
            <w:vAlign w:val="center"/>
          </w:tcPr>
          <w:p w14:paraId="2D2D7346">
            <w:pPr>
              <w:spacing w:line="240" w:lineRule="atLeas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业绩</w:t>
            </w:r>
          </w:p>
        </w:tc>
        <w:tc>
          <w:tcPr>
            <w:tcW w:w="786" w:type="dxa"/>
            <w:vMerge w:val="restart"/>
            <w:noWrap w:val="0"/>
            <w:vAlign w:val="center"/>
          </w:tcPr>
          <w:p w14:paraId="4869517D">
            <w:pPr>
              <w:jc w:val="center"/>
              <w:rPr>
                <w:rFonts w:hint="eastAsia" w:ascii="仿宋_GB2312" w:hAnsi="仿宋_GB2312" w:eastAsia="仿宋_GB2312" w:cs="仿宋_GB2312"/>
                <w:bCs/>
                <w:color w:val="000000"/>
                <w:sz w:val="24"/>
                <w:szCs w:val="24"/>
                <w:highlight w:val="none"/>
                <w:lang w:val="en-US" w:eastAsia="zh-CN"/>
              </w:rPr>
            </w:pPr>
            <w:r>
              <w:rPr>
                <w:rFonts w:hint="eastAsia" w:ascii="仿宋_GB2312" w:hAnsi="仿宋_GB2312" w:eastAsia="仿宋_GB2312" w:cs="仿宋_GB2312"/>
                <w:bCs/>
                <w:color w:val="000000"/>
                <w:sz w:val="24"/>
                <w:szCs w:val="24"/>
                <w:highlight w:val="none"/>
                <w:lang w:val="en-US" w:eastAsia="zh-CN"/>
              </w:rPr>
              <w:t>10分</w:t>
            </w:r>
          </w:p>
        </w:tc>
        <w:tc>
          <w:tcPr>
            <w:tcW w:w="2211" w:type="dxa"/>
            <w:noWrap w:val="0"/>
            <w:vAlign w:val="center"/>
          </w:tcPr>
          <w:p w14:paraId="556BA852">
            <w:pPr>
              <w:pStyle w:val="17"/>
              <w:tabs>
                <w:tab w:val="left" w:leader="underscore" w:pos="319"/>
              </w:tabs>
              <w:spacing w:before="0" w:after="0" w:line="300" w:lineRule="exact"/>
              <w:ind w:left="105" w:leftChars="50" w:right="105" w:rightChars="50"/>
              <w:rPr>
                <w:rFonts w:hint="eastAsia" w:ascii="仿宋_GB2312" w:hAnsi="仿宋_GB2312" w:eastAsia="仿宋_GB2312" w:cs="仿宋_GB2312"/>
                <w:color w:val="000000"/>
                <w:kern w:val="0"/>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满足资格审查条件</w:t>
            </w:r>
          </w:p>
        </w:tc>
        <w:tc>
          <w:tcPr>
            <w:tcW w:w="617" w:type="dxa"/>
            <w:noWrap w:val="0"/>
            <w:vAlign w:val="center"/>
          </w:tcPr>
          <w:p w14:paraId="4598DC43">
            <w:pPr>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6</w:t>
            </w:r>
          </w:p>
        </w:tc>
        <w:tc>
          <w:tcPr>
            <w:tcW w:w="4779" w:type="dxa"/>
            <w:noWrap w:val="0"/>
            <w:vAlign w:val="center"/>
          </w:tcPr>
          <w:p w14:paraId="33F0ADA6">
            <w:pPr>
              <w:spacing w:line="240" w:lineRule="atLeast"/>
              <w:ind w:left="105" w:leftChars="50" w:right="105" w:rightChars="50"/>
              <w:jc w:val="left"/>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通过资格评审得6分。</w:t>
            </w:r>
          </w:p>
        </w:tc>
      </w:tr>
      <w:tr w14:paraId="13FFE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97" w:hRule="atLeast"/>
        </w:trPr>
        <w:tc>
          <w:tcPr>
            <w:tcW w:w="637" w:type="dxa"/>
            <w:vMerge w:val="continue"/>
            <w:noWrap w:val="0"/>
            <w:vAlign w:val="center"/>
          </w:tcPr>
          <w:p w14:paraId="7715901F">
            <w:pPr>
              <w:spacing w:line="240" w:lineRule="atLeast"/>
              <w:jc w:val="center"/>
              <w:rPr>
                <w:rFonts w:hint="eastAsia" w:ascii="仿宋_GB2312" w:hAnsi="仿宋_GB2312" w:eastAsia="仿宋_GB2312" w:cs="仿宋_GB2312"/>
                <w:color w:val="000000"/>
                <w:sz w:val="24"/>
                <w:szCs w:val="24"/>
                <w:highlight w:val="none"/>
                <w:lang w:val="en-US" w:eastAsia="zh-CN"/>
              </w:rPr>
            </w:pPr>
          </w:p>
        </w:tc>
        <w:tc>
          <w:tcPr>
            <w:tcW w:w="786" w:type="dxa"/>
            <w:vMerge w:val="continue"/>
            <w:noWrap w:val="0"/>
            <w:vAlign w:val="center"/>
          </w:tcPr>
          <w:p w14:paraId="0D2A8ABB">
            <w:pPr>
              <w:jc w:val="center"/>
              <w:rPr>
                <w:rFonts w:hint="eastAsia" w:ascii="仿宋_GB2312" w:hAnsi="仿宋_GB2312" w:eastAsia="仿宋_GB2312" w:cs="仿宋_GB2312"/>
                <w:bCs/>
                <w:color w:val="000000"/>
                <w:sz w:val="24"/>
                <w:szCs w:val="24"/>
                <w:highlight w:val="none"/>
                <w:lang w:val="en-US" w:eastAsia="zh-CN"/>
              </w:rPr>
            </w:pPr>
          </w:p>
        </w:tc>
        <w:tc>
          <w:tcPr>
            <w:tcW w:w="2211" w:type="dxa"/>
            <w:noWrap w:val="0"/>
            <w:vAlign w:val="center"/>
          </w:tcPr>
          <w:p w14:paraId="620CC83D">
            <w:pPr>
              <w:pStyle w:val="18"/>
              <w:spacing w:line="240" w:lineRule="atLeast"/>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工程业绩</w:t>
            </w:r>
          </w:p>
        </w:tc>
        <w:tc>
          <w:tcPr>
            <w:tcW w:w="617" w:type="dxa"/>
            <w:noWrap w:val="0"/>
            <w:vAlign w:val="center"/>
          </w:tcPr>
          <w:p w14:paraId="02A415FD">
            <w:pPr>
              <w:jc w:val="center"/>
              <w:rPr>
                <w:rFonts w:hint="eastAsia" w:ascii="仿宋_GB2312" w:hAnsi="仿宋_GB2312" w:eastAsia="仿宋_GB2312" w:cs="仿宋_GB2312"/>
                <w:bCs/>
                <w:color w:val="000000"/>
                <w:sz w:val="24"/>
                <w:szCs w:val="24"/>
                <w:highlight w:val="none"/>
                <w:lang w:val="en-US" w:eastAsia="zh-CN"/>
              </w:rPr>
            </w:pPr>
            <w:r>
              <w:rPr>
                <w:rFonts w:hint="eastAsia" w:ascii="仿宋_GB2312" w:hAnsi="仿宋_GB2312" w:eastAsia="仿宋_GB2312" w:cs="仿宋_GB2312"/>
                <w:bCs/>
                <w:color w:val="000000"/>
                <w:sz w:val="24"/>
                <w:szCs w:val="24"/>
                <w:highlight w:val="none"/>
                <w:lang w:val="en-US" w:eastAsia="zh-CN"/>
              </w:rPr>
              <w:t>4</w:t>
            </w:r>
          </w:p>
        </w:tc>
        <w:tc>
          <w:tcPr>
            <w:tcW w:w="4779" w:type="dxa"/>
            <w:noWrap w:val="0"/>
            <w:vAlign w:val="center"/>
          </w:tcPr>
          <w:p w14:paraId="56A9C6FD">
            <w:pPr>
              <w:pStyle w:val="18"/>
              <w:spacing w:line="240" w:lineRule="atLeast"/>
              <w:ind w:right="105" w:rightChars="50"/>
              <w:jc w:val="left"/>
              <w:rPr>
                <w:rFonts w:hint="eastAsia" w:ascii="仿宋_GB2312" w:hAnsi="仿宋_GB2312" w:eastAsia="仿宋_GB2312" w:cs="仿宋_GB2312"/>
                <w:color w:val="000000"/>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bidi="ar-SA"/>
              </w:rPr>
              <w:t>满足资格审查条件之外，</w:t>
            </w:r>
          </w:p>
          <w:p w14:paraId="290444A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226" w:lineRule="auto"/>
              <w:jc w:val="both"/>
              <w:textAlignment w:val="baseline"/>
              <w:rPr>
                <w:rFonts w:hint="eastAsia"/>
                <w:sz w:val="24"/>
                <w:szCs w:val="24"/>
                <w:lang w:val="en-US" w:eastAsia="zh-CN"/>
              </w:rPr>
            </w:pPr>
            <w:r>
              <w:rPr>
                <w:rFonts w:hint="eastAsia" w:ascii="仿宋_GB2312" w:hAnsi="仿宋_GB2312" w:eastAsia="仿宋_GB2312" w:cs="仿宋_GB2312"/>
                <w:sz w:val="24"/>
                <w:szCs w:val="24"/>
                <w:highlight w:val="none"/>
                <w:lang w:val="en-US" w:eastAsia="zh-CN"/>
              </w:rPr>
              <w:t>2020年1月1日至投标截止时间（以交工验收时间为准），每增加1个新建高速公路项目（须包含隧道土建工程）施工合同段业绩加2分，此项最多加4分。</w:t>
            </w:r>
          </w:p>
        </w:tc>
      </w:tr>
    </w:tbl>
    <w:p w14:paraId="6A0EDA46">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p>
    <w:p w14:paraId="70465229">
      <w:pPr>
        <w:pStyle w:val="17"/>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评标办法正文详见中华人民共和国交通运输部《公路工程标准施工招标文件（2018年版·第一册）》相应内容。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DC71B"/>
    <w:multiLevelType w:val="singleLevel"/>
    <w:tmpl w:val="44EDC71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MTdhNDcwNmE1ZjAyNzZhNzY5MjhkNjU5MGYzZDAifQ=="/>
  </w:docVars>
  <w:rsids>
    <w:rsidRoot w:val="001A2815"/>
    <w:rsid w:val="000D6F75"/>
    <w:rsid w:val="00103056"/>
    <w:rsid w:val="001A2815"/>
    <w:rsid w:val="001C5CF4"/>
    <w:rsid w:val="00226164"/>
    <w:rsid w:val="0029689A"/>
    <w:rsid w:val="0032466E"/>
    <w:rsid w:val="004C42B6"/>
    <w:rsid w:val="00500606"/>
    <w:rsid w:val="0051577F"/>
    <w:rsid w:val="005C5079"/>
    <w:rsid w:val="007B028F"/>
    <w:rsid w:val="00851856"/>
    <w:rsid w:val="008D314B"/>
    <w:rsid w:val="00933BB3"/>
    <w:rsid w:val="00A24E34"/>
    <w:rsid w:val="00F419A9"/>
    <w:rsid w:val="01957410"/>
    <w:rsid w:val="01BB4A92"/>
    <w:rsid w:val="022B7332"/>
    <w:rsid w:val="02591BB5"/>
    <w:rsid w:val="028D3F78"/>
    <w:rsid w:val="06C84AF2"/>
    <w:rsid w:val="07A36413"/>
    <w:rsid w:val="09483E0B"/>
    <w:rsid w:val="0BB363C0"/>
    <w:rsid w:val="0EFE2F29"/>
    <w:rsid w:val="11A46C3B"/>
    <w:rsid w:val="12F02D63"/>
    <w:rsid w:val="144E2637"/>
    <w:rsid w:val="15123B9A"/>
    <w:rsid w:val="18267D07"/>
    <w:rsid w:val="1DE47D7F"/>
    <w:rsid w:val="1FC97167"/>
    <w:rsid w:val="20397E92"/>
    <w:rsid w:val="209B5DD3"/>
    <w:rsid w:val="212B7742"/>
    <w:rsid w:val="23075673"/>
    <w:rsid w:val="24F35F3C"/>
    <w:rsid w:val="2B3312C8"/>
    <w:rsid w:val="2DFF57B9"/>
    <w:rsid w:val="31B446C5"/>
    <w:rsid w:val="32BC4336"/>
    <w:rsid w:val="33466D48"/>
    <w:rsid w:val="33B03F3F"/>
    <w:rsid w:val="38B62526"/>
    <w:rsid w:val="397909D4"/>
    <w:rsid w:val="39B10FB5"/>
    <w:rsid w:val="39F747A2"/>
    <w:rsid w:val="3A4B6C9E"/>
    <w:rsid w:val="3A59110D"/>
    <w:rsid w:val="3C73605C"/>
    <w:rsid w:val="3CCD3A30"/>
    <w:rsid w:val="40F9559D"/>
    <w:rsid w:val="442F209C"/>
    <w:rsid w:val="479B4231"/>
    <w:rsid w:val="4A61008F"/>
    <w:rsid w:val="4B2A31AB"/>
    <w:rsid w:val="4DF3558D"/>
    <w:rsid w:val="4EB01994"/>
    <w:rsid w:val="4F7412C2"/>
    <w:rsid w:val="4FA3639D"/>
    <w:rsid w:val="50587FB2"/>
    <w:rsid w:val="50A54EC3"/>
    <w:rsid w:val="50DC7FD0"/>
    <w:rsid w:val="51460C6B"/>
    <w:rsid w:val="52425A3B"/>
    <w:rsid w:val="52873D72"/>
    <w:rsid w:val="55E16F26"/>
    <w:rsid w:val="58127A09"/>
    <w:rsid w:val="59B93E25"/>
    <w:rsid w:val="5B6548CF"/>
    <w:rsid w:val="5D3F0916"/>
    <w:rsid w:val="5EAC7460"/>
    <w:rsid w:val="640E424B"/>
    <w:rsid w:val="645F3209"/>
    <w:rsid w:val="653A3414"/>
    <w:rsid w:val="654F05D5"/>
    <w:rsid w:val="69442659"/>
    <w:rsid w:val="6A147A78"/>
    <w:rsid w:val="6C915C0E"/>
    <w:rsid w:val="700256D7"/>
    <w:rsid w:val="73E34932"/>
    <w:rsid w:val="75062CA1"/>
    <w:rsid w:val="75AB4533"/>
    <w:rsid w:val="77246BBA"/>
    <w:rsid w:val="781D61B9"/>
    <w:rsid w:val="78AB16AF"/>
    <w:rsid w:val="7B65786C"/>
    <w:rsid w:val="7D8F372A"/>
    <w:rsid w:val="7FB06EB7"/>
    <w:rsid w:val="7FF24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0"/>
    <w:pPr>
      <w:keepNext/>
      <w:keepLines/>
      <w:spacing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next w:val="1"/>
    <w:qFormat/>
    <w:uiPriority w:val="0"/>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qFormat/>
    <w:uiPriority w:val="99"/>
    <w:rPr>
      <w:sz w:val="21"/>
      <w:szCs w:val="21"/>
    </w:rPr>
  </w:style>
  <w:style w:type="character" w:customStyle="1" w:styleId="12">
    <w:name w:val="页眉 字符"/>
    <w:basedOn w:val="10"/>
    <w:link w:val="7"/>
    <w:qFormat/>
    <w:uiPriority w:val="0"/>
    <w:rPr>
      <w:rFonts w:ascii="Calibri" w:hAnsi="Calibri" w:eastAsia="宋体" w:cs="Times New Roman"/>
      <w:kern w:val="2"/>
      <w:sz w:val="18"/>
      <w:szCs w:val="18"/>
    </w:rPr>
  </w:style>
  <w:style w:type="character" w:customStyle="1" w:styleId="13">
    <w:name w:val="页脚 字符"/>
    <w:basedOn w:val="10"/>
    <w:link w:val="6"/>
    <w:qFormat/>
    <w:uiPriority w:val="0"/>
    <w:rPr>
      <w:rFonts w:ascii="Calibri" w:hAnsi="Calibri" w:eastAsia="宋体" w:cs="Times New Roman"/>
      <w:kern w:val="2"/>
      <w:sz w:val="18"/>
      <w:szCs w:val="18"/>
    </w:rPr>
  </w:style>
  <w:style w:type="character" w:customStyle="1" w:styleId="14">
    <w:name w:val="标题 3 字符"/>
    <w:basedOn w:val="10"/>
    <w:link w:val="2"/>
    <w:qFormat/>
    <w:uiPriority w:val="0"/>
    <w:rPr>
      <w:rFonts w:ascii="Calibri" w:hAnsi="Calibri" w:eastAsia="宋体" w:cs="Times New Roman"/>
      <w:b/>
      <w:bCs/>
      <w:kern w:val="2"/>
      <w:sz w:val="32"/>
      <w:szCs w:val="32"/>
    </w:rPr>
  </w:style>
  <w:style w:type="paragraph" w:customStyle="1" w:styleId="15">
    <w:name w:val="Table Text"/>
    <w:basedOn w:val="1"/>
    <w:semiHidden/>
    <w:qFormat/>
    <w:uiPriority w:val="0"/>
    <w:rPr>
      <w:rFonts w:ascii="仿宋" w:hAnsi="仿宋" w:eastAsia="仿宋" w:cs="仿宋"/>
      <w:sz w:val="20"/>
      <w:szCs w:val="20"/>
      <w:lang w:eastAsia="en-US"/>
    </w:rPr>
  </w:style>
  <w:style w:type="table" w:customStyle="1" w:styleId="16">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7">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8">
    <w:name w:val="Table Paragraph"/>
    <w:basedOn w:val="1"/>
    <w:qFormat/>
    <w:uiPriority w:val="0"/>
    <w:pPr>
      <w:jc w:val="left"/>
    </w:pPr>
    <w:rPr>
      <w:kern w:val="0"/>
      <w:sz w:val="22"/>
      <w:szCs w:val="22"/>
      <w:lang w:eastAsia="en-US"/>
    </w:rPr>
  </w:style>
  <w:style w:type="paragraph" w:customStyle="1" w:styleId="19">
    <w:name w:val="正文文本11"/>
    <w:basedOn w:val="1"/>
    <w:link w:val="21"/>
    <w:autoRedefine/>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20">
    <w:name w:val="正文文本 + 12.5 pt"/>
    <w:basedOn w:val="21"/>
    <w:autoRedefine/>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21">
    <w:name w:val="正文文本_"/>
    <w:basedOn w:val="10"/>
    <w:link w:val="19"/>
    <w:autoRedefine/>
    <w:qFormat/>
    <w:uiPriority w:val="0"/>
    <w:rPr>
      <w:rFonts w:ascii="宋体" w:hAnsi="宋体" w:eastAsia="宋体" w:cs="宋体"/>
      <w:sz w:val="23"/>
      <w:szCs w:val="23"/>
    </w:rPr>
  </w:style>
  <w:style w:type="character" w:customStyle="1" w:styleId="22">
    <w:name w:val="正文文本 + MS Gothic"/>
    <w:basedOn w:val="21"/>
    <w:autoRedefine/>
    <w:qFormat/>
    <w:uiPriority w:val="0"/>
    <w:rPr>
      <w:rFonts w:ascii="MS Gothic" w:hAnsi="MS Gothic" w:eastAsia="MS Gothic" w:cs="MS Gothic"/>
      <w:color w:val="000000"/>
      <w:spacing w:val="0"/>
      <w:w w:val="100"/>
      <w:position w:val="0"/>
      <w:sz w:val="15"/>
      <w:szCs w:val="15"/>
      <w:shd w:val="clear" w:color="auto" w:fill="FFFFFF"/>
      <w:lang w:val="en-US"/>
    </w:rPr>
  </w:style>
  <w:style w:type="paragraph" w:customStyle="1" w:styleId="23">
    <w:name w:val="List Paragraph"/>
    <w:basedOn w:val="1"/>
    <w:qFormat/>
    <w:uiPriority w:val="99"/>
    <w:pPr>
      <w:ind w:left="223" w:firstLine="480"/>
    </w:pPr>
  </w:style>
  <w:style w:type="character" w:customStyle="1" w:styleId="24">
    <w:name w:val="正文文本 + 10 pt2"/>
    <w:qFormat/>
    <w:uiPriority w:val="0"/>
    <w:rPr>
      <w:rFonts w:ascii="黑体" w:hAnsi="黑体" w:cs="黑体"/>
      <w:color w:val="000000"/>
      <w:kern w:val="1"/>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5498</Words>
  <Characters>5765</Characters>
  <Lines>61</Lines>
  <Paragraphs>17</Paragraphs>
  <TotalTime>10</TotalTime>
  <ScaleCrop>false</ScaleCrop>
  <LinksUpToDate>false</LinksUpToDate>
  <CharactersWithSpaces>5798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又是快雪时晴</cp:lastModifiedBy>
  <cp:lastPrinted>2024-11-07T01:57:00Z</cp:lastPrinted>
  <dcterms:modified xsi:type="dcterms:W3CDTF">2025-12-18T07:57:13Z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4F37FF6758CB4F3F9D72BF7205E9D46D_13</vt:lpwstr>
  </property>
  <property fmtid="{D5CDD505-2E9C-101B-9397-08002B2CF9AE}" pid="4" name="KSOTemplateDocerSaveRecord">
    <vt:lpwstr>eyJoZGlkIjoiY2QxMTdhNDcwNmE1ZjAyNzZhNzY5MjhkNjU5MGYzZDAiLCJ1c2VySWQiOiIyNjc1NjI5ODkifQ==</vt:lpwstr>
  </property>
</Properties>
</file>