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60CB3">
      <w:pPr>
        <w:tabs>
          <w:tab w:val="left" w:pos="1778"/>
        </w:tabs>
        <w:spacing w:line="760" w:lineRule="exact"/>
        <w:jc w:val="center"/>
        <w:rPr>
          <w:rFonts w:hint="eastAsia" w:ascii="Times New Roman" w:hAnsiTheme="minorEastAsia" w:eastAsiaTheme="minorEastAsia"/>
          <w:b/>
          <w:sz w:val="36"/>
          <w:szCs w:val="36"/>
          <w:lang w:val="en-US" w:eastAsia="zh-CN"/>
        </w:rPr>
      </w:pPr>
      <w:r>
        <w:rPr>
          <w:rFonts w:hint="eastAsia" w:ascii="Times New Roman" w:hAnsiTheme="minorEastAsia" w:eastAsiaTheme="minorEastAsia"/>
          <w:b/>
          <w:sz w:val="36"/>
          <w:szCs w:val="36"/>
          <w:lang w:val="en-US" w:eastAsia="zh-CN"/>
        </w:rPr>
        <w:t>G5京昆高速西安至陕川界段安全韧性提升工程</w:t>
      </w:r>
    </w:p>
    <w:p w14:paraId="69D30C4D">
      <w:pPr>
        <w:tabs>
          <w:tab w:val="left" w:pos="1778"/>
        </w:tabs>
        <w:spacing w:line="760" w:lineRule="exact"/>
        <w:jc w:val="center"/>
        <w:rPr>
          <w:rFonts w:hint="eastAsia" w:ascii="Times New Roman" w:hAnsiTheme="minorEastAsia" w:eastAsiaTheme="minorEastAsia"/>
          <w:b/>
          <w:sz w:val="36"/>
          <w:szCs w:val="36"/>
        </w:rPr>
      </w:pPr>
      <w:r>
        <w:rPr>
          <w:rFonts w:hint="eastAsia" w:ascii="Times New Roman" w:hAnsiTheme="minorEastAsia" w:eastAsiaTheme="minorEastAsia"/>
          <w:b/>
          <w:sz w:val="36"/>
          <w:szCs w:val="36"/>
          <w:lang w:val="en-US" w:eastAsia="zh-CN"/>
        </w:rPr>
        <w:t>(筒车湾至棋盘关段)施工</w:t>
      </w:r>
      <w:r>
        <w:rPr>
          <w:rFonts w:ascii="Times New Roman" w:hAnsiTheme="minorEastAsia" w:eastAsiaTheme="minorEastAsia"/>
          <w:b/>
          <w:sz w:val="36"/>
          <w:szCs w:val="36"/>
        </w:rPr>
        <w:t>招标</w:t>
      </w:r>
      <w:r>
        <w:rPr>
          <w:rFonts w:hint="eastAsia" w:ascii="Times New Roman" w:hAnsiTheme="minorEastAsia" w:eastAsiaTheme="minorEastAsia"/>
          <w:b/>
          <w:sz w:val="36"/>
          <w:szCs w:val="36"/>
        </w:rPr>
        <w:t>关键内容公示</w:t>
      </w:r>
    </w:p>
    <w:p w14:paraId="10D51995">
      <w:pPr>
        <w:spacing w:line="360" w:lineRule="auto"/>
        <w:rPr>
          <w:rFonts w:ascii="Times New Roman" w:hAnsi="Times New Roman" w:eastAsiaTheme="minorEastAsia"/>
          <w:sz w:val="24"/>
        </w:rPr>
      </w:pPr>
      <w:r>
        <w:rPr>
          <w:rFonts w:hint="eastAsia" w:ascii="黑体" w:hAnsi="黑体" w:eastAsia="黑体" w:cs="黑体"/>
          <w:sz w:val="32"/>
          <w:szCs w:val="32"/>
        </w:rPr>
        <w:t>一、项目概况</w:t>
      </w:r>
    </w:p>
    <w:p w14:paraId="5AA38F2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G5京昆高速西安至陕川界段安全韧性提升工程(筒车湾至棋盘关段)路线起于安康市宁陕县筒车湾镇，经洋县、城固、南郑、汉台、宁强等县(区)，止于汉中市宁强县棋盘关陕川交界，全长242.44公里。建设内容主要包含路基路面、桥涵、隧道、交通工程及沿线设施等公路安全韧性提升内容和制度体系建设。其中路线工点1处(单幅)、路基路面工点24处、桥涵工点353座(单幅)、隧道工点10座(双洞)、交通安全设施提升路段211.2公里同步，完善安全风险管控制度体系。批复建安费160400.6691万元。</w:t>
      </w:r>
    </w:p>
    <w:p w14:paraId="39855C7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施工期12个月，缺陷责任期24个月；养护期工期60个月（含缺陷责任期6个月）。养护期自施工期的缺陷责任期满后起算。实际开工时间、工期以发包人要求为准。主要工程内容如下：</w:t>
      </w:r>
    </w:p>
    <w:tbl>
      <w:tblPr>
        <w:tblStyle w:val="8"/>
        <w:tblW w:w="8902" w:type="dxa"/>
        <w:jc w:val="center"/>
        <w:tblLayout w:type="fixed"/>
        <w:tblCellMar>
          <w:top w:w="0" w:type="dxa"/>
          <w:left w:w="108" w:type="dxa"/>
          <w:bottom w:w="0" w:type="dxa"/>
          <w:right w:w="108" w:type="dxa"/>
        </w:tblCellMar>
      </w:tblPr>
      <w:tblGrid>
        <w:gridCol w:w="865"/>
        <w:gridCol w:w="1340"/>
        <w:gridCol w:w="1035"/>
        <w:gridCol w:w="4103"/>
        <w:gridCol w:w="1559"/>
      </w:tblGrid>
      <w:tr w14:paraId="0DAD1561">
        <w:tblPrEx>
          <w:tblCellMar>
            <w:top w:w="0" w:type="dxa"/>
            <w:left w:w="108" w:type="dxa"/>
            <w:bottom w:w="0" w:type="dxa"/>
            <w:right w:w="108" w:type="dxa"/>
          </w:tblCellMar>
        </w:tblPrEx>
        <w:trPr>
          <w:trHeight w:val="447" w:hRule="atLeast"/>
          <w:tblHeader/>
          <w:jc w:val="center"/>
        </w:trPr>
        <w:tc>
          <w:tcPr>
            <w:tcW w:w="865" w:type="dxa"/>
            <w:tcBorders>
              <w:top w:val="single" w:color="auto" w:sz="4" w:space="0"/>
              <w:left w:val="single" w:color="auto" w:sz="4" w:space="0"/>
              <w:bottom w:val="single" w:color="auto" w:sz="4" w:space="0"/>
              <w:right w:val="single" w:color="auto" w:sz="4" w:space="0"/>
            </w:tcBorders>
            <w:vAlign w:val="center"/>
          </w:tcPr>
          <w:p w14:paraId="16B283FF">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施工标段</w:t>
            </w:r>
          </w:p>
        </w:tc>
        <w:tc>
          <w:tcPr>
            <w:tcW w:w="1340" w:type="dxa"/>
            <w:tcBorders>
              <w:top w:val="single" w:color="auto" w:sz="4" w:space="0"/>
              <w:left w:val="single" w:color="auto" w:sz="4" w:space="0"/>
              <w:bottom w:val="single" w:color="auto" w:sz="4" w:space="0"/>
              <w:right w:val="single" w:color="auto" w:sz="4" w:space="0"/>
            </w:tcBorders>
            <w:vAlign w:val="center"/>
          </w:tcPr>
          <w:p w14:paraId="0DEB420E">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起止桩号</w:t>
            </w:r>
          </w:p>
        </w:tc>
        <w:tc>
          <w:tcPr>
            <w:tcW w:w="1035" w:type="dxa"/>
            <w:tcBorders>
              <w:top w:val="single" w:color="auto" w:sz="4" w:space="0"/>
              <w:left w:val="single" w:color="auto" w:sz="4" w:space="0"/>
              <w:bottom w:val="single" w:color="auto" w:sz="4" w:space="0"/>
              <w:right w:val="single" w:color="auto" w:sz="4" w:space="0"/>
            </w:tcBorders>
            <w:vAlign w:val="center"/>
          </w:tcPr>
          <w:p w14:paraId="25C2E495">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路线长度（km）</w:t>
            </w:r>
          </w:p>
        </w:tc>
        <w:tc>
          <w:tcPr>
            <w:tcW w:w="4103" w:type="dxa"/>
            <w:tcBorders>
              <w:top w:val="single" w:color="auto" w:sz="4" w:space="0"/>
              <w:left w:val="single" w:color="auto" w:sz="4" w:space="0"/>
              <w:bottom w:val="single" w:color="auto" w:sz="4" w:space="0"/>
              <w:right w:val="single" w:color="auto" w:sz="4" w:space="0"/>
            </w:tcBorders>
            <w:vAlign w:val="center"/>
          </w:tcPr>
          <w:p w14:paraId="28C7DE19">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主要工程内容</w:t>
            </w:r>
          </w:p>
        </w:tc>
        <w:tc>
          <w:tcPr>
            <w:tcW w:w="1559" w:type="dxa"/>
            <w:tcBorders>
              <w:top w:val="single" w:color="auto" w:sz="4" w:space="0"/>
              <w:left w:val="single" w:color="auto" w:sz="4" w:space="0"/>
              <w:bottom w:val="single" w:color="auto" w:sz="4" w:space="0"/>
              <w:right w:val="single" w:color="auto" w:sz="4" w:space="0"/>
            </w:tcBorders>
            <w:vAlign w:val="center"/>
          </w:tcPr>
          <w:p w14:paraId="0F75B770">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工期</w:t>
            </w:r>
          </w:p>
        </w:tc>
      </w:tr>
      <w:tr w14:paraId="4597AE30">
        <w:tblPrEx>
          <w:tblCellMar>
            <w:top w:w="0" w:type="dxa"/>
            <w:left w:w="108" w:type="dxa"/>
            <w:bottom w:w="0" w:type="dxa"/>
            <w:right w:w="108" w:type="dxa"/>
          </w:tblCellMar>
        </w:tblPrEx>
        <w:trPr>
          <w:trHeight w:val="832"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14:paraId="27B5A5B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JK-SG1</w:t>
            </w:r>
          </w:p>
        </w:tc>
        <w:tc>
          <w:tcPr>
            <w:tcW w:w="1340" w:type="dxa"/>
            <w:tcBorders>
              <w:top w:val="single" w:color="auto" w:sz="4" w:space="0"/>
              <w:left w:val="single" w:color="auto" w:sz="4" w:space="0"/>
              <w:bottom w:val="single" w:color="auto" w:sz="4" w:space="0"/>
              <w:right w:val="single" w:color="auto" w:sz="4" w:space="0"/>
            </w:tcBorders>
            <w:vAlign w:val="center"/>
          </w:tcPr>
          <w:p w14:paraId="21D7595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G5京昆高速西安至陕川界段（</w:t>
            </w:r>
            <w:r>
              <w:rPr>
                <w:rFonts w:hint="eastAsia" w:ascii="宋体" w:hAnsi="宋体" w:cs="宋体"/>
                <w:color w:val="auto"/>
                <w:sz w:val="21"/>
                <w:szCs w:val="21"/>
                <w:highlight w:val="none"/>
                <w:lang w:val="en-US" w:eastAsia="zh-CN"/>
              </w:rPr>
              <w:t>筒车湾至棋盘关段</w:t>
            </w:r>
            <w:r>
              <w:rPr>
                <w:rFonts w:hint="eastAsia" w:ascii="宋体" w:hAnsi="宋体" w:eastAsia="宋体" w:cs="宋体"/>
                <w:color w:val="auto"/>
                <w:sz w:val="21"/>
                <w:szCs w:val="21"/>
                <w:highlight w:val="none"/>
                <w:lang w:val="en-US" w:eastAsia="zh-CN"/>
              </w:rPr>
              <w:t>）</w:t>
            </w:r>
          </w:p>
        </w:tc>
        <w:tc>
          <w:tcPr>
            <w:tcW w:w="1035" w:type="dxa"/>
            <w:tcBorders>
              <w:top w:val="single" w:color="auto" w:sz="4" w:space="0"/>
              <w:left w:val="single" w:color="auto" w:sz="4" w:space="0"/>
              <w:bottom w:val="single" w:color="auto" w:sz="4" w:space="0"/>
              <w:right w:val="single" w:color="auto" w:sz="4" w:space="0"/>
            </w:tcBorders>
            <w:vAlign w:val="center"/>
          </w:tcPr>
          <w:p w14:paraId="5A42D1F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242.44</w:t>
            </w:r>
          </w:p>
        </w:tc>
        <w:tc>
          <w:tcPr>
            <w:tcW w:w="4103" w:type="dxa"/>
            <w:tcBorders>
              <w:left w:val="single" w:color="auto" w:sz="4" w:space="0"/>
              <w:bottom w:val="single" w:color="auto" w:sz="4" w:space="0"/>
              <w:right w:val="single" w:color="auto" w:sz="4" w:space="0"/>
            </w:tcBorders>
            <w:vAlign w:val="center"/>
          </w:tcPr>
          <w:p w14:paraId="08934EDB">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（1）施工期：本项目路段范围内安全韧性提升工程包括的路基、路面、桥涵、隧道、交通安全设施工程施工及缺陷责任期修复；</w:t>
            </w:r>
          </w:p>
          <w:p w14:paraId="5AB87A66">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养护期：为本项目安全韧性提升工程施工期工点的日常维修（不含日常保养），具体指桥梁下部因洪水冲刷引起的桩基外露、临河挡墙的局部掏空、路基边坡防护及支挡结构物、隧道边仰坡防护、排水设施的修复工程。</w:t>
            </w:r>
          </w:p>
        </w:tc>
        <w:tc>
          <w:tcPr>
            <w:tcW w:w="1559" w:type="dxa"/>
            <w:tcBorders>
              <w:left w:val="single" w:color="auto" w:sz="4" w:space="0"/>
              <w:bottom w:val="single" w:color="auto" w:sz="4" w:space="0"/>
              <w:right w:val="single" w:color="auto" w:sz="4" w:space="0"/>
            </w:tcBorders>
            <w:vAlign w:val="center"/>
          </w:tcPr>
          <w:p w14:paraId="3A98CE6F">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施工期12个月，缺陷责任期24个月；</w:t>
            </w:r>
          </w:p>
          <w:p w14:paraId="31EEAB9C">
            <w:pPr>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养护期60个月（含缺陷责任期6个月）。养护期自施工期的缺陷责任期满后起算</w:t>
            </w:r>
          </w:p>
        </w:tc>
      </w:tr>
    </w:tbl>
    <w:p w14:paraId="19D495C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_GB2312"/>
          <w:sz w:val="32"/>
          <w:szCs w:val="32"/>
          <w:lang w:val="en-US" w:eastAsia="zh-CN"/>
        </w:rPr>
      </w:pPr>
    </w:p>
    <w:p w14:paraId="3B5B8FBB">
      <w:pPr>
        <w:spacing w:line="360" w:lineRule="auto"/>
        <w:rPr>
          <w:rFonts w:hint="eastAsia" w:ascii="黑体" w:hAnsi="黑体" w:eastAsia="黑体" w:cs="黑体"/>
          <w:sz w:val="32"/>
          <w:szCs w:val="32"/>
        </w:rPr>
      </w:pPr>
      <w:r>
        <w:rPr>
          <w:rFonts w:hint="eastAsia" w:ascii="黑体" w:hAnsi="黑体" w:eastAsia="黑体" w:cs="黑体"/>
          <w:sz w:val="32"/>
          <w:szCs w:val="32"/>
        </w:rPr>
        <w:t>二、投标人资格要求</w:t>
      </w:r>
    </w:p>
    <w:p w14:paraId="1E7086D2">
      <w:pPr>
        <w:spacing w:line="360" w:lineRule="auto"/>
        <w:ind w:firstLine="643" w:firstLineChars="200"/>
        <w:contextualSpacing/>
        <w:rPr>
          <w:rFonts w:hint="eastAsia" w:ascii="仿宋" w:hAnsi="仿宋" w:eastAsia="仿宋" w:cs="仿宋_GB2312"/>
          <w:b/>
          <w:bCs/>
          <w:sz w:val="32"/>
          <w:szCs w:val="32"/>
        </w:rPr>
      </w:pPr>
      <w:r>
        <w:rPr>
          <w:rFonts w:hint="eastAsia" w:ascii="仿宋" w:hAnsi="仿宋" w:eastAsia="仿宋" w:cs="仿宋_GB2312"/>
          <w:b/>
          <w:bCs/>
          <w:sz w:val="32"/>
          <w:szCs w:val="32"/>
        </w:rPr>
        <w:t>1.资格审查条件</w:t>
      </w:r>
    </w:p>
    <w:p w14:paraId="1CEE8F76">
      <w:pPr>
        <w:pStyle w:val="5"/>
        <w:keepNext w:val="0"/>
        <w:keepLines w:val="0"/>
        <w:pageBreakBefore w:val="0"/>
        <w:widowControl/>
        <w:kinsoku w:val="0"/>
        <w:wordWrap/>
        <w:overflowPunct/>
        <w:topLinePunct w:val="0"/>
        <w:autoSpaceDE w:val="0"/>
        <w:autoSpaceDN w:val="0"/>
        <w:bidi w:val="0"/>
        <w:adjustRightInd w:val="0"/>
        <w:snapToGrid w:val="0"/>
        <w:spacing w:line="5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本次招标投标人须具备独立法人资格、有效的营业执照，且资质、业绩、人员、设备、资金等方面具有承担本项目施工的能力，具体要求如下：</w:t>
      </w:r>
    </w:p>
    <w:p w14:paraId="53325B3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en-US" w:bidi="ar-SA"/>
        </w:rPr>
        <w:t>资质最低要求</w:t>
      </w:r>
    </w:p>
    <w:p w14:paraId="2BFDE271">
      <w:pPr>
        <w:spacing w:line="17" w:lineRule="exact"/>
        <w:rPr>
          <w:rFonts w:hint="eastAsia" w:ascii="宋体" w:hAnsi="宋体" w:eastAsia="宋体" w:cs="宋体"/>
          <w:color w:val="000000"/>
          <w:highlight w:val="none"/>
        </w:rPr>
      </w:pPr>
    </w:p>
    <w:tbl>
      <w:tblPr>
        <w:tblStyle w:val="16"/>
        <w:tblW w:w="91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7"/>
        <w:gridCol w:w="7674"/>
      </w:tblGrid>
      <w:tr w14:paraId="3191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 w:hRule="atLeast"/>
          <w:jc w:val="center"/>
        </w:trPr>
        <w:tc>
          <w:tcPr>
            <w:tcW w:w="1497" w:type="dxa"/>
            <w:noWrap w:val="0"/>
            <w:vAlign w:val="top"/>
          </w:tcPr>
          <w:p w14:paraId="14621F56">
            <w:pPr>
              <w:spacing w:before="198" w:line="225" w:lineRule="auto"/>
              <w:ind w:left="507"/>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标段</w:t>
            </w:r>
          </w:p>
        </w:tc>
        <w:tc>
          <w:tcPr>
            <w:tcW w:w="7674" w:type="dxa"/>
            <w:noWrap w:val="0"/>
            <w:vAlign w:val="top"/>
          </w:tcPr>
          <w:p w14:paraId="349E6FD0">
            <w:pPr>
              <w:spacing w:before="198" w:line="225" w:lineRule="auto"/>
              <w:ind w:left="3151"/>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5"/>
                <w:sz w:val="24"/>
                <w:szCs w:val="24"/>
                <w:highlight w:val="none"/>
              </w:rPr>
              <w:t>资质要求</w:t>
            </w:r>
          </w:p>
        </w:tc>
      </w:tr>
      <w:tr w14:paraId="2207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1497" w:type="dxa"/>
            <w:noWrap w:val="0"/>
            <w:vAlign w:val="center"/>
          </w:tcPr>
          <w:p w14:paraId="401AA909">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jc w:val="center"/>
              <w:textAlignment w:val="baseline"/>
              <w:rPr>
                <w:rFonts w:hint="eastAsia" w:ascii="宋体" w:hAnsi="宋体" w:eastAsia="宋体" w:cs="宋体"/>
                <w:color w:val="000000"/>
                <w:sz w:val="24"/>
                <w:szCs w:val="24"/>
                <w:highlight w:val="none"/>
                <w:lang w:val="en-US" w:eastAsia="zh-CN"/>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JK-SG1</w:t>
            </w:r>
          </w:p>
        </w:tc>
        <w:tc>
          <w:tcPr>
            <w:tcW w:w="7674" w:type="dxa"/>
            <w:noWrap w:val="0"/>
            <w:vAlign w:val="top"/>
          </w:tcPr>
          <w:p w14:paraId="084F14A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一、投标人独立投标的，须满足以下要求：</w:t>
            </w:r>
          </w:p>
          <w:p w14:paraId="02DA334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28C81DA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（2）具备公路工程施工总承包一级或以上资质；</w:t>
            </w:r>
          </w:p>
          <w:p w14:paraId="63DEFE4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（3）具备桥梁工程专业承包一级资质；</w:t>
            </w:r>
          </w:p>
          <w:p w14:paraId="742E522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（4）具备隧道工程专业承包一级资质；</w:t>
            </w:r>
          </w:p>
          <w:p w14:paraId="08FB922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（5）具备公路路面工程专业承包一级资质；</w:t>
            </w:r>
          </w:p>
          <w:p w14:paraId="53BDE7D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（6）具备公路交通工程（公路安全设施）专业承包一级资质；</w:t>
            </w:r>
          </w:p>
          <w:p w14:paraId="47AEF84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（7）具备路基路面养护甲级资质、桥梁养护甲级资质；</w:t>
            </w:r>
          </w:p>
          <w:p w14:paraId="447D888F">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（8）具备有效的企业安全生产许可证；</w:t>
            </w:r>
          </w:p>
          <w:p w14:paraId="77A6EE7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（9）法定代表人持有省级或以上交通运输主管部门核发有效的A类安全生产考核合格证书。</w:t>
            </w:r>
          </w:p>
          <w:p w14:paraId="77BBC92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二、投标人以联合体形式投标的</w:t>
            </w:r>
          </w:p>
          <w:p w14:paraId="7E130FD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1.承担主体工程（含桥隧、路基）及养护工程施工专业分工的联合体成员，须满足以下要求：</w:t>
            </w:r>
          </w:p>
          <w:p w14:paraId="392DA63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17990266">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（2）具备公路工程施工总承包一级或以上资质</w:t>
            </w:r>
          </w:p>
          <w:p w14:paraId="2687C8B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（3）具备桥梁工程专业承包一级资质；</w:t>
            </w:r>
          </w:p>
          <w:p w14:paraId="2F737FF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（4）具备隧道工程专业承包一级资质；</w:t>
            </w:r>
          </w:p>
          <w:p w14:paraId="35BA9E5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（5）同时具备路基路面养护甲级资质、桥梁养护甲级资质；</w:t>
            </w:r>
          </w:p>
          <w:p w14:paraId="6E95F83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（6）具备有效的企业安全生产许可证；</w:t>
            </w:r>
          </w:p>
          <w:p w14:paraId="54368D92">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（7）法定代表人持有省级或以上交通运输主管部门核发有效的A类安全生产考核合格证书。</w:t>
            </w:r>
          </w:p>
          <w:p w14:paraId="79391F0A">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2.承担路面工程施工专业分工的联合体成员，须满足以下要求：</w:t>
            </w:r>
          </w:p>
          <w:p w14:paraId="0BFBA43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3525A39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（2）具备公路路面工程专业承包一级资质；</w:t>
            </w:r>
          </w:p>
          <w:p w14:paraId="60A73BA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（3）具备有效的企业安全生产许可证；</w:t>
            </w:r>
          </w:p>
          <w:p w14:paraId="67FE80A8">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（4）法定代表人持有省级或以上交通运输主管部门核发有效的A类安全生产考核合格证书。</w:t>
            </w:r>
          </w:p>
          <w:p w14:paraId="56A2BDB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3.承担交通安全设施工程施工专业分工的联合体成员，须满足以下要求：</w:t>
            </w:r>
          </w:p>
          <w:p w14:paraId="7AE803ED">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（1）具有独立法人资格；</w:t>
            </w:r>
          </w:p>
          <w:p w14:paraId="37E30E99">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（2）具备公路交通工程（公路安全设施）专业承包一级资质；</w:t>
            </w:r>
          </w:p>
          <w:p w14:paraId="68CD7DC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 w:hAnsi="仿宋" w:eastAsia="仿宋" w:cs="仿宋"/>
                <w:b w:val="0"/>
                <w:bCs w:val="0"/>
                <w:snapToGrid w:val="0"/>
                <w:color w:val="000000"/>
                <w:spacing w:val="5"/>
                <w:kern w:val="0"/>
                <w:sz w:val="24"/>
                <w:szCs w:val="24"/>
                <w:highlight w:val="none"/>
                <w:vertAlign w:val="baseline"/>
                <w:lang w:val="en-US" w:eastAsia="zh-CN" w:bidi="ar-SA"/>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（3）具备有效的企业安全生产许可证；</w:t>
            </w:r>
          </w:p>
          <w:p w14:paraId="11B81A8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000000"/>
                <w:spacing w:val="7"/>
                <w:sz w:val="24"/>
                <w:szCs w:val="24"/>
                <w:highlight w:val="none"/>
                <w:lang w:val="en-US" w:eastAsia="zh-CN"/>
              </w:rPr>
            </w:pPr>
            <w:r>
              <w:rPr>
                <w:rFonts w:hint="eastAsia" w:ascii="仿宋" w:hAnsi="仿宋" w:eastAsia="仿宋" w:cs="仿宋"/>
                <w:b w:val="0"/>
                <w:bCs w:val="0"/>
                <w:snapToGrid w:val="0"/>
                <w:color w:val="000000"/>
                <w:spacing w:val="5"/>
                <w:kern w:val="0"/>
                <w:sz w:val="24"/>
                <w:szCs w:val="24"/>
                <w:highlight w:val="none"/>
                <w:vertAlign w:val="baseline"/>
                <w:lang w:val="en-US" w:eastAsia="zh-CN" w:bidi="ar-SA"/>
              </w:rPr>
              <w:t>（4）法定代表人持有省级或以上交通运输主管部门核发有效的A类安全生产考核合格证书。</w:t>
            </w:r>
          </w:p>
        </w:tc>
      </w:tr>
    </w:tbl>
    <w:p w14:paraId="77090E04">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（2）财务最低要求</w:t>
      </w:r>
    </w:p>
    <w:tbl>
      <w:tblPr>
        <w:tblStyle w:val="16"/>
        <w:tblW w:w="9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6"/>
        <w:gridCol w:w="6245"/>
        <w:gridCol w:w="1446"/>
      </w:tblGrid>
      <w:tr w14:paraId="1825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546" w:type="dxa"/>
            <w:noWrap w:val="0"/>
            <w:vAlign w:val="center"/>
          </w:tcPr>
          <w:p w14:paraId="675A7B3E">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标段</w:t>
            </w:r>
          </w:p>
        </w:tc>
        <w:tc>
          <w:tcPr>
            <w:tcW w:w="6245" w:type="dxa"/>
            <w:tcBorders>
              <w:right w:val="single" w:color="auto" w:sz="4" w:space="0"/>
            </w:tcBorders>
            <w:noWrap w:val="0"/>
            <w:vAlign w:val="center"/>
          </w:tcPr>
          <w:p w14:paraId="4014C29B">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lang w:val="en-US" w:eastAsia="zh-CN"/>
              </w:rPr>
              <w:t>财务</w:t>
            </w:r>
            <w:r>
              <w:rPr>
                <w:rFonts w:hint="eastAsia" w:ascii="宋体" w:hAnsi="宋体" w:eastAsia="宋体" w:cs="宋体"/>
                <w:color w:val="000000"/>
                <w:spacing w:val="5"/>
                <w:sz w:val="24"/>
                <w:szCs w:val="24"/>
                <w:highlight w:val="none"/>
              </w:rPr>
              <w:t>要求</w:t>
            </w:r>
          </w:p>
        </w:tc>
        <w:tc>
          <w:tcPr>
            <w:tcW w:w="1446" w:type="dxa"/>
            <w:tcBorders>
              <w:right w:val="single" w:color="auto" w:sz="4" w:space="0"/>
            </w:tcBorders>
            <w:noWrap w:val="0"/>
            <w:vAlign w:val="center"/>
          </w:tcPr>
          <w:p w14:paraId="1DE215B3">
            <w:pPr>
              <w:spacing w:before="198" w:line="225" w:lineRule="auto"/>
              <w:jc w:val="center"/>
              <w:rPr>
                <w:rFonts w:hint="default" w:ascii="宋体" w:hAnsi="宋体" w:eastAsia="宋体" w:cs="宋体"/>
                <w:color w:val="000000"/>
                <w:spacing w:val="5"/>
                <w:sz w:val="24"/>
                <w:szCs w:val="24"/>
                <w:highlight w:val="none"/>
                <w:lang w:val="en-US" w:eastAsia="zh-CN"/>
              </w:rPr>
            </w:pPr>
            <w:r>
              <w:rPr>
                <w:rFonts w:hint="eastAsia" w:ascii="宋体" w:hAnsi="宋体" w:cs="宋体"/>
                <w:color w:val="000000"/>
                <w:spacing w:val="5"/>
                <w:sz w:val="24"/>
                <w:szCs w:val="24"/>
                <w:highlight w:val="none"/>
                <w:lang w:val="en-US" w:eastAsia="zh-CN"/>
              </w:rPr>
              <w:t>备注</w:t>
            </w:r>
          </w:p>
        </w:tc>
      </w:tr>
      <w:tr w14:paraId="108CE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546" w:type="dxa"/>
            <w:noWrap w:val="0"/>
            <w:vAlign w:val="center"/>
          </w:tcPr>
          <w:p w14:paraId="6FC19F5A">
            <w:pPr>
              <w:numPr>
                <w:ilvl w:val="0"/>
                <w:numId w:val="0"/>
              </w:numPr>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JK-SG1</w:t>
            </w:r>
          </w:p>
        </w:tc>
        <w:tc>
          <w:tcPr>
            <w:tcW w:w="6245" w:type="dxa"/>
            <w:tcBorders>
              <w:right w:val="single" w:color="auto" w:sz="4" w:space="0"/>
            </w:tcBorders>
            <w:noWrap w:val="0"/>
            <w:vAlign w:val="center"/>
          </w:tcPr>
          <w:p w14:paraId="6AA938B3">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color w:val="000000"/>
                <w:sz w:val="24"/>
                <w:highlight w:val="none"/>
                <w:u w:val="none"/>
              </w:rPr>
              <w:t>近三年（2022年、2023年、2024年）的平均企业资产负债率不大于85%。</w:t>
            </w:r>
          </w:p>
        </w:tc>
        <w:tc>
          <w:tcPr>
            <w:tcW w:w="1446" w:type="dxa"/>
            <w:tcBorders>
              <w:right w:val="single" w:color="auto" w:sz="4" w:space="0"/>
            </w:tcBorders>
            <w:noWrap w:val="0"/>
            <w:vAlign w:val="center"/>
          </w:tcPr>
          <w:p w14:paraId="7201CE05">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color w:val="000000"/>
                <w:sz w:val="24"/>
                <w:highlight w:val="none"/>
                <w:u w:val="none"/>
                <w:lang w:val="en-US" w:eastAsia="zh-CN"/>
              </w:rPr>
              <w:t>以联合体形式参加投标的，联合体各单位均须满足财务最低要求。</w:t>
            </w:r>
          </w:p>
        </w:tc>
      </w:tr>
    </w:tbl>
    <w:p w14:paraId="06D1F476">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（3）</w:t>
      </w:r>
      <w:r>
        <w:rPr>
          <w:rFonts w:hint="eastAsia" w:ascii="仿宋_GB2312" w:hAnsi="仿宋_GB2312" w:eastAsia="仿宋_GB2312" w:cs="仿宋_GB2312"/>
          <w:color w:val="auto"/>
          <w:kern w:val="2"/>
          <w:sz w:val="32"/>
          <w:szCs w:val="32"/>
          <w:highlight w:val="none"/>
          <w:lang w:val="en-US" w:eastAsia="en-US" w:bidi="ar-SA"/>
        </w:rPr>
        <w:t>业绩最低要求</w:t>
      </w:r>
    </w:p>
    <w:p w14:paraId="24FD801C">
      <w:pPr>
        <w:spacing w:line="14" w:lineRule="exact"/>
        <w:rPr>
          <w:rFonts w:hint="eastAsia" w:ascii="宋体" w:hAnsi="宋体" w:eastAsia="宋体" w:cs="宋体"/>
          <w:color w:val="000000"/>
          <w:highlight w:val="none"/>
        </w:rPr>
      </w:pPr>
    </w:p>
    <w:tbl>
      <w:tblPr>
        <w:tblStyle w:val="16"/>
        <w:tblW w:w="92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6"/>
        <w:gridCol w:w="7641"/>
      </w:tblGrid>
      <w:tr w14:paraId="5421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606" w:type="dxa"/>
            <w:noWrap w:val="0"/>
            <w:vAlign w:val="center"/>
          </w:tcPr>
          <w:p w14:paraId="6550BA88">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标段</w:t>
            </w:r>
          </w:p>
        </w:tc>
        <w:tc>
          <w:tcPr>
            <w:tcW w:w="7641" w:type="dxa"/>
            <w:tcBorders>
              <w:right w:val="single" w:color="auto" w:sz="4" w:space="0"/>
            </w:tcBorders>
            <w:noWrap w:val="0"/>
            <w:vAlign w:val="center"/>
          </w:tcPr>
          <w:p w14:paraId="2DE079DC">
            <w:pPr>
              <w:spacing w:before="198" w:line="225" w:lineRule="auto"/>
              <w:jc w:val="center"/>
              <w:rPr>
                <w:rFonts w:hint="eastAsia" w:ascii="宋体" w:hAnsi="宋体" w:eastAsia="宋体" w:cs="宋体"/>
                <w:color w:val="000000"/>
                <w:spacing w:val="5"/>
                <w:sz w:val="24"/>
                <w:szCs w:val="24"/>
                <w:highlight w:val="none"/>
              </w:rPr>
            </w:pPr>
            <w:r>
              <w:rPr>
                <w:rFonts w:hint="eastAsia" w:ascii="宋体" w:hAnsi="宋体" w:eastAsia="宋体" w:cs="宋体"/>
                <w:color w:val="000000"/>
                <w:spacing w:val="5"/>
                <w:sz w:val="24"/>
                <w:szCs w:val="24"/>
                <w:highlight w:val="none"/>
              </w:rPr>
              <w:t>业绩要求</w:t>
            </w:r>
          </w:p>
        </w:tc>
      </w:tr>
      <w:tr w14:paraId="554CB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jc w:val="center"/>
        </w:trPr>
        <w:tc>
          <w:tcPr>
            <w:tcW w:w="1606" w:type="dxa"/>
            <w:noWrap w:val="0"/>
            <w:vAlign w:val="center"/>
          </w:tcPr>
          <w:p w14:paraId="4E326279">
            <w:pPr>
              <w:numPr>
                <w:ilvl w:val="0"/>
                <w:numId w:val="0"/>
              </w:numPr>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JK-SG1</w:t>
            </w:r>
          </w:p>
        </w:tc>
        <w:tc>
          <w:tcPr>
            <w:tcW w:w="7641" w:type="dxa"/>
            <w:tcBorders>
              <w:right w:val="single" w:color="auto" w:sz="4" w:space="0"/>
            </w:tcBorders>
            <w:noWrap w:val="0"/>
            <w:vAlign w:val="center"/>
          </w:tcPr>
          <w:p w14:paraId="7DE59D5F">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2020年（含）以来，同时满足：</w:t>
            </w:r>
          </w:p>
          <w:p w14:paraId="2B1FE342">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一、施工业绩</w:t>
            </w:r>
          </w:p>
          <w:p w14:paraId="660CD190">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1.至少独立完成过2个新建或改扩建高速公路项目土建工程（本次招标“土建工程”所指包括路基或路面或桥涵或隧道，以下相同）施工合同段，且路线长度累计不少于20km（全幅）；</w:t>
            </w:r>
          </w:p>
          <w:p w14:paraId="167DE962">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2.独立完成过的新建或改扩建高速公路桥梁工程长度累计不少于3km（以单幅计）；</w:t>
            </w:r>
          </w:p>
          <w:p w14:paraId="36A0C881">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3.独立完成过1个新建或改扩建高速公路路面工程施工合同段；</w:t>
            </w:r>
          </w:p>
          <w:p w14:paraId="7D98FE15">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4.独立完成过1个新建或改扩建高速公路交通安全设施工程施工合同段。</w:t>
            </w:r>
          </w:p>
          <w:p w14:paraId="189C55ED">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二、养护业绩</w:t>
            </w:r>
          </w:p>
          <w:p w14:paraId="3EFAC952">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至少完成过2个单项合同金额不少于400万元的高速公路养护工程项目土建工程施工合同段，且累计合同金额不少于5000万元。</w:t>
            </w:r>
          </w:p>
        </w:tc>
      </w:tr>
    </w:tbl>
    <w:p w14:paraId="6778EAF6">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注：1.近5年是指2020年1月1日至投标截止时间，以交工验收时间为准。</w:t>
      </w:r>
    </w:p>
    <w:p w14:paraId="381AA12F">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2.业绩以在“全国公路建设市场监督管理系统”或省级交通运输主管部门“公路建设市场信用信息管理系统”网页截图为准。</w:t>
      </w:r>
    </w:p>
    <w:p w14:paraId="2047A5CA">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3.以联合体形式参加投标的，按照各联合体单位相应业绩之和确定联合体具有的业绩。</w:t>
      </w:r>
    </w:p>
    <w:p w14:paraId="16F27955">
      <w:pPr>
        <w:keepNext w:val="0"/>
        <w:keepLines w:val="0"/>
        <w:pageBreakBefore w:val="0"/>
        <w:widowControl w:val="0"/>
        <w:kinsoku/>
        <w:wordWrap/>
        <w:overflowPunct/>
        <w:topLinePunct w:val="0"/>
        <w:autoSpaceDE/>
        <w:autoSpaceDN/>
        <w:bidi w:val="0"/>
        <w:adjustRightInd/>
        <w:snapToGrid/>
        <w:spacing w:line="280" w:lineRule="exact"/>
        <w:ind w:firstLine="482" w:firstLineChars="200"/>
        <w:contextualSpacing/>
        <w:jc w:val="both"/>
        <w:textAlignment w:val="auto"/>
        <w:rPr>
          <w:rFonts w:hint="eastAsia" w:ascii="仿宋" w:hAnsi="仿宋" w:eastAsia="仿宋" w:cs="仿宋_GB2312"/>
          <w:b/>
          <w:bCs/>
          <w:snapToGrid/>
          <w:color w:val="auto"/>
          <w:kern w:val="2"/>
          <w:sz w:val="24"/>
          <w:szCs w:val="24"/>
          <w:highlight w:val="none"/>
          <w:lang w:val="en-US" w:eastAsia="zh-CN"/>
        </w:rPr>
      </w:pPr>
      <w:r>
        <w:rPr>
          <w:rFonts w:hint="eastAsia" w:ascii="仿宋" w:hAnsi="仿宋" w:eastAsia="仿宋" w:cs="仿宋_GB2312"/>
          <w:b/>
          <w:bCs/>
          <w:snapToGrid/>
          <w:color w:val="auto"/>
          <w:kern w:val="2"/>
          <w:sz w:val="24"/>
          <w:szCs w:val="24"/>
          <w:highlight w:val="none"/>
          <w:lang w:val="en-US" w:eastAsia="zh-CN"/>
        </w:rPr>
        <w:t>4.如果同一业绩同时包含上述一项或多项施工内容，则根据各单位承担专业予以计算认定相应类别专业工程的业绩。</w:t>
      </w:r>
    </w:p>
    <w:p w14:paraId="1E057D1B">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kern w:val="2"/>
          <w:sz w:val="32"/>
          <w:szCs w:val="32"/>
          <w:highlight w:val="none"/>
          <w:lang w:val="en-US" w:eastAsia="en-US" w:bidi="ar-SA"/>
        </w:rPr>
        <w:t>信誉最低要求</w:t>
      </w:r>
    </w:p>
    <w:p w14:paraId="1C0E6526">
      <w:pPr>
        <w:spacing w:line="15" w:lineRule="exact"/>
        <w:rPr>
          <w:rFonts w:hint="eastAsia" w:ascii="宋体" w:hAnsi="宋体" w:eastAsia="宋体" w:cs="宋体"/>
          <w:color w:val="000000"/>
          <w:highlight w:val="none"/>
        </w:rPr>
      </w:pPr>
    </w:p>
    <w:tbl>
      <w:tblPr>
        <w:tblStyle w:val="16"/>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3"/>
        <w:gridCol w:w="6083"/>
        <w:gridCol w:w="1698"/>
      </w:tblGrid>
      <w:tr w14:paraId="3227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jc w:val="center"/>
        </w:trPr>
        <w:tc>
          <w:tcPr>
            <w:tcW w:w="1663" w:type="dxa"/>
            <w:noWrap w:val="0"/>
            <w:vAlign w:val="center"/>
          </w:tcPr>
          <w:p w14:paraId="4D441D1A">
            <w:pPr>
              <w:pStyle w:val="15"/>
              <w:spacing w:before="209"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标段</w:t>
            </w:r>
          </w:p>
        </w:tc>
        <w:tc>
          <w:tcPr>
            <w:tcW w:w="6083" w:type="dxa"/>
            <w:tcBorders>
              <w:right w:val="single" w:color="auto" w:sz="4" w:space="0"/>
            </w:tcBorders>
            <w:noWrap w:val="0"/>
            <w:vAlign w:val="center"/>
          </w:tcPr>
          <w:p w14:paraId="119A96C5">
            <w:pPr>
              <w:pStyle w:val="15"/>
              <w:spacing w:before="208"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信誉要求</w:t>
            </w:r>
          </w:p>
        </w:tc>
        <w:tc>
          <w:tcPr>
            <w:tcW w:w="1698" w:type="dxa"/>
            <w:tcBorders>
              <w:right w:val="single" w:color="auto" w:sz="4" w:space="0"/>
            </w:tcBorders>
            <w:noWrap w:val="0"/>
            <w:vAlign w:val="center"/>
          </w:tcPr>
          <w:p w14:paraId="7F288DA2">
            <w:pPr>
              <w:spacing w:before="198" w:line="225" w:lineRule="auto"/>
              <w:jc w:val="center"/>
              <w:rPr>
                <w:rFonts w:hint="eastAsia" w:ascii="宋体" w:hAnsi="宋体" w:eastAsia="宋体" w:cs="宋体"/>
                <w:color w:val="000000"/>
                <w:spacing w:val="9"/>
                <w:sz w:val="24"/>
                <w:szCs w:val="24"/>
                <w:highlight w:val="none"/>
              </w:rPr>
            </w:pPr>
            <w:r>
              <w:rPr>
                <w:rFonts w:hint="eastAsia" w:ascii="宋体" w:hAnsi="宋体" w:cs="宋体"/>
                <w:color w:val="000000"/>
                <w:spacing w:val="5"/>
                <w:sz w:val="24"/>
                <w:szCs w:val="24"/>
                <w:highlight w:val="none"/>
                <w:lang w:val="en-US" w:eastAsia="zh-CN"/>
              </w:rPr>
              <w:t>备注</w:t>
            </w:r>
          </w:p>
        </w:tc>
      </w:tr>
      <w:tr w14:paraId="0788B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jc w:val="center"/>
        </w:trPr>
        <w:tc>
          <w:tcPr>
            <w:tcW w:w="1663" w:type="dxa"/>
            <w:noWrap w:val="0"/>
            <w:vAlign w:val="center"/>
          </w:tcPr>
          <w:p w14:paraId="2F704573">
            <w:pPr>
              <w:numPr>
                <w:ilvl w:val="0"/>
                <w:numId w:val="0"/>
              </w:numPr>
              <w:jc w:val="center"/>
              <w:rPr>
                <w:rFonts w:hint="eastAsia" w:ascii="宋体" w:hAnsi="宋体" w:eastAsia="宋体" w:cs="宋体"/>
                <w:snapToGrid w:val="0"/>
                <w:color w:val="000000"/>
                <w:spacing w:val="5"/>
                <w:kern w:val="0"/>
                <w:sz w:val="24"/>
                <w:szCs w:val="24"/>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JK-SG1</w:t>
            </w:r>
          </w:p>
        </w:tc>
        <w:tc>
          <w:tcPr>
            <w:tcW w:w="6083" w:type="dxa"/>
            <w:tcBorders>
              <w:right w:val="single" w:color="auto" w:sz="4" w:space="0"/>
            </w:tcBorders>
            <w:noWrap w:val="0"/>
            <w:vAlign w:val="center"/>
          </w:tcPr>
          <w:p w14:paraId="400A7CC8">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未被交通运输部或陕西省交通运输厅列为信用评价等级D级且处于有效期内。</w:t>
            </w:r>
          </w:p>
        </w:tc>
        <w:tc>
          <w:tcPr>
            <w:tcW w:w="1698" w:type="dxa"/>
            <w:tcBorders>
              <w:right w:val="single" w:color="auto" w:sz="4" w:space="0"/>
            </w:tcBorders>
            <w:noWrap w:val="0"/>
            <w:vAlign w:val="center"/>
          </w:tcPr>
          <w:p w14:paraId="443E9999">
            <w:pPr>
              <w:numPr>
                <w:ilvl w:val="0"/>
                <w:numId w:val="0"/>
              </w:numPr>
              <w:jc w:val="both"/>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联合体投标的，联合体所有成员均须满足。</w:t>
            </w:r>
          </w:p>
        </w:tc>
      </w:tr>
    </w:tbl>
    <w:p w14:paraId="53190534">
      <w:pPr>
        <w:widowControl w:val="0"/>
        <w:kinsoku/>
        <w:autoSpaceDE/>
        <w:autoSpaceDN/>
        <w:adjustRightInd/>
        <w:snapToGrid/>
        <w:spacing w:line="360" w:lineRule="auto"/>
        <w:ind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en-US" w:bidi="ar-SA"/>
        </w:rPr>
      </w:pPr>
      <w:r>
        <w:rPr>
          <w:rFonts w:hint="eastAsia" w:ascii="仿宋_GB2312" w:hAnsi="仿宋_GB2312"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32"/>
          <w:highlight w:val="none"/>
          <w:lang w:val="en-US" w:eastAsia="en-US" w:bidi="ar-SA"/>
        </w:rPr>
        <w:t>主要人员最低要求</w:t>
      </w:r>
    </w:p>
    <w:p w14:paraId="6E216E14">
      <w:pPr>
        <w:spacing w:line="15" w:lineRule="exact"/>
        <w:rPr>
          <w:rFonts w:hint="eastAsia" w:ascii="宋体" w:hAnsi="宋体" w:eastAsia="宋体" w:cs="宋体"/>
          <w:color w:val="000000"/>
          <w:highlight w:val="none"/>
        </w:rPr>
      </w:pPr>
    </w:p>
    <w:tbl>
      <w:tblPr>
        <w:tblStyle w:val="16"/>
        <w:tblW w:w="91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7"/>
        <w:gridCol w:w="703"/>
        <w:gridCol w:w="712"/>
        <w:gridCol w:w="4210"/>
        <w:gridCol w:w="1916"/>
      </w:tblGrid>
      <w:tr w14:paraId="0672D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jc w:val="center"/>
        </w:trPr>
        <w:tc>
          <w:tcPr>
            <w:tcW w:w="1597" w:type="dxa"/>
            <w:noWrap w:val="0"/>
            <w:vAlign w:val="center"/>
          </w:tcPr>
          <w:p w14:paraId="3A0BB964">
            <w:pPr>
              <w:pStyle w:val="15"/>
              <w:spacing w:before="165" w:line="228" w:lineRule="auto"/>
              <w:jc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3"/>
                <w:sz w:val="24"/>
                <w:szCs w:val="24"/>
                <w:highlight w:val="none"/>
                <w:lang w:val="en-US" w:eastAsia="zh-CN"/>
              </w:rPr>
              <w:t>标段</w:t>
            </w:r>
          </w:p>
        </w:tc>
        <w:tc>
          <w:tcPr>
            <w:tcW w:w="703" w:type="dxa"/>
            <w:noWrap w:val="0"/>
            <w:vAlign w:val="center"/>
          </w:tcPr>
          <w:p w14:paraId="010B8DBA">
            <w:pPr>
              <w:pStyle w:val="15"/>
              <w:spacing w:before="165" w:line="228"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人员</w:t>
            </w:r>
          </w:p>
        </w:tc>
        <w:tc>
          <w:tcPr>
            <w:tcW w:w="712" w:type="dxa"/>
            <w:noWrap w:val="0"/>
            <w:vAlign w:val="center"/>
          </w:tcPr>
          <w:p w14:paraId="19365AFD">
            <w:pPr>
              <w:pStyle w:val="15"/>
              <w:spacing w:before="166" w:line="226"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数量</w:t>
            </w:r>
          </w:p>
        </w:tc>
        <w:tc>
          <w:tcPr>
            <w:tcW w:w="4210" w:type="dxa"/>
            <w:noWrap w:val="0"/>
            <w:vAlign w:val="center"/>
          </w:tcPr>
          <w:p w14:paraId="5A8B7A83">
            <w:pPr>
              <w:pStyle w:val="15"/>
              <w:spacing w:before="166" w:line="225"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资格要求</w:t>
            </w:r>
          </w:p>
        </w:tc>
        <w:tc>
          <w:tcPr>
            <w:tcW w:w="1916" w:type="dxa"/>
            <w:tcBorders>
              <w:right w:val="single" w:color="auto" w:sz="4" w:space="0"/>
            </w:tcBorders>
            <w:noWrap w:val="0"/>
            <w:vAlign w:val="center"/>
          </w:tcPr>
          <w:p w14:paraId="098E7349">
            <w:pPr>
              <w:pStyle w:val="15"/>
              <w:spacing w:before="165" w:line="223"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在岗要求</w:t>
            </w:r>
          </w:p>
        </w:tc>
      </w:tr>
      <w:tr w14:paraId="1C01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jc w:val="center"/>
        </w:trPr>
        <w:tc>
          <w:tcPr>
            <w:tcW w:w="1597" w:type="dxa"/>
            <w:vMerge w:val="restart"/>
            <w:noWrap w:val="0"/>
            <w:vAlign w:val="center"/>
          </w:tcPr>
          <w:p w14:paraId="08C866FB">
            <w:pPr>
              <w:pStyle w:val="5"/>
              <w:keepNext w:val="0"/>
              <w:keepLines w:val="0"/>
              <w:pageBreakBefore w:val="0"/>
              <w:widowControl/>
              <w:kinsoku w:val="0"/>
              <w:wordWrap/>
              <w:overflowPunct/>
              <w:topLinePunct w:val="0"/>
              <w:autoSpaceDE w:val="0"/>
              <w:autoSpaceDN w:val="0"/>
              <w:bidi w:val="0"/>
              <w:adjustRightInd w:val="0"/>
              <w:snapToGrid w:val="0"/>
              <w:spacing w:line="280" w:lineRule="exact"/>
              <w:ind w:right="0" w:rightChars="0"/>
              <w:jc w:val="center"/>
              <w:textAlignment w:val="baseline"/>
              <w:rPr>
                <w:rFonts w:hint="eastAsia" w:ascii="宋体" w:hAnsi="宋体" w:eastAsia="宋体" w:cs="宋体"/>
                <w:snapToGrid w:val="0"/>
                <w:color w:val="000000"/>
                <w:spacing w:val="5"/>
                <w:kern w:val="0"/>
                <w:sz w:val="24"/>
                <w:szCs w:val="24"/>
                <w:highlight w:val="no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JK-SG1</w:t>
            </w:r>
          </w:p>
        </w:tc>
        <w:tc>
          <w:tcPr>
            <w:tcW w:w="703" w:type="dxa"/>
            <w:noWrap w:val="0"/>
            <w:vAlign w:val="center"/>
          </w:tcPr>
          <w:p w14:paraId="3BDAEA34">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项目经理</w:t>
            </w:r>
          </w:p>
        </w:tc>
        <w:tc>
          <w:tcPr>
            <w:tcW w:w="712" w:type="dxa"/>
            <w:noWrap w:val="0"/>
            <w:vAlign w:val="center"/>
          </w:tcPr>
          <w:p w14:paraId="626CC213">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w:t>
            </w:r>
          </w:p>
        </w:tc>
        <w:tc>
          <w:tcPr>
            <w:tcW w:w="4210" w:type="dxa"/>
            <w:noWrap w:val="0"/>
            <w:vAlign w:val="center"/>
          </w:tcPr>
          <w:p w14:paraId="7CB3CB1E">
            <w:pP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color w:val="000000"/>
                <w:sz w:val="24"/>
                <w:highlight w:val="none"/>
                <w:u w:val="none"/>
              </w:rPr>
              <w:t>具有中级或以上技术职称；持有公路工程专业一级建造师注册证书；持有省级或以上交通运输主管部门核发有效的B类安全生产考核合格证书；2020年（含）以来，至少担任过1个新建或改扩建高速公路项目土建工程施工合同段的项目经理职务。</w:t>
            </w:r>
          </w:p>
        </w:tc>
        <w:tc>
          <w:tcPr>
            <w:tcW w:w="1916" w:type="dxa"/>
            <w:vMerge w:val="restart"/>
            <w:tcBorders>
              <w:right w:val="single" w:color="auto" w:sz="4" w:space="0"/>
            </w:tcBorders>
            <w:noWrap w:val="0"/>
            <w:vAlign w:val="center"/>
          </w:tcPr>
          <w:p w14:paraId="7D25AEAE">
            <w:pPr>
              <w:pStyle w:val="15"/>
              <w:spacing w:before="65" w:line="284" w:lineRule="auto"/>
              <w:ind w:right="24"/>
              <w:jc w:val="both"/>
              <w:rPr>
                <w:rFonts w:hint="eastAsia" w:ascii="宋体" w:hAnsi="宋体" w:eastAsia="宋体" w:cs="宋体"/>
                <w:color w:val="000000"/>
                <w:sz w:val="24"/>
                <w:szCs w:val="24"/>
                <w:highlight w:val="none"/>
              </w:rPr>
            </w:pPr>
            <w:r>
              <w:rPr>
                <w:rFonts w:hint="eastAsia" w:ascii="仿宋" w:hAnsi="仿宋" w:eastAsia="仿宋" w:cs="仿宋"/>
                <w:snapToGrid w:val="0"/>
                <w:color w:val="000000"/>
                <w:spacing w:val="5"/>
                <w:kern w:val="0"/>
                <w:sz w:val="24"/>
                <w:szCs w:val="24"/>
                <w:highlight w:val="none"/>
                <w:vertAlign w:val="baseline"/>
                <w:lang w:val="en-US" w:eastAsia="zh-CN" w:bidi="ar-SA"/>
              </w:rPr>
              <w:t>无在岗项目（指目前未在其他项目上任职，或虽在其他项目上任职但本项目中标后能够从该项目撤离）</w:t>
            </w:r>
          </w:p>
        </w:tc>
      </w:tr>
      <w:tr w14:paraId="61AA5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597" w:type="dxa"/>
            <w:vMerge w:val="continue"/>
            <w:noWrap w:val="0"/>
            <w:vAlign w:val="center"/>
          </w:tcPr>
          <w:p w14:paraId="4E30B822">
            <w:pPr>
              <w:pStyle w:val="15"/>
              <w:spacing w:before="65" w:line="227" w:lineRule="auto"/>
              <w:jc w:val="center"/>
              <w:rPr>
                <w:rFonts w:hint="eastAsia" w:ascii="宋体" w:hAnsi="宋体" w:eastAsia="宋体" w:cs="宋体"/>
                <w:color w:val="000000"/>
                <w:spacing w:val="6"/>
                <w:sz w:val="24"/>
                <w:szCs w:val="24"/>
                <w:highlight w:val="none"/>
              </w:rPr>
            </w:pPr>
          </w:p>
        </w:tc>
        <w:tc>
          <w:tcPr>
            <w:tcW w:w="703" w:type="dxa"/>
            <w:noWrap w:val="0"/>
            <w:vAlign w:val="center"/>
          </w:tcPr>
          <w:p w14:paraId="2C7E9EC3">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项目总工</w:t>
            </w:r>
          </w:p>
        </w:tc>
        <w:tc>
          <w:tcPr>
            <w:tcW w:w="712" w:type="dxa"/>
            <w:noWrap w:val="0"/>
            <w:vAlign w:val="center"/>
          </w:tcPr>
          <w:p w14:paraId="7DEE5CD9">
            <w:pPr>
              <w:pStyle w:val="15"/>
              <w:spacing w:before="65" w:line="284" w:lineRule="auto"/>
              <w:ind w:right="24"/>
              <w:jc w:val="cente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snapToGrid w:val="0"/>
                <w:color w:val="000000"/>
                <w:spacing w:val="5"/>
                <w:kern w:val="0"/>
                <w:sz w:val="24"/>
                <w:szCs w:val="24"/>
                <w:highlight w:val="none"/>
                <w:vertAlign w:val="baseline"/>
                <w:lang w:val="en-US" w:eastAsia="zh-CN" w:bidi="ar-SA"/>
              </w:rPr>
              <w:t>1</w:t>
            </w:r>
          </w:p>
        </w:tc>
        <w:tc>
          <w:tcPr>
            <w:tcW w:w="4210" w:type="dxa"/>
            <w:noWrap w:val="0"/>
            <w:vAlign w:val="center"/>
          </w:tcPr>
          <w:p w14:paraId="373CF29A">
            <w:pPr>
              <w:rPr>
                <w:rFonts w:hint="eastAsia" w:ascii="仿宋" w:hAnsi="仿宋" w:eastAsia="仿宋" w:cs="仿宋"/>
                <w:snapToGrid w:val="0"/>
                <w:color w:val="000000"/>
                <w:spacing w:val="5"/>
                <w:kern w:val="0"/>
                <w:sz w:val="24"/>
                <w:szCs w:val="24"/>
                <w:highlight w:val="none"/>
                <w:vertAlign w:val="baseline"/>
                <w:lang w:val="en-US" w:eastAsia="zh-CN" w:bidi="ar-SA"/>
              </w:rPr>
            </w:pPr>
            <w:r>
              <w:rPr>
                <w:rFonts w:hint="eastAsia" w:ascii="仿宋" w:hAnsi="仿宋" w:eastAsia="仿宋" w:cs="仿宋"/>
                <w:color w:val="000000"/>
                <w:sz w:val="24"/>
                <w:highlight w:val="none"/>
                <w:u w:val="none"/>
              </w:rPr>
              <w:t>具有公路工程相关专业高级或以上技术职称；持有省级或以上交通运输主管部门核发有效的B类安全生产考核合格证书；2020年（含）以来，至少担任过1个新建或改扩建高速公路土建工程施工合同段的项目总工职务。</w:t>
            </w:r>
          </w:p>
        </w:tc>
        <w:tc>
          <w:tcPr>
            <w:tcW w:w="1916" w:type="dxa"/>
            <w:vMerge w:val="continue"/>
            <w:tcBorders>
              <w:right w:val="single" w:color="auto" w:sz="4" w:space="0"/>
            </w:tcBorders>
            <w:noWrap w:val="0"/>
            <w:vAlign w:val="center"/>
          </w:tcPr>
          <w:p w14:paraId="07AA1958">
            <w:pPr>
              <w:jc w:val="center"/>
              <w:rPr>
                <w:rFonts w:hint="eastAsia" w:ascii="宋体" w:hAnsi="宋体" w:eastAsia="宋体" w:cs="宋体"/>
                <w:color w:val="000000"/>
                <w:sz w:val="24"/>
                <w:szCs w:val="24"/>
                <w:highlight w:val="none"/>
              </w:rPr>
            </w:pPr>
          </w:p>
        </w:tc>
      </w:tr>
    </w:tbl>
    <w:p w14:paraId="65A945F0">
      <w:pPr>
        <w:pStyle w:val="5"/>
        <w:keepNext w:val="0"/>
        <w:keepLines w:val="0"/>
        <w:pageBreakBefore w:val="0"/>
        <w:widowControl/>
        <w:kinsoku w:val="0"/>
        <w:wordWrap/>
        <w:overflowPunct/>
        <w:topLinePunct w:val="0"/>
        <w:autoSpaceDE w:val="0"/>
        <w:autoSpaceDN w:val="0"/>
        <w:bidi w:val="0"/>
        <w:adjustRightInd w:val="0"/>
        <w:snapToGrid w:val="0"/>
        <w:spacing w:line="520" w:lineRule="exact"/>
        <w:ind w:right="0" w:firstLine="48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注：以联合体形式参加投标的，项目经理和项目总工须为牵头人所属员工。</w:t>
      </w:r>
    </w:p>
    <w:p w14:paraId="1C3B7283">
      <w:pPr>
        <w:pStyle w:val="5"/>
        <w:keepNext w:val="0"/>
        <w:keepLines w:val="0"/>
        <w:pageBreakBefore w:val="0"/>
        <w:widowControl/>
        <w:kinsoku w:val="0"/>
        <w:wordWrap/>
        <w:overflowPunct/>
        <w:topLinePunct w:val="0"/>
        <w:autoSpaceDE w:val="0"/>
        <w:autoSpaceDN w:val="0"/>
        <w:bidi w:val="0"/>
        <w:adjustRightInd w:val="0"/>
        <w:snapToGrid w:val="0"/>
        <w:spacing w:line="4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拟投入的其他管理人员和技术人员在投标时不需填报，但须按招标文件中规定的格式、内容和要求做出相关承诺。具体的人员名单在合同谈判期间确定，但必须满足招标文件中规定的数量及资格要求，作为合同文件的组成部分及招标人进行履约检查的依据。如中标人拟派驻的人员数量和资格条件不满足合同附件的要求，招标人将有权取消其中标资格。</w:t>
      </w:r>
    </w:p>
    <w:p w14:paraId="5E04F56F">
      <w:pPr>
        <w:pStyle w:val="5"/>
        <w:keepNext w:val="0"/>
        <w:keepLines w:val="0"/>
        <w:pageBreakBefore w:val="0"/>
        <w:widowControl/>
        <w:kinsoku w:val="0"/>
        <w:wordWrap/>
        <w:overflowPunct/>
        <w:topLinePunct w:val="0"/>
        <w:autoSpaceDE w:val="0"/>
        <w:autoSpaceDN w:val="0"/>
        <w:bidi w:val="0"/>
        <w:adjustRightInd w:val="0"/>
        <w:snapToGrid w:val="0"/>
        <w:spacing w:line="4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拟投入的主要机械设备、主要试验检测设备，在投标时不需填报，但须按招标文件中规定的格式、内容和要求做出相关承诺。具体的主要机械设备、主要试验检测设备清单在合同谈判期间确定，但必须满足招标文件中规定的数量及性能要求，作为合同文件的组成部分及招标人进行履约检查的依据。</w:t>
      </w:r>
    </w:p>
    <w:p w14:paraId="5639CC68">
      <w:pPr>
        <w:keepNext w:val="0"/>
        <w:keepLines w:val="0"/>
        <w:pageBreakBefore w:val="0"/>
        <w:wordWrap/>
        <w:overflowPunct/>
        <w:topLinePunct w:val="0"/>
        <w:bidi w:val="0"/>
        <w:spacing w:line="48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本次招标接受联合体投标，根据工程内容和相应的资质要求，划分为3个类别专业分工：主体工程（含桥隧、路基）及养护工程施工专业，路面工程施工专业，交通安全设施工程施工专业。组成联合体投标的投标人，必须满足下列要求：</w:t>
      </w:r>
    </w:p>
    <w:p w14:paraId="1BAAAFF3">
      <w:pPr>
        <w:keepNext w:val="0"/>
        <w:keepLines w:val="0"/>
        <w:pageBreakBefore w:val="0"/>
        <w:wordWrap/>
        <w:overflowPunct/>
        <w:topLinePunct w:val="0"/>
        <w:bidi w:val="0"/>
        <w:spacing w:line="48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（1）联合体各成员均应具备独立法人资格，联合体成员最多3家(含3家）单位，各成员须具备承担相应专业分工的资质。</w:t>
      </w:r>
    </w:p>
    <w:p w14:paraId="6A63CD13">
      <w:pPr>
        <w:keepNext w:val="0"/>
        <w:keepLines w:val="0"/>
        <w:pageBreakBefore w:val="0"/>
        <w:wordWrap/>
        <w:overflowPunct/>
        <w:topLinePunct w:val="0"/>
        <w:bidi w:val="0"/>
        <w:spacing w:line="48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（2）联合体牵头单位应是承担主体工程（含桥隧、路基）及养护工程施工专业分工的单位，联合体牵头单位对施工期、养护期施工负总责。项目经理和项目总工须为联合体牵头人所属员工。</w:t>
      </w:r>
    </w:p>
    <w:p w14:paraId="551F032F">
      <w:pPr>
        <w:keepNext w:val="0"/>
        <w:keepLines w:val="0"/>
        <w:pageBreakBefore w:val="0"/>
        <w:wordWrap/>
        <w:overflowPunct/>
        <w:topLinePunct w:val="0"/>
        <w:bidi w:val="0"/>
        <w:spacing w:line="48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（3）同一专业分工只允许由一家成员单位承担。按照各自的专业资质确定联合体的资质，按照各单位相应业绩之和确定联合体的业绩。</w:t>
      </w:r>
    </w:p>
    <w:p w14:paraId="6148153B">
      <w:pPr>
        <w:keepNext w:val="0"/>
        <w:keepLines w:val="0"/>
        <w:pageBreakBefore w:val="0"/>
        <w:wordWrap/>
        <w:overflowPunct/>
        <w:topLinePunct w:val="0"/>
        <w:bidi w:val="0"/>
        <w:spacing w:line="48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（4）联合体各方不得再以自己的名义单独或参加其他联合体在同一标段中投标。</w:t>
      </w:r>
    </w:p>
    <w:p w14:paraId="52AE8619">
      <w:pPr>
        <w:keepNext w:val="0"/>
        <w:keepLines w:val="0"/>
        <w:pageBreakBefore w:val="0"/>
        <w:wordWrap/>
        <w:overflowPunct/>
        <w:topLinePunct w:val="0"/>
        <w:bidi w:val="0"/>
        <w:spacing w:line="48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（5）联合体各方以及与其具有关联关系（单位负责人为同一人或存在控股、管理关系）的单位，不得再以自己名义单独或参加其他联合体在本次投标。</w:t>
      </w:r>
    </w:p>
    <w:p w14:paraId="2660B7A9">
      <w:pPr>
        <w:keepNext w:val="0"/>
        <w:keepLines w:val="0"/>
        <w:pageBreakBefore w:val="0"/>
        <w:wordWrap/>
        <w:overflowPunct/>
        <w:topLinePunct w:val="0"/>
        <w:bidi w:val="0"/>
        <w:spacing w:line="4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（6）联合体各方应按规定的格式签订联合体协议书，明确联合体牵头人和各方权利义务，并承诺就中标项目向招标人承担连带责任。</w:t>
      </w:r>
    </w:p>
    <w:p w14:paraId="0E20D722">
      <w:pPr>
        <w:pStyle w:val="5"/>
        <w:keepNext w:val="0"/>
        <w:keepLines w:val="0"/>
        <w:pageBreakBefore w:val="0"/>
        <w:widowControl/>
        <w:kinsoku w:val="0"/>
        <w:wordWrap/>
        <w:overflowPunct/>
        <w:topLinePunct w:val="0"/>
        <w:autoSpaceDE w:val="0"/>
        <w:autoSpaceDN w:val="0"/>
        <w:bidi w:val="0"/>
        <w:adjustRightInd w:val="0"/>
        <w:snapToGrid w:val="0"/>
        <w:spacing w:line="4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3.与招标人存在利害关系可能影响招标公正性的单位，不得参加投标。单位负责人为同一人或存在控股、管理关系的不同单位，不得同时参加同一标段的投标，否则相关投标均无效。</w:t>
      </w:r>
    </w:p>
    <w:p w14:paraId="026132CD">
      <w:pPr>
        <w:pStyle w:val="5"/>
        <w:keepNext w:val="0"/>
        <w:keepLines w:val="0"/>
        <w:pageBreakBefore w:val="0"/>
        <w:widowControl/>
        <w:kinsoku w:val="0"/>
        <w:wordWrap/>
        <w:overflowPunct/>
        <w:topLinePunct w:val="0"/>
        <w:autoSpaceDE w:val="0"/>
        <w:autoSpaceDN w:val="0"/>
        <w:bidi w:val="0"/>
        <w:adjustRightInd w:val="0"/>
        <w:snapToGrid w:val="0"/>
        <w:spacing w:line="4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同一单位以及单位负责人为同一人或者存在控股、管理关系的不同单位，不能同时获得本项目施工及施工监理、中心试验室标段的中标资格(具有监理与被监理关系)。如先获得施工监理或中心试验室中标资格，将取消其施工标段中标资格，如先获得施工标段中标资格，将取消其施工监理或中心试验室标段中标资格。</w:t>
      </w:r>
    </w:p>
    <w:p w14:paraId="6B499D89">
      <w:pPr>
        <w:pStyle w:val="5"/>
        <w:keepNext w:val="0"/>
        <w:keepLines w:val="0"/>
        <w:pageBreakBefore w:val="0"/>
        <w:widowControl/>
        <w:kinsoku w:val="0"/>
        <w:wordWrap/>
        <w:overflowPunct/>
        <w:topLinePunct w:val="0"/>
        <w:autoSpaceDE w:val="0"/>
        <w:autoSpaceDN w:val="0"/>
        <w:bidi w:val="0"/>
        <w:adjustRightInd w:val="0"/>
        <w:snapToGrid w:val="0"/>
        <w:spacing w:line="4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招标人同期实施G5京昆高速西安至陕川界段安全韧性提升工程（筒车湾至棋盘关段）和G70福银高速西安至陕鄂界段安全韧性提升工程两个项目的施工招标工作，每个投标人可同时参加多个标段的投标，但只允许获得一个标段的中标资格。若出现同一投标人（如为联合体投标时，仅对联合体牵头单位要求）在多个标段综合得分同时排名第一的情况，则推荐其在投标报价高的标段为第一中标候选人，其余标段由其他投标人按综合评分排名依序递补。</w:t>
      </w:r>
    </w:p>
    <w:p w14:paraId="352B5995">
      <w:pPr>
        <w:pStyle w:val="5"/>
        <w:keepNext w:val="0"/>
        <w:keepLines w:val="0"/>
        <w:pageBreakBefore w:val="0"/>
        <w:widowControl/>
        <w:kinsoku w:val="0"/>
        <w:wordWrap/>
        <w:overflowPunct/>
        <w:topLinePunct w:val="0"/>
        <w:autoSpaceDE w:val="0"/>
        <w:autoSpaceDN w:val="0"/>
        <w:bidi w:val="0"/>
        <w:adjustRightInd w:val="0"/>
        <w:snapToGrid w:val="0"/>
        <w:spacing w:line="480" w:lineRule="exact"/>
        <w:ind w:right="0" w:firstLine="640" w:firstLineChars="200"/>
        <w:textAlignment w:val="baseline"/>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6.在“信用中国”网站中被列入失信被执行人名单的投标人，不得参加投标。</w:t>
      </w:r>
    </w:p>
    <w:p w14:paraId="6DFC8603">
      <w:pPr>
        <w:keepNext w:val="0"/>
        <w:keepLines w:val="0"/>
        <w:pageBreakBefore w:val="0"/>
        <w:wordWrap/>
        <w:overflowPunct/>
        <w:topLinePunct w:val="0"/>
        <w:bidi w:val="0"/>
        <w:spacing w:line="48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7.投标保证金：每标段人民币50万元，现金或银行保函。</w:t>
      </w:r>
    </w:p>
    <w:p w14:paraId="53655605">
      <w:pPr>
        <w:spacing w:line="360" w:lineRule="auto"/>
        <w:rPr>
          <w:rFonts w:hint="eastAsia" w:ascii="黑体" w:hAnsi="黑体" w:eastAsia="黑体" w:cs="黑体"/>
          <w:sz w:val="32"/>
          <w:szCs w:val="32"/>
        </w:rPr>
      </w:pPr>
      <w:r>
        <w:rPr>
          <w:rFonts w:hint="eastAsia" w:ascii="黑体" w:hAnsi="黑体" w:eastAsia="黑体" w:cs="黑体"/>
          <w:sz w:val="32"/>
          <w:szCs w:val="32"/>
        </w:rPr>
        <w:t>三、‌‌‌评标办法</w:t>
      </w:r>
    </w:p>
    <w:tbl>
      <w:tblPr>
        <w:tblStyle w:val="8"/>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908"/>
        <w:gridCol w:w="7881"/>
      </w:tblGrid>
      <w:tr w14:paraId="50C3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737" w:type="dxa"/>
            <w:gridSpan w:val="2"/>
            <w:vAlign w:val="center"/>
          </w:tcPr>
          <w:p w14:paraId="57F78F83">
            <w:pPr>
              <w:pStyle w:val="18"/>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b/>
                <w:sz w:val="24"/>
                <w:szCs w:val="24"/>
                <w:highlight w:val="none"/>
              </w:rPr>
            </w:pPr>
          </w:p>
          <w:p w14:paraId="43EB3C4E">
            <w:pPr>
              <w:pStyle w:val="18"/>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条款号</w:t>
            </w:r>
          </w:p>
        </w:tc>
        <w:tc>
          <w:tcPr>
            <w:tcW w:w="7881" w:type="dxa"/>
            <w:vAlign w:val="center"/>
          </w:tcPr>
          <w:p w14:paraId="068A72E9">
            <w:pPr>
              <w:pStyle w:val="18"/>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b/>
                <w:sz w:val="24"/>
                <w:szCs w:val="24"/>
                <w:highlight w:val="none"/>
              </w:rPr>
            </w:pPr>
          </w:p>
          <w:p w14:paraId="1CB93861">
            <w:pPr>
              <w:pStyle w:val="18"/>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评审因素与评审标准</w:t>
            </w:r>
          </w:p>
        </w:tc>
      </w:tr>
      <w:tr w14:paraId="130B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vAlign w:val="center"/>
          </w:tcPr>
          <w:p w14:paraId="7DCA445C">
            <w:pPr>
              <w:pStyle w:val="18"/>
              <w:ind w:left="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08" w:type="dxa"/>
            <w:vAlign w:val="center"/>
          </w:tcPr>
          <w:p w14:paraId="77D8E365">
            <w:pPr>
              <w:pStyle w:val="18"/>
              <w:ind w:left="9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评标方法</w:t>
            </w:r>
          </w:p>
        </w:tc>
        <w:tc>
          <w:tcPr>
            <w:tcW w:w="7881" w:type="dxa"/>
            <w:vAlign w:val="center"/>
          </w:tcPr>
          <w:p w14:paraId="5F757B64">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本次评标采用综合评估法，资格后审。</w:t>
            </w:r>
          </w:p>
          <w:p w14:paraId="0D6E0BDE">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评标委员会对满足招标文件实质性要求的投标文件，按招标文件规定的评分标准进行打分，并按得分由高到低顺序推荐中标候选人，但投标报价低于其成本的除外。</w:t>
            </w:r>
          </w:p>
          <w:p w14:paraId="30C6AEE1">
            <w:pPr>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若综合评分相等时，依次按照以下优先顺序推荐中标候选人：</w:t>
            </w:r>
          </w:p>
          <w:p w14:paraId="298BF0D7">
            <w:pPr>
              <w:pStyle w:val="23"/>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57B2280F">
            <w:pPr>
              <w:pStyle w:val="23"/>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（2）信誉得分较高的投标人优先；</w:t>
            </w:r>
          </w:p>
          <w:p w14:paraId="2778C4F4">
            <w:pPr>
              <w:pStyle w:val="23"/>
              <w:keepNext w:val="0"/>
              <w:keepLines w:val="0"/>
              <w:pageBreakBefore w:val="0"/>
              <w:widowControl w:val="0"/>
              <w:kinsoku/>
              <w:wordWrap/>
              <w:overflowPunct/>
              <w:topLinePunct w:val="0"/>
              <w:autoSpaceDE w:val="0"/>
              <w:autoSpaceDN w:val="0"/>
              <w:bidi w:val="0"/>
              <w:adjustRightInd/>
              <w:snapToGrid w:val="0"/>
              <w:spacing w:line="320" w:lineRule="exact"/>
              <w:ind w:left="0" w:leftChars="0" w:right="0" w:righ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施工组织设计</w:t>
            </w:r>
            <w:r>
              <w:rPr>
                <w:rFonts w:hint="eastAsia" w:ascii="宋体" w:hAnsi="宋体" w:eastAsia="宋体" w:cs="宋体"/>
                <w:color w:val="auto"/>
                <w:sz w:val="24"/>
                <w:szCs w:val="24"/>
                <w:highlight w:val="none"/>
              </w:rPr>
              <w:t>得分较高的投标人优先。</w:t>
            </w:r>
          </w:p>
        </w:tc>
      </w:tr>
      <w:tr w14:paraId="7761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shd w:val="clear" w:color="auto" w:fill="auto"/>
            <w:vAlign w:val="top"/>
          </w:tcPr>
          <w:p w14:paraId="15A14207">
            <w:pPr>
              <w:pStyle w:val="18"/>
              <w:rPr>
                <w:rFonts w:hint="eastAsia" w:ascii="宋体" w:hAnsi="宋体" w:eastAsia="宋体" w:cs="宋体"/>
                <w:b/>
                <w:sz w:val="24"/>
                <w:szCs w:val="24"/>
                <w:highlight w:val="none"/>
              </w:rPr>
            </w:pPr>
          </w:p>
          <w:p w14:paraId="0F37741C">
            <w:pPr>
              <w:pStyle w:val="18"/>
              <w:rPr>
                <w:rFonts w:hint="eastAsia" w:ascii="宋体" w:hAnsi="宋体" w:eastAsia="宋体" w:cs="宋体"/>
                <w:b/>
                <w:sz w:val="24"/>
                <w:szCs w:val="24"/>
                <w:highlight w:val="none"/>
              </w:rPr>
            </w:pPr>
          </w:p>
          <w:p w14:paraId="79C4E951">
            <w:pPr>
              <w:pStyle w:val="18"/>
              <w:rPr>
                <w:rFonts w:hint="eastAsia" w:ascii="宋体" w:hAnsi="宋体" w:eastAsia="宋体" w:cs="宋体"/>
                <w:b/>
                <w:sz w:val="24"/>
                <w:szCs w:val="24"/>
                <w:highlight w:val="none"/>
              </w:rPr>
            </w:pPr>
          </w:p>
          <w:p w14:paraId="3F253945">
            <w:pPr>
              <w:pStyle w:val="18"/>
              <w:rPr>
                <w:rFonts w:hint="eastAsia" w:ascii="宋体" w:hAnsi="宋体" w:eastAsia="宋体" w:cs="宋体"/>
                <w:b/>
                <w:sz w:val="24"/>
                <w:szCs w:val="24"/>
                <w:highlight w:val="none"/>
              </w:rPr>
            </w:pPr>
          </w:p>
          <w:p w14:paraId="7738E434">
            <w:pPr>
              <w:pStyle w:val="18"/>
              <w:rPr>
                <w:rFonts w:hint="eastAsia" w:ascii="宋体" w:hAnsi="宋体" w:eastAsia="宋体" w:cs="宋体"/>
                <w:b/>
                <w:sz w:val="24"/>
                <w:szCs w:val="24"/>
                <w:highlight w:val="none"/>
              </w:rPr>
            </w:pPr>
          </w:p>
          <w:p w14:paraId="25B806C7">
            <w:pPr>
              <w:pStyle w:val="18"/>
              <w:rPr>
                <w:rFonts w:hint="eastAsia" w:ascii="宋体" w:hAnsi="宋体" w:eastAsia="宋体" w:cs="宋体"/>
                <w:b/>
                <w:sz w:val="24"/>
                <w:szCs w:val="24"/>
                <w:highlight w:val="none"/>
              </w:rPr>
            </w:pPr>
          </w:p>
          <w:p w14:paraId="1A54C472">
            <w:pPr>
              <w:pStyle w:val="18"/>
              <w:rPr>
                <w:rFonts w:hint="eastAsia" w:ascii="宋体" w:hAnsi="宋体" w:eastAsia="宋体" w:cs="宋体"/>
                <w:b/>
                <w:sz w:val="24"/>
                <w:szCs w:val="24"/>
                <w:highlight w:val="none"/>
              </w:rPr>
            </w:pPr>
          </w:p>
          <w:p w14:paraId="0A1E80BE">
            <w:pPr>
              <w:pStyle w:val="18"/>
              <w:rPr>
                <w:rFonts w:hint="eastAsia" w:ascii="宋体" w:hAnsi="宋体" w:eastAsia="宋体" w:cs="宋体"/>
                <w:b/>
                <w:sz w:val="24"/>
                <w:szCs w:val="24"/>
                <w:highlight w:val="none"/>
              </w:rPr>
            </w:pPr>
          </w:p>
          <w:p w14:paraId="3D3FFC6E">
            <w:pPr>
              <w:pStyle w:val="18"/>
              <w:rPr>
                <w:rFonts w:hint="eastAsia" w:ascii="宋体" w:hAnsi="宋体" w:eastAsia="宋体" w:cs="宋体"/>
                <w:b/>
                <w:sz w:val="24"/>
                <w:szCs w:val="24"/>
                <w:highlight w:val="none"/>
              </w:rPr>
            </w:pPr>
          </w:p>
          <w:p w14:paraId="2D66677F">
            <w:pPr>
              <w:pStyle w:val="18"/>
              <w:rPr>
                <w:rFonts w:hint="eastAsia" w:ascii="宋体" w:hAnsi="宋体" w:eastAsia="宋体" w:cs="宋体"/>
                <w:b/>
                <w:sz w:val="24"/>
                <w:szCs w:val="24"/>
                <w:highlight w:val="none"/>
              </w:rPr>
            </w:pPr>
          </w:p>
          <w:p w14:paraId="7292EA7E">
            <w:pPr>
              <w:pStyle w:val="18"/>
              <w:rPr>
                <w:rFonts w:hint="eastAsia" w:ascii="宋体" w:hAnsi="宋体" w:eastAsia="宋体" w:cs="宋体"/>
                <w:b/>
                <w:sz w:val="24"/>
                <w:szCs w:val="24"/>
                <w:highlight w:val="none"/>
              </w:rPr>
            </w:pPr>
          </w:p>
          <w:p w14:paraId="4F68F2FF">
            <w:pPr>
              <w:pStyle w:val="18"/>
              <w:rPr>
                <w:rFonts w:hint="eastAsia" w:ascii="宋体" w:hAnsi="宋体" w:eastAsia="宋体" w:cs="宋体"/>
                <w:b/>
                <w:sz w:val="24"/>
                <w:szCs w:val="24"/>
                <w:highlight w:val="none"/>
              </w:rPr>
            </w:pPr>
          </w:p>
          <w:p w14:paraId="5F39534B">
            <w:pPr>
              <w:pStyle w:val="18"/>
              <w:rPr>
                <w:rFonts w:hint="eastAsia" w:ascii="宋体" w:hAnsi="宋体" w:eastAsia="宋体" w:cs="宋体"/>
                <w:b/>
                <w:sz w:val="24"/>
                <w:szCs w:val="24"/>
                <w:highlight w:val="none"/>
              </w:rPr>
            </w:pPr>
          </w:p>
          <w:p w14:paraId="645B2EC8">
            <w:pPr>
              <w:pStyle w:val="18"/>
              <w:spacing w:before="8"/>
              <w:rPr>
                <w:rFonts w:hint="eastAsia" w:ascii="宋体" w:hAnsi="宋体" w:eastAsia="宋体" w:cs="宋体"/>
                <w:b/>
                <w:sz w:val="24"/>
                <w:szCs w:val="24"/>
                <w:highlight w:val="none"/>
              </w:rPr>
            </w:pPr>
          </w:p>
          <w:p w14:paraId="10FAFD56">
            <w:pPr>
              <w:pStyle w:val="18"/>
              <w:ind w:left="102"/>
              <w:rPr>
                <w:rFonts w:hint="eastAsia" w:ascii="宋体" w:hAnsi="宋体" w:eastAsia="宋体" w:cs="宋体"/>
                <w:sz w:val="24"/>
                <w:szCs w:val="24"/>
                <w:highlight w:val="none"/>
              </w:rPr>
            </w:pPr>
            <w:r>
              <w:rPr>
                <w:rFonts w:hint="eastAsia" w:ascii="宋体" w:hAnsi="宋体" w:eastAsia="宋体" w:cs="宋体"/>
                <w:sz w:val="24"/>
                <w:szCs w:val="24"/>
                <w:highlight w:val="none"/>
              </w:rPr>
              <w:t>2.1.1</w:t>
            </w:r>
          </w:p>
          <w:p w14:paraId="7E367702">
            <w:pPr>
              <w:pStyle w:val="18"/>
              <w:spacing w:before="12"/>
              <w:rPr>
                <w:rFonts w:hint="eastAsia" w:ascii="宋体" w:hAnsi="宋体" w:eastAsia="宋体" w:cs="宋体"/>
                <w:b/>
                <w:sz w:val="24"/>
                <w:szCs w:val="24"/>
                <w:highlight w:val="none"/>
              </w:rPr>
            </w:pPr>
          </w:p>
          <w:p w14:paraId="363E1C89">
            <w:pPr>
              <w:pStyle w:val="18"/>
              <w:ind w:left="102" w:leftChars="0"/>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2.1.3</w:t>
            </w:r>
          </w:p>
        </w:tc>
        <w:tc>
          <w:tcPr>
            <w:tcW w:w="908" w:type="dxa"/>
            <w:shd w:val="clear" w:color="auto" w:fill="auto"/>
            <w:vAlign w:val="center"/>
          </w:tcPr>
          <w:p w14:paraId="57F63539">
            <w:pPr>
              <w:pStyle w:val="18"/>
              <w:jc w:val="center"/>
              <w:rPr>
                <w:rFonts w:hint="eastAsia" w:ascii="宋体" w:hAnsi="宋体" w:eastAsia="宋体" w:cs="宋体"/>
                <w:b/>
                <w:sz w:val="24"/>
                <w:szCs w:val="24"/>
                <w:highlight w:val="none"/>
              </w:rPr>
            </w:pPr>
          </w:p>
          <w:p w14:paraId="788C5A0A">
            <w:pPr>
              <w:pStyle w:val="18"/>
              <w:spacing w:line="410" w:lineRule="auto"/>
              <w:ind w:left="91" w:leftChars="0" w:right="59" w:rightChars="0"/>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形式评审与响应性评审标准</w:t>
            </w:r>
          </w:p>
        </w:tc>
        <w:tc>
          <w:tcPr>
            <w:tcW w:w="7881" w:type="dxa"/>
            <w:shd w:val="clear" w:color="auto" w:fill="auto"/>
            <w:vAlign w:val="center"/>
          </w:tcPr>
          <w:p w14:paraId="4B206316">
            <w:pPr>
              <w:pStyle w:val="18"/>
              <w:spacing w:line="400" w:lineRule="exact"/>
              <w:ind w:left="14" w:right="151" w:rightChars="7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第一个信封（商务及技术文件）评审标准：</w:t>
            </w:r>
          </w:p>
          <w:p w14:paraId="6606FDA3">
            <w:pPr>
              <w:pStyle w:val="18"/>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（1）投标文件按照招标文件规定的格式、内容填写，字迹清晰可辨：</w:t>
            </w:r>
          </w:p>
          <w:p w14:paraId="3AC87371">
            <w:pPr>
              <w:pStyle w:val="18"/>
              <w:tabs>
                <w:tab w:val="left" w:pos="229"/>
              </w:tabs>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a.</w:t>
            </w:r>
            <w:r>
              <w:rPr>
                <w:rFonts w:hint="eastAsia" w:ascii="宋体" w:hAnsi="宋体" w:eastAsia="宋体" w:cs="宋体"/>
                <w:sz w:val="24"/>
                <w:szCs w:val="24"/>
                <w:highlight w:val="none"/>
              </w:rPr>
              <w:t>投标函按招标文件规定填报了项目名称、标段号、补遗书编号（如有）</w:t>
            </w:r>
            <w:r>
              <w:rPr>
                <w:rFonts w:hint="eastAsia" w:ascii="宋体" w:hAnsi="宋体" w:eastAsia="宋体" w:cs="宋体"/>
                <w:spacing w:val="-3"/>
                <w:sz w:val="24"/>
                <w:szCs w:val="24"/>
                <w:highlight w:val="none"/>
              </w:rPr>
              <w:t>、服务期限、工程质量要求及安全目标；</w:t>
            </w:r>
          </w:p>
          <w:p w14:paraId="72B07B2C">
            <w:pPr>
              <w:pStyle w:val="18"/>
              <w:tabs>
                <w:tab w:val="left" w:pos="227"/>
              </w:tabs>
              <w:spacing w:line="40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lang w:val="en-US" w:eastAsia="zh-CN"/>
              </w:rPr>
              <w:t>b</w:t>
            </w:r>
            <w:r>
              <w:rPr>
                <w:rFonts w:hint="eastAsia" w:ascii="宋体" w:hAnsi="宋体" w:eastAsia="宋体" w:cs="宋体"/>
                <w:spacing w:val="-3"/>
                <w:sz w:val="24"/>
                <w:szCs w:val="24"/>
                <w:highlight w:val="none"/>
                <w:lang w:val="en-US"/>
              </w:rPr>
              <w:t>.</w:t>
            </w:r>
            <w:r>
              <w:rPr>
                <w:rFonts w:hint="eastAsia" w:ascii="宋体" w:hAnsi="宋体" w:eastAsia="宋体" w:cs="宋体"/>
                <w:spacing w:val="-3"/>
                <w:sz w:val="24"/>
                <w:szCs w:val="24"/>
                <w:highlight w:val="none"/>
              </w:rPr>
              <w:t>投标文件组成齐全完整，提供的相关资料符合招标文件规定，内容均按规定填写。</w:t>
            </w:r>
          </w:p>
          <w:p w14:paraId="007AE186">
            <w:pPr>
              <w:pStyle w:val="18"/>
              <w:tabs>
                <w:tab w:val="left" w:pos="542"/>
              </w:tabs>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rPr>
              <w:t>2</w:t>
            </w:r>
            <w:r>
              <w:rPr>
                <w:rFonts w:hint="eastAsia" w:ascii="宋体" w:hAnsi="宋体" w:eastAsia="宋体" w:cs="宋体"/>
                <w:spacing w:val="-5"/>
                <w:sz w:val="24"/>
                <w:szCs w:val="24"/>
                <w:highlight w:val="none"/>
              </w:rPr>
              <w:t>）投标文件上法定代表人或其委托代理人的签字、投标人的单位章盖章齐全，符合</w:t>
            </w:r>
            <w:r>
              <w:rPr>
                <w:rFonts w:hint="eastAsia" w:ascii="宋体" w:hAnsi="宋体" w:eastAsia="宋体" w:cs="宋体"/>
                <w:spacing w:val="-4"/>
                <w:sz w:val="24"/>
                <w:szCs w:val="24"/>
                <w:highlight w:val="none"/>
              </w:rPr>
              <w:t>招标文件规定。</w:t>
            </w:r>
          </w:p>
          <w:p w14:paraId="5D7D10A4">
            <w:pPr>
              <w:pStyle w:val="18"/>
              <w:tabs>
                <w:tab w:val="left" w:pos="544"/>
              </w:tabs>
              <w:spacing w:line="40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3</w:t>
            </w:r>
            <w:r>
              <w:rPr>
                <w:rFonts w:hint="eastAsia" w:ascii="宋体" w:hAnsi="宋体" w:eastAsia="宋体" w:cs="宋体"/>
                <w:spacing w:val="-3"/>
                <w:sz w:val="24"/>
                <w:szCs w:val="24"/>
                <w:highlight w:val="none"/>
              </w:rPr>
              <w:t>）投标人按照招标文件的规定提供了投标保证金：</w:t>
            </w:r>
          </w:p>
          <w:p w14:paraId="3C712445">
            <w:pPr>
              <w:pStyle w:val="18"/>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a.</w:t>
            </w:r>
            <w:r>
              <w:rPr>
                <w:rFonts w:hint="eastAsia" w:ascii="宋体" w:hAnsi="宋体" w:eastAsia="宋体" w:cs="宋体"/>
                <w:spacing w:val="-4"/>
                <w:sz w:val="24"/>
                <w:szCs w:val="24"/>
                <w:highlight w:val="none"/>
              </w:rPr>
              <w:t>投标保证金金额符合招标文件规定的金额，且投标保证金有效期不少于投标有效期b</w:t>
            </w:r>
            <w:r>
              <w:rPr>
                <w:rFonts w:hint="eastAsia" w:ascii="宋体" w:hAnsi="宋体" w:eastAsia="宋体" w:cs="宋体"/>
                <w:spacing w:val="-5"/>
                <w:sz w:val="24"/>
                <w:szCs w:val="24"/>
                <w:highlight w:val="none"/>
              </w:rPr>
              <w:t>.若投标保证金采用现金形式提交，投标人应在递交投标文件截止时间之前，将投标</w:t>
            </w:r>
            <w:r>
              <w:rPr>
                <w:rFonts w:hint="eastAsia" w:ascii="宋体" w:hAnsi="宋体" w:eastAsia="宋体" w:cs="宋体"/>
                <w:spacing w:val="-3"/>
                <w:sz w:val="24"/>
                <w:szCs w:val="24"/>
                <w:highlight w:val="none"/>
              </w:rPr>
              <w:t>保证金由投标人的基本账户转入招标人指定账户；</w:t>
            </w:r>
          </w:p>
          <w:p w14:paraId="1F58E711">
            <w:pPr>
              <w:pStyle w:val="18"/>
              <w:tabs>
                <w:tab w:val="left" w:pos="229"/>
              </w:tabs>
              <w:spacing w:line="40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c.</w:t>
            </w:r>
            <w:r>
              <w:rPr>
                <w:rFonts w:hint="eastAsia" w:ascii="宋体" w:hAnsi="宋体" w:eastAsia="宋体" w:cs="宋体"/>
                <w:sz w:val="24"/>
                <w:szCs w:val="24"/>
                <w:highlight w:val="none"/>
              </w:rPr>
              <w:t>若投标保证金采用银行保函形式提交，银行保函的格式、开具保函的银行均满足招标文件要求，且在递交投标文件截止时间之前向招标人提交了银行保函和开具保函权</w:t>
            </w:r>
            <w:r>
              <w:rPr>
                <w:rFonts w:hint="eastAsia" w:ascii="宋体" w:hAnsi="宋体" w:eastAsia="宋体" w:cs="宋体"/>
                <w:spacing w:val="-1"/>
                <w:sz w:val="24"/>
                <w:szCs w:val="24"/>
                <w:highlight w:val="none"/>
              </w:rPr>
              <w:t>限说明</w:t>
            </w:r>
            <w:r>
              <w:rPr>
                <w:rFonts w:hint="eastAsia" w:ascii="宋体" w:hAnsi="宋体" w:eastAsia="宋体" w:cs="宋体"/>
                <w:sz w:val="24"/>
                <w:szCs w:val="24"/>
                <w:highlight w:val="none"/>
              </w:rPr>
              <w:t>（</w:t>
            </w:r>
            <w:r>
              <w:rPr>
                <w:rFonts w:hint="eastAsia" w:ascii="宋体" w:hAnsi="宋体" w:eastAsia="宋体" w:cs="宋体"/>
                <w:spacing w:val="-2"/>
                <w:sz w:val="24"/>
                <w:szCs w:val="24"/>
                <w:highlight w:val="none"/>
              </w:rPr>
              <w:t>如有</w:t>
            </w:r>
            <w:r>
              <w:rPr>
                <w:rFonts w:hint="eastAsia" w:ascii="宋体" w:hAnsi="宋体" w:eastAsia="宋体" w:cs="宋体"/>
                <w:spacing w:val="-3"/>
                <w:sz w:val="24"/>
                <w:szCs w:val="24"/>
                <w:highlight w:val="none"/>
              </w:rPr>
              <w:t>）</w:t>
            </w:r>
            <w:r>
              <w:rPr>
                <w:rFonts w:hint="eastAsia" w:ascii="宋体" w:hAnsi="宋体" w:eastAsia="宋体" w:cs="宋体"/>
                <w:spacing w:val="-2"/>
                <w:sz w:val="24"/>
                <w:szCs w:val="24"/>
                <w:highlight w:val="none"/>
              </w:rPr>
              <w:t>的原件。</w:t>
            </w:r>
          </w:p>
          <w:p w14:paraId="4304A644">
            <w:pPr>
              <w:pStyle w:val="18"/>
              <w:tabs>
                <w:tab w:val="left" w:pos="227"/>
              </w:tabs>
              <w:spacing w:line="40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lang w:val="en-US"/>
              </w:rPr>
              <w:t>d.</w:t>
            </w:r>
            <w:r>
              <w:rPr>
                <w:rFonts w:hint="eastAsia" w:ascii="宋体" w:hAnsi="宋体" w:eastAsia="宋体" w:cs="宋体"/>
                <w:spacing w:val="-6"/>
                <w:sz w:val="24"/>
                <w:szCs w:val="24"/>
                <w:highlight w:val="none"/>
              </w:rPr>
              <w:t xml:space="preserve">投标保证金递交符合招标文件投标人须知前附表第 </w:t>
            </w: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2</w:t>
            </w:r>
            <w:r>
              <w:rPr>
                <w:rFonts w:hint="eastAsia" w:ascii="宋体" w:hAnsi="宋体" w:eastAsia="宋体" w:cs="宋体"/>
                <w:spacing w:val="-10"/>
                <w:sz w:val="24"/>
                <w:szCs w:val="24"/>
                <w:highlight w:val="none"/>
              </w:rPr>
              <w:t xml:space="preserve"> 款相关要求。</w:t>
            </w:r>
          </w:p>
          <w:p w14:paraId="52F148E0">
            <w:pPr>
              <w:pStyle w:val="18"/>
              <w:spacing w:line="400" w:lineRule="exact"/>
              <w:ind w:left="14" w:right="151" w:rightChars="72"/>
              <w:jc w:val="both"/>
              <w:rPr>
                <w:rFonts w:hint="eastAsia" w:ascii="宋体" w:hAnsi="宋体" w:eastAsia="宋体" w:cs="宋体"/>
                <w:spacing w:val="-6"/>
                <w:sz w:val="24"/>
                <w:szCs w:val="24"/>
                <w:highlight w:val="none"/>
              </w:rPr>
            </w:pPr>
            <w:r>
              <w:rPr>
                <w:rFonts w:hint="eastAsia" w:ascii="宋体" w:hAnsi="宋体" w:eastAsia="宋体" w:cs="宋体"/>
                <w:spacing w:val="-3"/>
                <w:sz w:val="24"/>
                <w:szCs w:val="24"/>
                <w:highlight w:val="none"/>
              </w:rPr>
              <w:t>（4）</w:t>
            </w:r>
            <w:r>
              <w:rPr>
                <w:rFonts w:hint="eastAsia" w:ascii="宋体" w:hAnsi="宋体" w:eastAsia="宋体" w:cs="宋体"/>
                <w:spacing w:val="-5"/>
                <w:sz w:val="24"/>
                <w:szCs w:val="24"/>
                <w:highlight w:val="none"/>
              </w:rPr>
              <w:t>投标人法定代表人授权委托代理人签署投标文件的，须提交授权委托书，且授权</w:t>
            </w:r>
            <w:r>
              <w:rPr>
                <w:rFonts w:hint="eastAsia" w:ascii="宋体" w:hAnsi="宋体" w:eastAsia="宋体" w:cs="宋体"/>
                <w:spacing w:val="-6"/>
                <w:sz w:val="24"/>
                <w:szCs w:val="24"/>
                <w:highlight w:val="none"/>
              </w:rPr>
              <w:t>人和被授权人均在授权委托书上签名，未使用印章、签名章或其他电子制版签名代替。</w:t>
            </w:r>
          </w:p>
          <w:p w14:paraId="7E106AC7">
            <w:pPr>
              <w:pStyle w:val="18"/>
              <w:spacing w:line="400" w:lineRule="exact"/>
              <w:ind w:left="14" w:right="151" w:rightChars="72"/>
              <w:jc w:val="both"/>
              <w:rPr>
                <w:rFonts w:hint="eastAsia" w:ascii="宋体" w:hAnsi="宋体" w:eastAsia="宋体" w:cs="宋体"/>
                <w:spacing w:val="-4"/>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rPr>
              <w:t>5</w:t>
            </w:r>
            <w:r>
              <w:rPr>
                <w:rFonts w:hint="eastAsia" w:ascii="宋体" w:hAnsi="宋体" w:eastAsia="宋体" w:cs="宋体"/>
                <w:spacing w:val="-6"/>
                <w:sz w:val="24"/>
                <w:szCs w:val="24"/>
                <w:highlight w:val="none"/>
              </w:rPr>
              <w:t>）</w:t>
            </w:r>
            <w:r>
              <w:rPr>
                <w:rFonts w:hint="eastAsia" w:ascii="宋体" w:hAnsi="宋体" w:eastAsia="宋体" w:cs="宋体"/>
                <w:spacing w:val="-5"/>
                <w:sz w:val="24"/>
                <w:szCs w:val="24"/>
                <w:highlight w:val="none"/>
              </w:rPr>
              <w:t>投标人法定代表人亲自签署投标文件的，提供了法定代表人身份证明，且法定代</w:t>
            </w:r>
            <w:r>
              <w:rPr>
                <w:rFonts w:hint="eastAsia" w:ascii="宋体" w:hAnsi="宋体" w:eastAsia="宋体" w:cs="宋体"/>
                <w:spacing w:val="-4"/>
                <w:sz w:val="24"/>
                <w:szCs w:val="24"/>
                <w:highlight w:val="none"/>
              </w:rPr>
              <w:t>表人在法定代表人身份证明上签名</w:t>
            </w:r>
            <w:r>
              <w:rPr>
                <w:rFonts w:hint="eastAsia" w:ascii="宋体" w:hAnsi="宋体" w:eastAsia="宋体" w:cs="宋体"/>
                <w:spacing w:val="-4"/>
                <w:sz w:val="24"/>
                <w:szCs w:val="24"/>
                <w:highlight w:val="none"/>
                <w:lang w:val="en-US" w:eastAsia="zh-CN"/>
              </w:rPr>
              <w:t>或盖章</w:t>
            </w:r>
            <w:r>
              <w:rPr>
                <w:rFonts w:hint="eastAsia" w:ascii="宋体" w:hAnsi="宋体" w:eastAsia="宋体" w:cs="宋体"/>
                <w:spacing w:val="-4"/>
                <w:sz w:val="24"/>
                <w:szCs w:val="24"/>
                <w:highlight w:val="none"/>
              </w:rPr>
              <w:t>。</w:t>
            </w:r>
          </w:p>
          <w:p w14:paraId="76159D15">
            <w:pPr>
              <w:pStyle w:val="18"/>
              <w:spacing w:line="400" w:lineRule="exact"/>
              <w:ind w:left="14" w:right="151" w:rightChars="72"/>
              <w:jc w:val="both"/>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6</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val="en-US" w:eastAsia="zh-CN"/>
              </w:rPr>
              <w:t>投标人以联合体投标时，联合体满足招标文件的要求： a.投标人 按照招标文件提供的格式签订了联合体协议书，明确各方承担连带责任 ，并明确了联合体牵头人，且联合体的组成符合招标文件规定； b.联合体各方分别按照招标文件要求，填写投标文件中的相应表格。</w:t>
            </w:r>
          </w:p>
          <w:p w14:paraId="6B2EECC9">
            <w:pPr>
              <w:pStyle w:val="18"/>
              <w:spacing w:line="400" w:lineRule="exact"/>
              <w:ind w:left="14" w:right="151" w:rightChars="72"/>
              <w:jc w:val="both"/>
              <w:rPr>
                <w:rFonts w:hint="eastAsia" w:ascii="宋体" w:hAnsi="宋体" w:eastAsia="宋体" w:cs="宋体"/>
                <w:spacing w:val="-4"/>
                <w:sz w:val="24"/>
                <w:szCs w:val="24"/>
                <w:highlight w:val="none"/>
                <w:lang w:val="en-US" w:eastAsia="zh-CN"/>
              </w:rPr>
            </w:pPr>
            <w:r>
              <w:rPr>
                <w:rFonts w:hint="eastAsia" w:ascii="宋体" w:hAnsi="宋体" w:eastAsia="宋体" w:cs="宋体"/>
                <w:spacing w:val="-4"/>
                <w:sz w:val="24"/>
                <w:szCs w:val="24"/>
                <w:highlight w:val="none"/>
                <w:lang w:val="en-US" w:eastAsia="zh-CN"/>
              </w:rPr>
              <w:t>（7）投标人如有分包计划 ，符合招标文件第二章“投标人须知 ”第1.11款规定 ，且按招标文件第九章“投标文件格式 ”的要求填写了“拟分包项目情况表 ”。</w:t>
            </w:r>
            <w:bookmarkStart w:id="0" w:name="_GoBack"/>
            <w:bookmarkEnd w:id="0"/>
          </w:p>
          <w:p w14:paraId="7B9628EE">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8</w:t>
            </w:r>
            <w:r>
              <w:rPr>
                <w:rFonts w:hint="eastAsia" w:ascii="宋体" w:hAnsi="宋体" w:eastAsia="宋体" w:cs="宋体"/>
                <w:spacing w:val="-3"/>
                <w:sz w:val="24"/>
                <w:szCs w:val="24"/>
                <w:highlight w:val="none"/>
              </w:rPr>
              <w:t>）同一投标人未提交两个以上不同的投标文件。</w:t>
            </w:r>
          </w:p>
          <w:p w14:paraId="5ED05E2D">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9</w:t>
            </w:r>
            <w:r>
              <w:rPr>
                <w:rFonts w:hint="eastAsia" w:ascii="宋体" w:hAnsi="宋体" w:eastAsia="宋体" w:cs="宋体"/>
                <w:spacing w:val="-3"/>
                <w:sz w:val="24"/>
                <w:szCs w:val="24"/>
                <w:highlight w:val="none"/>
              </w:rPr>
              <w:t>）投标文件中未出现有关投标报价的内容。</w:t>
            </w:r>
          </w:p>
          <w:p w14:paraId="71DA7EC4">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10</w:t>
            </w:r>
            <w:r>
              <w:rPr>
                <w:rFonts w:hint="eastAsia" w:ascii="宋体" w:hAnsi="宋体" w:eastAsia="宋体" w:cs="宋体"/>
                <w:spacing w:val="-3"/>
                <w:sz w:val="24"/>
                <w:szCs w:val="24"/>
                <w:highlight w:val="none"/>
              </w:rPr>
              <w:t>）投标文件载明的招标项目完成期限符合招标文件规定。</w:t>
            </w:r>
          </w:p>
          <w:p w14:paraId="1A869C45">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eastAsia="zh-CN"/>
              </w:rPr>
              <w:t>11</w:t>
            </w:r>
            <w:r>
              <w:rPr>
                <w:rFonts w:hint="eastAsia" w:ascii="宋体" w:hAnsi="宋体" w:eastAsia="宋体" w:cs="宋体"/>
                <w:spacing w:val="-3"/>
                <w:sz w:val="24"/>
                <w:szCs w:val="24"/>
                <w:highlight w:val="none"/>
              </w:rPr>
              <w:t>）投标文件对招标文件的实质性要求和条件作出响应。</w:t>
            </w:r>
          </w:p>
          <w:p w14:paraId="49161359">
            <w:pPr>
              <w:pStyle w:val="18"/>
              <w:tabs>
                <w:tab w:val="left" w:pos="650"/>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1</w:t>
            </w:r>
            <w:r>
              <w:rPr>
                <w:rFonts w:hint="eastAsia" w:ascii="宋体" w:hAnsi="宋体" w:eastAsia="宋体" w:cs="宋体"/>
                <w:spacing w:val="-3"/>
                <w:sz w:val="24"/>
                <w:szCs w:val="24"/>
                <w:highlight w:val="none"/>
                <w:lang w:val="en-US" w:eastAsia="zh-CN"/>
              </w:rPr>
              <w:t>2</w:t>
            </w:r>
            <w:r>
              <w:rPr>
                <w:rFonts w:hint="eastAsia" w:ascii="宋体" w:hAnsi="宋体" w:eastAsia="宋体" w:cs="宋体"/>
                <w:spacing w:val="-3"/>
                <w:sz w:val="24"/>
                <w:szCs w:val="24"/>
                <w:highlight w:val="none"/>
              </w:rPr>
              <w:t>）权利义务符合招标文件规定：</w:t>
            </w:r>
          </w:p>
          <w:p w14:paraId="1A02F9C1">
            <w:pPr>
              <w:pStyle w:val="18"/>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a.投标人应接受招标文件规定的风险划分原则，未提出新的风险划分办法； </w:t>
            </w:r>
          </w:p>
          <w:p w14:paraId="7BF0ECCC">
            <w:pPr>
              <w:pStyle w:val="18"/>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b.投标人未增加委托人的责任范围，或减少投标人义务；</w:t>
            </w:r>
          </w:p>
          <w:p w14:paraId="10A8FB98">
            <w:pPr>
              <w:pStyle w:val="18"/>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c.投标人未提出不同的支付办法；</w:t>
            </w:r>
          </w:p>
          <w:p w14:paraId="1ED142B1">
            <w:pPr>
              <w:pStyle w:val="18"/>
              <w:spacing w:line="360" w:lineRule="exact"/>
              <w:ind w:left="14" w:right="151" w:rightChars="72"/>
              <w:jc w:val="both"/>
              <w:rPr>
                <w:rFonts w:hint="eastAsia" w:ascii="宋体" w:hAnsi="宋体" w:eastAsia="宋体" w:cs="宋体"/>
                <w:spacing w:val="-4"/>
                <w:sz w:val="24"/>
                <w:szCs w:val="24"/>
                <w:highlight w:val="none"/>
              </w:rPr>
            </w:pPr>
            <w:r>
              <w:rPr>
                <w:rFonts w:hint="eastAsia" w:ascii="宋体" w:hAnsi="宋体" w:eastAsia="宋体" w:cs="宋体"/>
                <w:sz w:val="24"/>
                <w:szCs w:val="24"/>
                <w:highlight w:val="none"/>
              </w:rPr>
              <w:t>d.</w:t>
            </w:r>
            <w:r>
              <w:rPr>
                <w:rFonts w:hint="eastAsia" w:ascii="宋体" w:hAnsi="宋体" w:eastAsia="宋体" w:cs="宋体"/>
                <w:spacing w:val="-4"/>
                <w:sz w:val="24"/>
                <w:szCs w:val="24"/>
                <w:highlight w:val="none"/>
              </w:rPr>
              <w:t>投标人对合同纠纷、事故处理办法未提出异议；</w:t>
            </w:r>
          </w:p>
          <w:p w14:paraId="59392D1A">
            <w:pPr>
              <w:pStyle w:val="18"/>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e.</w:t>
            </w:r>
            <w:r>
              <w:rPr>
                <w:rFonts w:hint="eastAsia" w:ascii="宋体" w:hAnsi="宋体" w:eastAsia="宋体" w:cs="宋体"/>
                <w:spacing w:val="-3"/>
                <w:sz w:val="24"/>
                <w:szCs w:val="24"/>
                <w:highlight w:val="none"/>
              </w:rPr>
              <w:t>投标人在投标活动中无欺诈行为；</w:t>
            </w:r>
          </w:p>
          <w:p w14:paraId="1130E82B">
            <w:pPr>
              <w:pStyle w:val="18"/>
              <w:spacing w:line="360" w:lineRule="exact"/>
              <w:ind w:left="14" w:right="151" w:rightChars="72"/>
              <w:jc w:val="both"/>
              <w:rPr>
                <w:rFonts w:hint="eastAsia" w:ascii="宋体" w:hAnsi="宋体" w:eastAsia="宋体" w:cs="宋体"/>
                <w:spacing w:val="-3"/>
                <w:sz w:val="24"/>
                <w:szCs w:val="24"/>
                <w:highlight w:val="none"/>
              </w:rPr>
            </w:pPr>
            <w:r>
              <w:rPr>
                <w:rFonts w:hint="eastAsia" w:ascii="宋体" w:hAnsi="宋体" w:eastAsia="宋体" w:cs="宋体"/>
                <w:sz w:val="24"/>
                <w:szCs w:val="24"/>
                <w:highlight w:val="none"/>
              </w:rPr>
              <w:t>f.</w:t>
            </w:r>
            <w:r>
              <w:rPr>
                <w:rFonts w:hint="eastAsia" w:ascii="宋体" w:hAnsi="宋体" w:eastAsia="宋体" w:cs="宋体"/>
                <w:spacing w:val="-3"/>
                <w:sz w:val="24"/>
                <w:szCs w:val="24"/>
                <w:highlight w:val="none"/>
              </w:rPr>
              <w:t>投标人未对合同条款有重要保留。</w:t>
            </w:r>
          </w:p>
          <w:p w14:paraId="2619ADFC">
            <w:pPr>
              <w:pStyle w:val="18"/>
              <w:spacing w:line="360" w:lineRule="exact"/>
              <w:ind w:left="14" w:right="151" w:rightChars="72"/>
              <w:jc w:val="both"/>
              <w:rPr>
                <w:rFonts w:hint="eastAsia" w:ascii="宋体" w:hAnsi="宋体" w:eastAsia="宋体" w:cs="宋体"/>
                <w:spacing w:val="-3"/>
                <w:sz w:val="24"/>
                <w:szCs w:val="24"/>
                <w:highlight w:val="none"/>
              </w:rPr>
            </w:pPr>
            <w:r>
              <w:rPr>
                <w:rFonts w:hint="eastAsia" w:ascii="宋体" w:hAnsi="宋体" w:cs="宋体"/>
                <w:spacing w:val="-3"/>
                <w:sz w:val="24"/>
                <w:szCs w:val="24"/>
                <w:highlight w:val="none"/>
                <w:lang w:val="en-US" w:eastAsia="zh-CN"/>
              </w:rPr>
              <w:t>（13）施工组织设计</w:t>
            </w:r>
            <w:r>
              <w:rPr>
                <w:rFonts w:hint="eastAsia" w:ascii="宋体" w:hAnsi="宋体" w:eastAsia="宋体" w:cs="宋体"/>
                <w:spacing w:val="-3"/>
                <w:sz w:val="24"/>
                <w:szCs w:val="24"/>
                <w:highlight w:val="none"/>
                <w:lang w:val="en-US" w:eastAsia="zh-CN"/>
              </w:rPr>
              <w:t>部分符合招标文件内暗标编制要求。</w:t>
            </w:r>
          </w:p>
          <w:p w14:paraId="1E09AFA8">
            <w:pPr>
              <w:pStyle w:val="18"/>
              <w:tabs>
                <w:tab w:val="left" w:pos="650"/>
              </w:tabs>
              <w:spacing w:line="360" w:lineRule="exact"/>
              <w:ind w:left="14" w:right="151" w:rightChars="72"/>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第二个信封（</w:t>
            </w:r>
            <w:r>
              <w:rPr>
                <w:rFonts w:hint="eastAsia" w:ascii="宋体" w:hAnsi="宋体" w:eastAsia="宋体" w:cs="宋体"/>
                <w:b/>
                <w:spacing w:val="-1"/>
                <w:sz w:val="24"/>
                <w:szCs w:val="24"/>
                <w:highlight w:val="none"/>
              </w:rPr>
              <w:t>报价文件</w:t>
            </w:r>
            <w:r>
              <w:rPr>
                <w:rFonts w:hint="eastAsia" w:ascii="宋体" w:hAnsi="宋体" w:eastAsia="宋体" w:cs="宋体"/>
                <w:b/>
                <w:spacing w:val="-3"/>
                <w:sz w:val="24"/>
                <w:szCs w:val="24"/>
                <w:highlight w:val="none"/>
              </w:rPr>
              <w:t>）</w:t>
            </w:r>
            <w:r>
              <w:rPr>
                <w:rFonts w:hint="eastAsia" w:ascii="宋体" w:hAnsi="宋体" w:eastAsia="宋体" w:cs="宋体"/>
                <w:b/>
                <w:sz w:val="24"/>
                <w:szCs w:val="24"/>
                <w:highlight w:val="none"/>
              </w:rPr>
              <w:t>评审标准：</w:t>
            </w:r>
          </w:p>
          <w:p w14:paraId="4C363051">
            <w:pPr>
              <w:pStyle w:val="18"/>
              <w:numPr>
                <w:ilvl w:val="0"/>
                <w:numId w:val="1"/>
              </w:numPr>
              <w:spacing w:line="360" w:lineRule="exact"/>
              <w:ind w:left="14" w:right="151" w:rightChars="72"/>
              <w:jc w:val="both"/>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投标文件按照招标文件规定的格式、内容填写，字迹清晰可辨，内容齐全完整：</w:t>
            </w:r>
          </w:p>
          <w:p w14:paraId="3BA952B0">
            <w:pPr>
              <w:pStyle w:val="18"/>
              <w:spacing w:line="360" w:lineRule="exact"/>
              <w:ind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a.</w:t>
            </w:r>
            <w:r>
              <w:rPr>
                <w:rFonts w:hint="eastAsia" w:ascii="宋体" w:hAnsi="宋体" w:eastAsia="宋体" w:cs="宋体"/>
                <w:spacing w:val="-7"/>
                <w:sz w:val="24"/>
                <w:szCs w:val="24"/>
                <w:highlight w:val="none"/>
              </w:rPr>
              <w:t>投标函按招标文件规定填报了项目名称、标段号、补遗书编号</w:t>
            </w:r>
            <w:r>
              <w:rPr>
                <w:rFonts w:hint="eastAsia" w:ascii="宋体" w:hAnsi="宋体" w:eastAsia="宋体" w:cs="宋体"/>
                <w:spacing w:val="-3"/>
                <w:sz w:val="24"/>
                <w:szCs w:val="24"/>
                <w:highlight w:val="none"/>
              </w:rPr>
              <w:t>（</w:t>
            </w:r>
            <w:r>
              <w:rPr>
                <w:rFonts w:hint="eastAsia" w:ascii="宋体" w:hAnsi="宋体" w:eastAsia="宋体" w:cs="宋体"/>
                <w:spacing w:val="-2"/>
                <w:sz w:val="24"/>
                <w:szCs w:val="24"/>
                <w:highlight w:val="none"/>
              </w:rPr>
              <w:t>如有</w:t>
            </w:r>
            <w:r>
              <w:rPr>
                <w:rFonts w:hint="eastAsia" w:ascii="宋体" w:hAnsi="宋体" w:eastAsia="宋体" w:cs="宋体"/>
                <w:spacing w:val="-22"/>
                <w:sz w:val="24"/>
                <w:szCs w:val="24"/>
                <w:highlight w:val="none"/>
              </w:rPr>
              <w:t>）</w:t>
            </w:r>
            <w:r>
              <w:rPr>
                <w:rFonts w:hint="eastAsia" w:ascii="宋体" w:hAnsi="宋体" w:eastAsia="宋体" w:cs="宋体"/>
                <w:spacing w:val="-13"/>
                <w:sz w:val="24"/>
                <w:szCs w:val="24"/>
                <w:highlight w:val="none"/>
              </w:rPr>
              <w:t>、投标价</w:t>
            </w:r>
            <w:r>
              <w:rPr>
                <w:rFonts w:hint="eastAsia" w:ascii="宋体" w:hAnsi="宋体" w:eastAsia="宋体" w:cs="宋体"/>
                <w:sz w:val="24"/>
                <w:szCs w:val="24"/>
                <w:highlight w:val="none"/>
              </w:rPr>
              <w:t>（包</w:t>
            </w:r>
            <w:r>
              <w:rPr>
                <w:rFonts w:hint="eastAsia" w:ascii="宋体" w:hAnsi="宋体" w:eastAsia="宋体" w:cs="宋体"/>
                <w:spacing w:val="-3"/>
                <w:sz w:val="24"/>
                <w:szCs w:val="24"/>
                <w:highlight w:val="none"/>
              </w:rPr>
              <w:t>括大写金额和小写金额</w:t>
            </w:r>
            <w:r>
              <w:rPr>
                <w:rFonts w:hint="eastAsia" w:ascii="宋体" w:hAnsi="宋体" w:eastAsia="宋体" w:cs="宋体"/>
                <w:sz w:val="24"/>
                <w:szCs w:val="24"/>
                <w:highlight w:val="none"/>
              </w:rPr>
              <w:t>）；</w:t>
            </w:r>
          </w:p>
          <w:p w14:paraId="31566E60">
            <w:pPr>
              <w:pStyle w:val="18"/>
              <w:tabs>
                <w:tab w:val="left" w:pos="227"/>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lang w:val="en-US"/>
              </w:rPr>
              <w:t>b.</w:t>
            </w:r>
            <w:r>
              <w:rPr>
                <w:rFonts w:hint="eastAsia" w:ascii="宋体" w:hAnsi="宋体" w:eastAsia="宋体" w:cs="宋体"/>
                <w:spacing w:val="-3"/>
                <w:sz w:val="24"/>
                <w:szCs w:val="24"/>
                <w:highlight w:val="none"/>
              </w:rPr>
              <w:t>已标价报价清单说明文字与招标文件规定一致，未进行实质性修改和删减；</w:t>
            </w:r>
          </w:p>
          <w:p w14:paraId="35FD62B5">
            <w:pPr>
              <w:pStyle w:val="18"/>
              <w:tabs>
                <w:tab w:val="left" w:pos="227"/>
              </w:tabs>
              <w:spacing w:line="360" w:lineRule="exact"/>
              <w:ind w:left="13" w:right="151" w:rightChars="72"/>
              <w:jc w:val="both"/>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rPr>
              <w:t>c.</w:t>
            </w:r>
            <w:r>
              <w:rPr>
                <w:rFonts w:hint="eastAsia" w:ascii="宋体" w:hAnsi="宋体" w:eastAsia="宋体" w:cs="宋体"/>
                <w:spacing w:val="-3"/>
                <w:sz w:val="24"/>
                <w:szCs w:val="24"/>
                <w:highlight w:val="none"/>
              </w:rPr>
              <w:t>投标文件组成齐全完整，提供的相关资料符合招标文件规定，内容均按规定填写。d.不同投标人的投标文件未互相混装;</w:t>
            </w:r>
          </w:p>
          <w:p w14:paraId="7337F922">
            <w:pPr>
              <w:pStyle w:val="18"/>
              <w:tabs>
                <w:tab w:val="left" w:pos="227"/>
              </w:tabs>
              <w:spacing w:line="360" w:lineRule="exact"/>
              <w:ind w:left="13" w:right="151" w:rightChars="72"/>
              <w:jc w:val="both"/>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rPr>
              <w:t>e.各层封套投标函标明的标段号、单位名称及关键信息内容一致</w:t>
            </w:r>
            <w:r>
              <w:rPr>
                <w:rFonts w:hint="eastAsia" w:ascii="宋体" w:hAnsi="宋体" w:eastAsia="宋体" w:cs="宋体"/>
                <w:spacing w:val="-3"/>
                <w:sz w:val="24"/>
                <w:szCs w:val="24"/>
                <w:highlight w:val="none"/>
                <w:lang w:eastAsia="zh-CN"/>
              </w:rPr>
              <w:t>。</w:t>
            </w:r>
          </w:p>
          <w:p w14:paraId="534226D6">
            <w:pPr>
              <w:pStyle w:val="18"/>
              <w:tabs>
                <w:tab w:val="left" w:pos="542"/>
              </w:tabs>
              <w:spacing w:line="360" w:lineRule="exact"/>
              <w:ind w:left="14" w:right="151" w:rightChars="72"/>
              <w:jc w:val="both"/>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w:t>
            </w:r>
            <w:r>
              <w:rPr>
                <w:rFonts w:hint="eastAsia" w:ascii="宋体" w:hAnsi="宋体" w:eastAsia="宋体" w:cs="宋体"/>
                <w:spacing w:val="-5"/>
                <w:sz w:val="24"/>
                <w:szCs w:val="24"/>
                <w:highlight w:val="none"/>
                <w:lang w:val="en-US"/>
              </w:rPr>
              <w:t>2</w:t>
            </w:r>
            <w:r>
              <w:rPr>
                <w:rFonts w:hint="eastAsia" w:ascii="宋体" w:hAnsi="宋体" w:eastAsia="宋体" w:cs="宋体"/>
                <w:spacing w:val="-5"/>
                <w:sz w:val="24"/>
                <w:szCs w:val="24"/>
                <w:highlight w:val="none"/>
              </w:rPr>
              <w:t>）投标文件上法定代表人或其委托代理人的签字、投标人的单位章盖章齐全，符合</w:t>
            </w:r>
            <w:r>
              <w:rPr>
                <w:rFonts w:hint="eastAsia" w:ascii="宋体" w:hAnsi="宋体" w:eastAsia="宋体" w:cs="宋体"/>
                <w:spacing w:val="-4"/>
                <w:sz w:val="24"/>
                <w:szCs w:val="24"/>
                <w:highlight w:val="none"/>
              </w:rPr>
              <w:t>招标文件规定。</w:t>
            </w:r>
          </w:p>
          <w:p w14:paraId="56A0DC0D">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3</w:t>
            </w:r>
            <w:r>
              <w:rPr>
                <w:rFonts w:hint="eastAsia" w:ascii="宋体" w:hAnsi="宋体" w:eastAsia="宋体" w:cs="宋体"/>
                <w:spacing w:val="-3"/>
                <w:sz w:val="24"/>
                <w:szCs w:val="24"/>
                <w:highlight w:val="none"/>
              </w:rPr>
              <w:t>）投标报价未超过招标文件设定的最高投标限价。</w:t>
            </w:r>
          </w:p>
          <w:p w14:paraId="3EEDC260">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4</w:t>
            </w:r>
            <w:r>
              <w:rPr>
                <w:rFonts w:hint="eastAsia" w:ascii="宋体" w:hAnsi="宋体" w:eastAsia="宋体" w:cs="宋体"/>
                <w:spacing w:val="-3"/>
                <w:sz w:val="24"/>
                <w:szCs w:val="24"/>
                <w:highlight w:val="none"/>
              </w:rPr>
              <w:t>）投标报价的大写金额能够确定具体数值。</w:t>
            </w:r>
          </w:p>
          <w:p w14:paraId="5C4E651F">
            <w:pPr>
              <w:pStyle w:val="18"/>
              <w:tabs>
                <w:tab w:val="left" w:pos="544"/>
              </w:tabs>
              <w:spacing w:line="360" w:lineRule="exact"/>
              <w:ind w:left="13" w:right="151" w:rightChars="72"/>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w:t>
            </w:r>
            <w:r>
              <w:rPr>
                <w:rFonts w:hint="eastAsia" w:ascii="宋体" w:hAnsi="宋体" w:eastAsia="宋体" w:cs="宋体"/>
                <w:spacing w:val="-3"/>
                <w:sz w:val="24"/>
                <w:szCs w:val="24"/>
                <w:highlight w:val="none"/>
                <w:lang w:val="en-US"/>
              </w:rPr>
              <w:t>5</w:t>
            </w:r>
            <w:r>
              <w:rPr>
                <w:rFonts w:hint="eastAsia" w:ascii="宋体" w:hAnsi="宋体" w:eastAsia="宋体" w:cs="宋体"/>
                <w:spacing w:val="-3"/>
                <w:sz w:val="24"/>
                <w:szCs w:val="24"/>
                <w:highlight w:val="none"/>
              </w:rPr>
              <w:t>）同一投标人未提交两个以上不同的投标报价。</w:t>
            </w:r>
          </w:p>
          <w:p w14:paraId="21815808">
            <w:pPr>
              <w:pStyle w:val="18"/>
              <w:tabs>
                <w:tab w:val="left" w:pos="544"/>
              </w:tabs>
              <w:spacing w:line="360" w:lineRule="exact"/>
              <w:ind w:left="13" w:right="151" w:rightChars="72"/>
              <w:jc w:val="both"/>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（6）投标人未提交调价函。</w:t>
            </w:r>
          </w:p>
          <w:p w14:paraId="2473CA76">
            <w:pPr>
              <w:pStyle w:val="18"/>
              <w:tabs>
                <w:tab w:val="left" w:pos="544"/>
              </w:tabs>
              <w:spacing w:line="360" w:lineRule="exact"/>
              <w:ind w:left="13" w:right="151" w:rightChars="72"/>
              <w:jc w:val="both"/>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（7）投标人若填写工程量固化清单，填写完毕的工程量固化清单未对工程量固化清单电子文件中的数据、格式和运算定义进行修改；工程量固化清单中的投标报价与投标函大写金额报价一致。</w:t>
            </w:r>
          </w:p>
        </w:tc>
      </w:tr>
      <w:tr w14:paraId="4223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shd w:val="clear" w:color="auto" w:fill="auto"/>
            <w:vAlign w:val="center"/>
          </w:tcPr>
          <w:p w14:paraId="5F575C40">
            <w:pPr>
              <w:pStyle w:val="18"/>
              <w:spacing w:line="400" w:lineRule="exact"/>
              <w:ind w:left="83" w:leftChars="0" w:right="55" w:rightChars="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color w:val="000000"/>
                <w:sz w:val="24"/>
                <w:szCs w:val="24"/>
                <w:highlight w:val="none"/>
              </w:rPr>
              <w:t>2.1.2</w:t>
            </w:r>
          </w:p>
        </w:tc>
        <w:tc>
          <w:tcPr>
            <w:tcW w:w="908" w:type="dxa"/>
            <w:shd w:val="clear" w:color="auto" w:fill="auto"/>
            <w:vAlign w:val="center"/>
          </w:tcPr>
          <w:p w14:paraId="064E866C">
            <w:pPr>
              <w:pStyle w:val="18"/>
              <w:spacing w:line="400" w:lineRule="exact"/>
              <w:jc w:val="both"/>
              <w:rPr>
                <w:rFonts w:hint="eastAsia" w:ascii="宋体" w:hAnsi="宋体" w:eastAsia="宋体" w:cs="宋体"/>
                <w:b/>
                <w:color w:val="000000"/>
                <w:sz w:val="24"/>
                <w:szCs w:val="24"/>
                <w:highlight w:val="none"/>
              </w:rPr>
            </w:pPr>
          </w:p>
          <w:p w14:paraId="6ADBF599">
            <w:pPr>
              <w:pStyle w:val="18"/>
              <w:spacing w:line="400" w:lineRule="exact"/>
              <w:ind w:left="302" w:leftChars="0" w:right="59" w:rightChars="0" w:hanging="212" w:firstLineChars="0"/>
              <w:jc w:val="both"/>
              <w:rPr>
                <w:rFonts w:hint="eastAsia" w:ascii="宋体" w:hAnsi="宋体" w:eastAsia="宋体" w:cs="宋体"/>
                <w:kern w:val="0"/>
                <w:sz w:val="24"/>
                <w:szCs w:val="24"/>
                <w:highlight w:val="none"/>
                <w:lang w:val="en-US" w:eastAsia="en-US" w:bidi="ar-SA"/>
              </w:rPr>
            </w:pPr>
            <w:r>
              <w:rPr>
                <w:rFonts w:hint="eastAsia" w:ascii="宋体" w:hAnsi="宋体" w:eastAsia="宋体" w:cs="宋体"/>
                <w:color w:val="000000"/>
                <w:sz w:val="24"/>
                <w:szCs w:val="24"/>
                <w:highlight w:val="none"/>
              </w:rPr>
              <w:t>资格评审标准</w:t>
            </w:r>
          </w:p>
        </w:tc>
        <w:tc>
          <w:tcPr>
            <w:tcW w:w="7881" w:type="dxa"/>
            <w:shd w:val="clear" w:color="auto" w:fill="auto"/>
            <w:vAlign w:val="center"/>
          </w:tcPr>
          <w:p w14:paraId="311729AA">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（1）投标人具备有效的营业执照、组织机构代码证、资质证书、安全生产许可证和基本账户开户许可证（或基本账户开户行出具含有企业基本存款账户编号的《基本存款账户信息》）；</w:t>
            </w:r>
          </w:p>
          <w:p w14:paraId="3409B8FA">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（2）投标人的资质等级符合招标文件规定；</w:t>
            </w:r>
          </w:p>
          <w:p w14:paraId="2BCBE6E3">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（3）投标人的财务状况符合招标文件规定；</w:t>
            </w:r>
          </w:p>
          <w:p w14:paraId="60B601A3">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（4）投标人的类似项目业绩符合招标文件规定；</w:t>
            </w:r>
          </w:p>
          <w:p w14:paraId="0B2DEA99">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（5）投标人的信誉符合招标文件规定；</w:t>
            </w:r>
          </w:p>
          <w:p w14:paraId="099D5BC1">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（6）投标人的项目经理和项目总工资格、在岗情况符合招标文件规定；</w:t>
            </w:r>
          </w:p>
          <w:p w14:paraId="6F09FE76">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（7）投标人的其他要求符合招标文件规定；</w:t>
            </w:r>
          </w:p>
          <w:p w14:paraId="3078B3FE">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（8）投标人不存在第二章“投标人须知”第1.4.3项或第1.4.4项规定的任何一种情形；</w:t>
            </w:r>
          </w:p>
          <w:p w14:paraId="26155CB1">
            <w:pPr>
              <w:pStyle w:val="18"/>
              <w:tabs>
                <w:tab w:val="left" w:pos="544"/>
              </w:tabs>
              <w:spacing w:line="360" w:lineRule="exact"/>
              <w:ind w:left="13" w:leftChars="0" w:right="151" w:rightChars="72"/>
              <w:jc w:val="both"/>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（9）投标人符合第二章“投标人须知”第1.4.5项规定；</w:t>
            </w:r>
          </w:p>
          <w:p w14:paraId="6593007E">
            <w:pPr>
              <w:pStyle w:val="18"/>
              <w:tabs>
                <w:tab w:val="left" w:pos="544"/>
              </w:tabs>
              <w:spacing w:line="360" w:lineRule="exact"/>
              <w:ind w:left="13" w:leftChars="0" w:right="151" w:rightChars="72"/>
              <w:jc w:val="both"/>
              <w:rPr>
                <w:rFonts w:hint="eastAsia" w:ascii="宋体" w:hAnsi="宋体" w:eastAsia="宋体" w:cs="宋体"/>
                <w:color w:val="000000"/>
                <w:spacing w:val="-6"/>
                <w:kern w:val="0"/>
                <w:sz w:val="24"/>
                <w:szCs w:val="24"/>
                <w:highlight w:val="none"/>
                <w:lang w:val="en-US" w:eastAsia="zh-CN" w:bidi="ar-SA"/>
              </w:rPr>
            </w:pPr>
            <w:r>
              <w:rPr>
                <w:rFonts w:hint="eastAsia" w:ascii="宋体" w:hAnsi="宋体" w:eastAsia="宋体" w:cs="宋体"/>
                <w:color w:val="000000"/>
                <w:spacing w:val="-3"/>
                <w:sz w:val="24"/>
                <w:szCs w:val="24"/>
                <w:highlight w:val="none"/>
              </w:rPr>
              <w:t>（10）以联合体形式参与投标的，联合体各方均未再以自己名义单独或参加其他联合体在同一标段中投标；独立参与投标的，投标人未同时参加联合体在同一标段中投标。</w:t>
            </w:r>
          </w:p>
        </w:tc>
      </w:tr>
      <w:tr w14:paraId="6912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1" w:hRule="atLeast"/>
          <w:jc w:val="center"/>
        </w:trPr>
        <w:tc>
          <w:tcPr>
            <w:tcW w:w="829" w:type="dxa"/>
            <w:shd w:val="clear" w:color="auto" w:fill="FFFFFF"/>
            <w:vAlign w:val="center"/>
          </w:tcPr>
          <w:p w14:paraId="5DD5580A">
            <w:pPr>
              <w:pStyle w:val="18"/>
              <w:ind w:left="83" w:right="55"/>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908" w:type="dxa"/>
            <w:shd w:val="clear" w:color="auto" w:fill="FFFFFF"/>
            <w:vAlign w:val="center"/>
          </w:tcPr>
          <w:p w14:paraId="3977A673">
            <w:pPr>
              <w:pStyle w:val="18"/>
              <w:ind w:left="91" w:right="105" w:rightChars="5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w:t>
            </w:r>
          </w:p>
          <w:p w14:paraId="45A9CA30">
            <w:pPr>
              <w:pStyle w:val="18"/>
              <w:ind w:left="91" w:right="105" w:rightChars="5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构成</w:t>
            </w:r>
          </w:p>
          <w:p w14:paraId="6C1361A2">
            <w:pPr>
              <w:pStyle w:val="18"/>
              <w:jc w:val="center"/>
              <w:rPr>
                <w:rFonts w:hint="eastAsia" w:ascii="宋体" w:hAnsi="宋体" w:eastAsia="宋体" w:cs="宋体"/>
                <w:b/>
                <w:color w:val="000000"/>
                <w:sz w:val="24"/>
                <w:szCs w:val="24"/>
                <w:highlight w:val="none"/>
              </w:rPr>
            </w:pPr>
          </w:p>
          <w:p w14:paraId="5B67A9B9">
            <w:pPr>
              <w:pStyle w:val="18"/>
              <w:tabs>
                <w:tab w:val="left" w:pos="0"/>
              </w:tabs>
              <w:ind w:right="108" w:firstLine="11"/>
              <w:jc w:val="center"/>
              <w:rPr>
                <w:rFonts w:hint="eastAsia" w:ascii="宋体" w:hAnsi="宋体" w:eastAsia="宋体" w:cs="宋体"/>
                <w:color w:val="000000"/>
                <w:spacing w:val="-20"/>
                <w:sz w:val="24"/>
                <w:szCs w:val="24"/>
                <w:highlight w:val="none"/>
              </w:rPr>
            </w:pPr>
            <w:r>
              <w:rPr>
                <w:rFonts w:hint="eastAsia" w:ascii="宋体" w:hAnsi="宋体" w:eastAsia="宋体" w:cs="宋体"/>
                <w:color w:val="000000"/>
                <w:spacing w:val="-20"/>
                <w:sz w:val="24"/>
                <w:szCs w:val="24"/>
                <w:highlight w:val="none"/>
              </w:rPr>
              <w:t>（总分</w:t>
            </w:r>
          </w:p>
          <w:p w14:paraId="2A38BC41">
            <w:pPr>
              <w:pStyle w:val="18"/>
              <w:tabs>
                <w:tab w:val="left" w:pos="0"/>
              </w:tabs>
              <w:ind w:right="108" w:firstLine="11"/>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20"/>
                <w:sz w:val="24"/>
                <w:szCs w:val="24"/>
                <w:highlight w:val="none"/>
              </w:rPr>
              <w:t xml:space="preserve"> </w:t>
            </w:r>
            <w:r>
              <w:rPr>
                <w:rFonts w:hint="eastAsia" w:ascii="宋体" w:hAnsi="宋体" w:eastAsia="宋体" w:cs="宋体"/>
                <w:color w:val="000000"/>
                <w:spacing w:val="-34"/>
                <w:sz w:val="24"/>
                <w:szCs w:val="24"/>
                <w:highlight w:val="none"/>
              </w:rPr>
              <w:t>100 分）</w:t>
            </w:r>
          </w:p>
        </w:tc>
        <w:tc>
          <w:tcPr>
            <w:tcW w:w="7881" w:type="dxa"/>
            <w:shd w:val="clear" w:color="auto" w:fill="FFFFFF"/>
            <w:vAlign w:val="center"/>
          </w:tcPr>
          <w:p w14:paraId="03E598C4">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第一个信封（商务及技术文件）评分分值构成： </w:t>
            </w:r>
          </w:p>
          <w:p w14:paraId="7836D5F2">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施工组织设计</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 分</w:t>
            </w:r>
          </w:p>
          <w:p w14:paraId="03E2FD29">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主要人员：</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分</w:t>
            </w:r>
          </w:p>
          <w:p w14:paraId="7E7A2D95">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财务：5分</w:t>
            </w:r>
            <w:r>
              <w:rPr>
                <w:rFonts w:hint="eastAsia" w:ascii="宋体" w:hAnsi="宋体" w:eastAsia="宋体" w:cs="宋体"/>
                <w:color w:val="000000"/>
                <w:sz w:val="24"/>
                <w:szCs w:val="24"/>
                <w:highlight w:val="none"/>
              </w:rPr>
              <w:t xml:space="preserve"> </w:t>
            </w:r>
          </w:p>
          <w:p w14:paraId="6C66699C">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业绩</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w:t>
            </w:r>
          </w:p>
          <w:p w14:paraId="3A4F23EF">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信誉：3分</w:t>
            </w:r>
          </w:p>
          <w:p w14:paraId="7877E2D7">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第二个信封（报价文件）评分分值构成： </w:t>
            </w:r>
          </w:p>
          <w:p w14:paraId="5E777B7E">
            <w:pPr>
              <w:pStyle w:val="18"/>
              <w:keepNext w:val="0"/>
              <w:keepLines w:val="0"/>
              <w:pageBreakBefore w:val="0"/>
              <w:widowControl w:val="0"/>
              <w:kinsoku/>
              <w:wordWrap/>
              <w:overflowPunct/>
              <w:topLinePunct w:val="0"/>
              <w:autoSpaceDE w:val="0"/>
              <w:autoSpaceDN w:val="0"/>
              <w:bidi w:val="0"/>
              <w:adjustRightInd/>
              <w:snapToGrid/>
              <w:spacing w:line="280" w:lineRule="exact"/>
              <w:ind w:left="0" w:right="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评标价： </w:t>
            </w:r>
            <w:r>
              <w:rPr>
                <w:rFonts w:hint="eastAsia" w:ascii="宋体" w:hAnsi="宋体" w:eastAsia="宋体" w:cs="宋体"/>
                <w:color w:val="000000"/>
                <w:sz w:val="24"/>
                <w:szCs w:val="24"/>
                <w:highlight w:val="none"/>
                <w:lang w:val="en-US" w:eastAsia="zh-CN"/>
              </w:rPr>
              <w:t>70</w:t>
            </w:r>
            <w:r>
              <w:rPr>
                <w:rFonts w:hint="eastAsia" w:ascii="宋体" w:hAnsi="宋体" w:eastAsia="宋体" w:cs="宋体"/>
                <w:color w:val="000000"/>
                <w:sz w:val="24"/>
                <w:szCs w:val="24"/>
                <w:highlight w:val="none"/>
              </w:rPr>
              <w:t>分</w:t>
            </w:r>
          </w:p>
        </w:tc>
      </w:tr>
      <w:tr w14:paraId="5643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9" w:type="dxa"/>
            <w:shd w:val="clear" w:color="auto" w:fill="FFFFFF"/>
            <w:vAlign w:val="center"/>
          </w:tcPr>
          <w:p w14:paraId="157FFD98">
            <w:pPr>
              <w:pStyle w:val="18"/>
              <w:ind w:left="83" w:right="55"/>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w:t>
            </w:r>
          </w:p>
        </w:tc>
        <w:tc>
          <w:tcPr>
            <w:tcW w:w="908" w:type="dxa"/>
            <w:shd w:val="clear" w:color="auto" w:fill="FFFFFF"/>
            <w:vAlign w:val="center"/>
          </w:tcPr>
          <w:p w14:paraId="47EB50C5">
            <w:pPr>
              <w:pStyle w:val="18"/>
              <w:spacing w:line="360" w:lineRule="auto"/>
              <w:ind w:left="91" w:right="57"/>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评标基准价计算</w:t>
            </w:r>
          </w:p>
          <w:p w14:paraId="7031B79D">
            <w:pPr>
              <w:pStyle w:val="18"/>
              <w:spacing w:line="360" w:lineRule="auto"/>
              <w:ind w:left="91" w:right="57"/>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方法</w:t>
            </w:r>
          </w:p>
        </w:tc>
        <w:tc>
          <w:tcPr>
            <w:tcW w:w="7881" w:type="dxa"/>
            <w:shd w:val="clear" w:color="auto" w:fill="FFFFFF"/>
            <w:vAlign w:val="center"/>
          </w:tcPr>
          <w:p w14:paraId="6A76CA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（1）评标价的确定：</w:t>
            </w:r>
          </w:p>
          <w:p w14:paraId="4DDC6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评标价Di=投标函文字报价-暂估价-暂列金额</w:t>
            </w:r>
          </w:p>
          <w:p w14:paraId="49EF79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除按招标文件规定在开标现场被宣布为不进入评标基准价计算的投标报价之外，剩余所有投标人的评标价均为有效评标价（D）。</w:t>
            </w:r>
          </w:p>
          <w:p w14:paraId="2F7E9911">
            <w:pPr>
              <w:keepNext w:val="0"/>
              <w:keepLines w:val="0"/>
              <w:pageBreakBefore w:val="0"/>
              <w:wordWrap/>
              <w:overflowPunct/>
              <w:topLinePunct w:val="0"/>
              <w:bidi w:val="0"/>
              <w:spacing w:line="360" w:lineRule="auto"/>
              <w:ind w:firstLine="480" w:firstLineChars="20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（2）评标基准价的确定：</w:t>
            </w:r>
          </w:p>
          <w:p w14:paraId="446E1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在投标文件第二个信封（报价文件）开标现场，通过摇号的方式从《陕西省公路工程建设项目招标投标管理办法》（陕交发[2022]50号）中规定的六种计算方法中随机抽取B、E、F的一种作为当次招标评标基准价的计算方法，之后按已抽取的评标基准价计算方法抽取相关计算参数。</w:t>
            </w:r>
          </w:p>
          <w:p w14:paraId="1C9E2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9"/>
                <w:sz w:val="24"/>
                <w:szCs w:val="24"/>
                <w:highlight w:val="none"/>
              </w:rPr>
            </w:pPr>
            <w:r>
              <w:rPr>
                <w:rFonts w:hint="eastAsia" w:ascii="宋体" w:hAnsi="宋体" w:eastAsia="宋体" w:cs="宋体"/>
                <w:snapToGrid/>
                <w:color w:val="auto"/>
                <w:kern w:val="2"/>
                <w:sz w:val="24"/>
                <w:szCs w:val="24"/>
                <w:highlight w:val="none"/>
                <w:lang w:val="en-US" w:eastAsia="zh-CN" w:bidi="ar-SA"/>
              </w:rPr>
              <w:t>开标现场计算并宣布评标基准价，宣布的评标基准价除计算有误经评标委员会修正外，在整个评标期间保持不变，不随任何因素发生变化。</w:t>
            </w:r>
          </w:p>
        </w:tc>
      </w:tr>
      <w:tr w14:paraId="63FD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829" w:type="dxa"/>
            <w:shd w:val="clear" w:color="auto" w:fill="FFFFFF"/>
            <w:vAlign w:val="center"/>
          </w:tcPr>
          <w:p w14:paraId="4B3502A6">
            <w:pPr>
              <w:pStyle w:val="18"/>
              <w:spacing w:line="240" w:lineRule="auto"/>
              <w:rPr>
                <w:rFonts w:hint="eastAsia" w:ascii="宋体" w:hAnsi="宋体" w:eastAsia="宋体" w:cs="宋体"/>
                <w:b/>
                <w:sz w:val="24"/>
                <w:szCs w:val="24"/>
                <w:highlight w:val="none"/>
              </w:rPr>
            </w:pPr>
          </w:p>
          <w:p w14:paraId="12CF6174">
            <w:pPr>
              <w:pStyle w:val="18"/>
              <w:spacing w:line="240" w:lineRule="auto"/>
              <w:ind w:left="102"/>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2.2.3</w:t>
            </w:r>
          </w:p>
        </w:tc>
        <w:tc>
          <w:tcPr>
            <w:tcW w:w="908" w:type="dxa"/>
            <w:shd w:val="clear" w:color="auto" w:fill="FFFFFF"/>
            <w:vAlign w:val="center"/>
          </w:tcPr>
          <w:p w14:paraId="169C3173">
            <w:pPr>
              <w:pStyle w:val="18"/>
              <w:spacing w:before="157" w:line="240" w:lineRule="auto"/>
              <w:ind w:left="91" w:right="59"/>
              <w:rPr>
                <w:rFonts w:hint="eastAsia" w:ascii="宋体" w:hAnsi="宋体" w:eastAsia="宋体" w:cs="宋体"/>
                <w:color w:val="000000"/>
                <w:sz w:val="24"/>
                <w:szCs w:val="24"/>
                <w:highlight w:val="none"/>
              </w:rPr>
            </w:pPr>
            <w:r>
              <w:rPr>
                <w:rFonts w:hint="eastAsia" w:ascii="宋体" w:hAnsi="宋体" w:eastAsia="宋体" w:cs="宋体"/>
                <w:spacing w:val="-5"/>
                <w:sz w:val="24"/>
                <w:szCs w:val="24"/>
                <w:highlight w:val="none"/>
              </w:rPr>
              <w:t>评标价的偏差率计</w:t>
            </w:r>
            <w:r>
              <w:rPr>
                <w:rFonts w:hint="eastAsia" w:ascii="宋体" w:hAnsi="宋体" w:eastAsia="宋体" w:cs="宋体"/>
                <w:sz w:val="24"/>
                <w:szCs w:val="24"/>
                <w:highlight w:val="none"/>
              </w:rPr>
              <w:t>算公式</w:t>
            </w:r>
          </w:p>
        </w:tc>
        <w:tc>
          <w:tcPr>
            <w:tcW w:w="7881" w:type="dxa"/>
            <w:shd w:val="clear" w:color="auto" w:fill="FFFFFF"/>
            <w:vAlign w:val="center"/>
          </w:tcPr>
          <w:p w14:paraId="2836FF7C">
            <w:pPr>
              <w:pStyle w:val="18"/>
              <w:spacing w:before="131" w:line="240" w:lineRule="auto"/>
              <w:ind w:left="14" w:right="311"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偏差率=100%×（投标人评标价-评标基准价）/评标</w:t>
            </w:r>
            <w:r>
              <w:rPr>
                <w:rFonts w:hint="eastAsia" w:ascii="宋体" w:hAnsi="宋体" w:eastAsia="宋体" w:cs="宋体"/>
                <w:sz w:val="24"/>
                <w:szCs w:val="24"/>
                <w:highlight w:val="none"/>
                <w:lang w:val="en-US" w:eastAsia="zh-CN"/>
              </w:rPr>
              <w:t>基准价</w:t>
            </w:r>
          </w:p>
          <w:p w14:paraId="2F4DA307">
            <w:pPr>
              <w:pStyle w:val="18"/>
              <w:spacing w:before="131" w:line="240" w:lineRule="auto"/>
              <w:ind w:left="14" w:right="311" w:rightChars="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偏差率保留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rPr>
              <w:t xml:space="preserve"> 位小数</w:t>
            </w:r>
          </w:p>
        </w:tc>
      </w:tr>
      <w:tr w14:paraId="0346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829" w:type="dxa"/>
            <w:shd w:val="clear" w:color="auto" w:fill="FFFFFF"/>
            <w:vAlign w:val="center"/>
          </w:tcPr>
          <w:p w14:paraId="78BC1438">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zh-CN"/>
              </w:rPr>
              <w:t>3.9.2</w:t>
            </w:r>
          </w:p>
        </w:tc>
        <w:tc>
          <w:tcPr>
            <w:tcW w:w="908" w:type="dxa"/>
            <w:shd w:val="clear" w:color="auto" w:fill="FFFFFF"/>
            <w:vAlign w:val="center"/>
          </w:tcPr>
          <w:p w14:paraId="4CD09EF5">
            <w:pPr>
              <w:pStyle w:val="18"/>
              <w:spacing w:before="157" w:line="240" w:lineRule="auto"/>
              <w:ind w:right="59" w:rightChars="0"/>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评标报告</w:t>
            </w:r>
          </w:p>
        </w:tc>
        <w:tc>
          <w:tcPr>
            <w:tcW w:w="7881" w:type="dxa"/>
            <w:shd w:val="clear" w:color="auto" w:fill="FFFFFF"/>
            <w:vAlign w:val="center"/>
          </w:tcPr>
          <w:p w14:paraId="45D311C5">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评标报告应如实记载下列内容： </w:t>
            </w:r>
          </w:p>
          <w:p w14:paraId="4AE0E38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（1）招标项目基本情况 </w:t>
            </w:r>
          </w:p>
          <w:p w14:paraId="0551992D">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（2）评标委员会成员名单 </w:t>
            </w:r>
          </w:p>
          <w:p w14:paraId="65816DC0">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（3）监督人员名单 </w:t>
            </w:r>
          </w:p>
          <w:p w14:paraId="4E866181">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（4）开标记录 </w:t>
            </w:r>
          </w:p>
          <w:p w14:paraId="1589DA5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（5）符合要求的投标人名单 </w:t>
            </w:r>
          </w:p>
          <w:p w14:paraId="2733E27F">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（6）否决的投标人名单以及否决理由 </w:t>
            </w:r>
          </w:p>
          <w:p w14:paraId="623AA9A1">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（7）串通投标情形的评审情况说明 </w:t>
            </w:r>
          </w:p>
          <w:p w14:paraId="71AE7AD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（8）评分情况 </w:t>
            </w:r>
          </w:p>
          <w:p w14:paraId="03F77854">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（9）经评审的投标人排序 </w:t>
            </w:r>
          </w:p>
          <w:p w14:paraId="127FBF99">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（10）中标候选人名单 </w:t>
            </w:r>
          </w:p>
          <w:p w14:paraId="68BE9CBB">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（11）澄清、说明事项纪要 </w:t>
            </w:r>
          </w:p>
          <w:p w14:paraId="3518F887">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（12）需要说明的其他事项 </w:t>
            </w:r>
          </w:p>
          <w:p w14:paraId="754B3406">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（13）评标附表</w:t>
            </w:r>
          </w:p>
        </w:tc>
      </w:tr>
    </w:tbl>
    <w:p w14:paraId="66FC60AA">
      <w:pPr>
        <w:pStyle w:val="4"/>
        <w:pageBreakBefore w:val="0"/>
        <w:widowControl w:val="0"/>
        <w:kinsoku/>
        <w:wordWrap/>
        <w:overflowPunct/>
        <w:topLinePunct w:val="0"/>
        <w:autoSpaceDE/>
        <w:autoSpaceDN/>
        <w:bidi w:val="0"/>
        <w:adjustRightInd/>
        <w:snapToGrid/>
        <w:spacing w:line="240" w:lineRule="exact"/>
        <w:textAlignment w:val="auto"/>
        <w:rPr>
          <w:rFonts w:hint="eastAsia"/>
        </w:rPr>
      </w:pPr>
    </w:p>
    <w:p w14:paraId="1220C684">
      <w:pPr>
        <w:pStyle w:val="2"/>
        <w:keepNext/>
        <w:keepLines/>
        <w:pageBreakBefore w:val="0"/>
        <w:widowControl w:val="0"/>
        <w:kinsoku/>
        <w:wordWrap/>
        <w:overflowPunct/>
        <w:topLinePunct w:val="0"/>
        <w:autoSpaceDE/>
        <w:autoSpaceDN/>
        <w:bidi w:val="0"/>
        <w:adjustRightInd/>
        <w:snapToGrid/>
        <w:spacing w:line="400" w:lineRule="exact"/>
        <w:textAlignment w:val="auto"/>
      </w:pPr>
      <w:r>
        <w:t>详细评分标准</w:t>
      </w:r>
    </w:p>
    <w:tbl>
      <w:tblPr>
        <w:tblStyle w:val="8"/>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7"/>
        <w:gridCol w:w="637"/>
        <w:gridCol w:w="696"/>
        <w:gridCol w:w="1855"/>
        <w:gridCol w:w="250"/>
        <w:gridCol w:w="600"/>
        <w:gridCol w:w="3991"/>
      </w:tblGrid>
      <w:tr w14:paraId="390F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jc w:val="center"/>
        </w:trPr>
        <w:tc>
          <w:tcPr>
            <w:tcW w:w="937" w:type="dxa"/>
            <w:vMerge w:val="restart"/>
            <w:vAlign w:val="center"/>
          </w:tcPr>
          <w:p w14:paraId="1DD96891">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条款号</w:t>
            </w:r>
          </w:p>
        </w:tc>
        <w:tc>
          <w:tcPr>
            <w:tcW w:w="4038" w:type="dxa"/>
            <w:gridSpan w:val="5"/>
            <w:vAlign w:val="center"/>
          </w:tcPr>
          <w:p w14:paraId="0CAB7B0E">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评分因素与权重分值</w:t>
            </w:r>
          </w:p>
        </w:tc>
        <w:tc>
          <w:tcPr>
            <w:tcW w:w="3991" w:type="dxa"/>
            <w:vMerge w:val="restart"/>
            <w:vAlign w:val="center"/>
          </w:tcPr>
          <w:p w14:paraId="5141E63F">
            <w:pPr>
              <w:pStyle w:val="18"/>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评分标准</w:t>
            </w:r>
          </w:p>
        </w:tc>
      </w:tr>
      <w:tr w14:paraId="230C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937" w:type="dxa"/>
            <w:vMerge w:val="continue"/>
            <w:vAlign w:val="top"/>
          </w:tcPr>
          <w:p w14:paraId="5445A823">
            <w:pPr>
              <w:spacing w:line="240" w:lineRule="atLeast"/>
              <w:rPr>
                <w:rFonts w:hint="eastAsia" w:ascii="宋体" w:hAnsi="宋体" w:eastAsia="宋体" w:cs="宋体"/>
                <w:b w:val="0"/>
                <w:bCs w:val="0"/>
                <w:color w:val="000000"/>
                <w:sz w:val="24"/>
                <w:szCs w:val="24"/>
                <w:highlight w:val="none"/>
              </w:rPr>
            </w:pPr>
          </w:p>
        </w:tc>
        <w:tc>
          <w:tcPr>
            <w:tcW w:w="637" w:type="dxa"/>
            <w:vAlign w:val="center"/>
          </w:tcPr>
          <w:p w14:paraId="40DCCB10">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评分</w:t>
            </w:r>
          </w:p>
          <w:p w14:paraId="4AB861E2">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因素</w:t>
            </w:r>
          </w:p>
        </w:tc>
        <w:tc>
          <w:tcPr>
            <w:tcW w:w="696" w:type="dxa"/>
            <w:vAlign w:val="center"/>
          </w:tcPr>
          <w:p w14:paraId="73E4B399">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评分因</w:t>
            </w:r>
          </w:p>
          <w:p w14:paraId="29EF5FB4">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素权重</w:t>
            </w:r>
          </w:p>
          <w:p w14:paraId="25C12D9C">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分值</w:t>
            </w:r>
          </w:p>
        </w:tc>
        <w:tc>
          <w:tcPr>
            <w:tcW w:w="2105" w:type="dxa"/>
            <w:gridSpan w:val="2"/>
            <w:vAlign w:val="center"/>
          </w:tcPr>
          <w:p w14:paraId="01D2FC0D">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各评分因素</w:t>
            </w:r>
          </w:p>
          <w:p w14:paraId="45921A29">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细分项</w:t>
            </w:r>
          </w:p>
        </w:tc>
        <w:tc>
          <w:tcPr>
            <w:tcW w:w="600" w:type="dxa"/>
            <w:vAlign w:val="center"/>
          </w:tcPr>
          <w:p w14:paraId="473D9CE7">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分值</w:t>
            </w:r>
          </w:p>
        </w:tc>
        <w:tc>
          <w:tcPr>
            <w:tcW w:w="3991" w:type="dxa"/>
            <w:vMerge w:val="continue"/>
            <w:vAlign w:val="top"/>
          </w:tcPr>
          <w:p w14:paraId="3A479E18">
            <w:pPr>
              <w:spacing w:line="240" w:lineRule="atLeast"/>
              <w:rPr>
                <w:rFonts w:hint="eastAsia" w:ascii="宋体" w:hAnsi="宋体" w:eastAsia="宋体" w:cs="宋体"/>
                <w:b w:val="0"/>
                <w:bCs w:val="0"/>
                <w:color w:val="000000"/>
                <w:sz w:val="24"/>
                <w:szCs w:val="24"/>
                <w:highlight w:val="none"/>
              </w:rPr>
            </w:pPr>
          </w:p>
        </w:tc>
      </w:tr>
      <w:tr w14:paraId="2C07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937" w:type="dxa"/>
            <w:vMerge w:val="restart"/>
            <w:vAlign w:val="center"/>
          </w:tcPr>
          <w:p w14:paraId="4DC27059">
            <w:pPr>
              <w:pStyle w:val="18"/>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2.2.4</w:t>
            </w:r>
          </w:p>
          <w:p w14:paraId="6FAB7462">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lang w:val="en-US"/>
              </w:rPr>
              <w:t>1</w:t>
            </w:r>
            <w:r>
              <w:rPr>
                <w:rFonts w:hint="eastAsia" w:ascii="宋体" w:hAnsi="宋体" w:eastAsia="宋体" w:cs="宋体"/>
                <w:b w:val="0"/>
                <w:bCs w:val="0"/>
                <w:color w:val="000000"/>
                <w:sz w:val="24"/>
                <w:szCs w:val="24"/>
                <w:highlight w:val="none"/>
              </w:rPr>
              <w:t>）</w:t>
            </w:r>
          </w:p>
        </w:tc>
        <w:tc>
          <w:tcPr>
            <w:tcW w:w="637" w:type="dxa"/>
            <w:vMerge w:val="restart"/>
            <w:vAlign w:val="center"/>
          </w:tcPr>
          <w:p w14:paraId="67398320">
            <w:pPr>
              <w:pStyle w:val="18"/>
              <w:spacing w:line="240" w:lineRule="atLeast"/>
              <w:jc w:val="center"/>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施工组织设计</w:t>
            </w:r>
          </w:p>
        </w:tc>
        <w:tc>
          <w:tcPr>
            <w:tcW w:w="696" w:type="dxa"/>
            <w:vMerge w:val="restart"/>
            <w:vAlign w:val="center"/>
          </w:tcPr>
          <w:p w14:paraId="5E08D30C">
            <w:pPr>
              <w:pStyle w:val="18"/>
              <w:spacing w:line="244" w:lineRule="auto"/>
              <w:ind w:left="143" w:leftChars="0" w:right="131" w:rightChars="0"/>
              <w:jc w:val="center"/>
              <w:rPr>
                <w:rFonts w:hint="eastAsia" w:ascii="宋体" w:hAnsi="宋体" w:eastAsia="宋体" w:cs="宋体"/>
                <w:b w:val="0"/>
                <w:bCs w:val="0"/>
                <w:color w:val="000000"/>
                <w:sz w:val="24"/>
                <w:szCs w:val="24"/>
                <w:highlight w:val="none"/>
                <w:lang w:val="en-US"/>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rPr>
              <w:t>分</w:t>
            </w:r>
          </w:p>
        </w:tc>
        <w:tc>
          <w:tcPr>
            <w:tcW w:w="2105" w:type="dxa"/>
            <w:gridSpan w:val="2"/>
            <w:vAlign w:val="center"/>
          </w:tcPr>
          <w:p w14:paraId="309A80F1">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总体施工组织布置及规划（建设和养护）</w:t>
            </w:r>
          </w:p>
        </w:tc>
        <w:tc>
          <w:tcPr>
            <w:tcW w:w="600" w:type="dxa"/>
            <w:vAlign w:val="center"/>
          </w:tcPr>
          <w:p w14:paraId="13E00BF8">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2</w:t>
            </w:r>
          </w:p>
        </w:tc>
        <w:tc>
          <w:tcPr>
            <w:tcW w:w="3991" w:type="dxa"/>
            <w:vAlign w:val="center"/>
          </w:tcPr>
          <w:p w14:paraId="3634C16A">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3A38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37" w:type="dxa"/>
            <w:vMerge w:val="continue"/>
            <w:vAlign w:val="top"/>
          </w:tcPr>
          <w:p w14:paraId="6DB9EFD5">
            <w:pPr>
              <w:pStyle w:val="4"/>
              <w:spacing w:line="240" w:lineRule="atLeast"/>
              <w:rPr>
                <w:rFonts w:hint="eastAsia" w:ascii="宋体" w:hAnsi="宋体" w:eastAsia="宋体" w:cs="宋体"/>
                <w:b w:val="0"/>
                <w:bCs w:val="0"/>
                <w:color w:val="000000"/>
                <w:sz w:val="24"/>
                <w:szCs w:val="24"/>
                <w:highlight w:val="none"/>
              </w:rPr>
            </w:pPr>
          </w:p>
        </w:tc>
        <w:tc>
          <w:tcPr>
            <w:tcW w:w="637" w:type="dxa"/>
            <w:vMerge w:val="continue"/>
            <w:vAlign w:val="top"/>
          </w:tcPr>
          <w:p w14:paraId="2611A533">
            <w:pPr>
              <w:pStyle w:val="18"/>
              <w:spacing w:line="240" w:lineRule="atLeast"/>
              <w:rPr>
                <w:rFonts w:hint="eastAsia" w:ascii="宋体" w:hAnsi="宋体" w:eastAsia="宋体" w:cs="宋体"/>
                <w:b w:val="0"/>
                <w:bCs w:val="0"/>
                <w:color w:val="000000"/>
                <w:sz w:val="24"/>
                <w:szCs w:val="24"/>
                <w:highlight w:val="none"/>
              </w:rPr>
            </w:pPr>
          </w:p>
        </w:tc>
        <w:tc>
          <w:tcPr>
            <w:tcW w:w="696" w:type="dxa"/>
            <w:vMerge w:val="continue"/>
            <w:vAlign w:val="top"/>
          </w:tcPr>
          <w:p w14:paraId="393B3E8C">
            <w:pPr>
              <w:pStyle w:val="18"/>
              <w:spacing w:line="244" w:lineRule="auto"/>
              <w:ind w:left="143" w:leftChars="0" w:right="131" w:rightChars="0"/>
              <w:rPr>
                <w:rFonts w:hint="eastAsia" w:ascii="宋体" w:hAnsi="宋体" w:eastAsia="宋体" w:cs="宋体"/>
                <w:b w:val="0"/>
                <w:bCs w:val="0"/>
                <w:color w:val="000000"/>
                <w:sz w:val="24"/>
                <w:szCs w:val="24"/>
                <w:highlight w:val="none"/>
              </w:rPr>
            </w:pPr>
          </w:p>
        </w:tc>
        <w:tc>
          <w:tcPr>
            <w:tcW w:w="2105" w:type="dxa"/>
            <w:gridSpan w:val="2"/>
            <w:vAlign w:val="center"/>
          </w:tcPr>
          <w:p w14:paraId="4C5B6165">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施工方案、方法与技术措施（建设和养护）</w:t>
            </w:r>
          </w:p>
        </w:tc>
        <w:tc>
          <w:tcPr>
            <w:tcW w:w="600" w:type="dxa"/>
            <w:vAlign w:val="center"/>
          </w:tcPr>
          <w:p w14:paraId="12468567">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2</w:t>
            </w:r>
          </w:p>
        </w:tc>
        <w:tc>
          <w:tcPr>
            <w:tcW w:w="3991" w:type="dxa"/>
            <w:vAlign w:val="center"/>
          </w:tcPr>
          <w:p w14:paraId="61E12B92">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r>
      <w:tr w14:paraId="1DF6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937" w:type="dxa"/>
            <w:vMerge w:val="continue"/>
            <w:vAlign w:val="top"/>
          </w:tcPr>
          <w:p w14:paraId="03CEC828">
            <w:pPr>
              <w:spacing w:line="240" w:lineRule="atLeast"/>
              <w:rPr>
                <w:rFonts w:hint="eastAsia" w:ascii="宋体" w:hAnsi="宋体" w:eastAsia="宋体" w:cs="宋体"/>
                <w:b w:val="0"/>
                <w:bCs w:val="0"/>
                <w:color w:val="000000"/>
                <w:sz w:val="24"/>
                <w:szCs w:val="24"/>
                <w:highlight w:val="none"/>
              </w:rPr>
            </w:pPr>
          </w:p>
        </w:tc>
        <w:tc>
          <w:tcPr>
            <w:tcW w:w="637" w:type="dxa"/>
            <w:vMerge w:val="continue"/>
            <w:vAlign w:val="top"/>
          </w:tcPr>
          <w:p w14:paraId="7AC31E39">
            <w:pPr>
              <w:pStyle w:val="18"/>
              <w:spacing w:line="240" w:lineRule="atLeast"/>
              <w:rPr>
                <w:rFonts w:hint="eastAsia" w:ascii="宋体" w:hAnsi="宋体" w:eastAsia="宋体" w:cs="宋体"/>
                <w:b w:val="0"/>
                <w:bCs w:val="0"/>
                <w:color w:val="000000"/>
                <w:sz w:val="24"/>
                <w:szCs w:val="24"/>
                <w:highlight w:val="none"/>
              </w:rPr>
            </w:pPr>
          </w:p>
        </w:tc>
        <w:tc>
          <w:tcPr>
            <w:tcW w:w="696" w:type="dxa"/>
            <w:vMerge w:val="continue"/>
            <w:vAlign w:val="top"/>
          </w:tcPr>
          <w:p w14:paraId="530ED19F">
            <w:pPr>
              <w:pStyle w:val="18"/>
              <w:spacing w:line="244" w:lineRule="auto"/>
              <w:ind w:left="143" w:leftChars="0" w:right="131" w:rightChars="0"/>
              <w:rPr>
                <w:rFonts w:hint="eastAsia" w:ascii="宋体" w:hAnsi="宋体" w:eastAsia="宋体" w:cs="宋体"/>
                <w:b w:val="0"/>
                <w:bCs w:val="0"/>
                <w:color w:val="000000"/>
                <w:sz w:val="24"/>
                <w:szCs w:val="24"/>
                <w:highlight w:val="none"/>
              </w:rPr>
            </w:pPr>
          </w:p>
        </w:tc>
        <w:tc>
          <w:tcPr>
            <w:tcW w:w="2105" w:type="dxa"/>
            <w:gridSpan w:val="2"/>
            <w:vAlign w:val="center"/>
          </w:tcPr>
          <w:p w14:paraId="3D7E3CE1">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工期、质量、安全生产、交通保畅管理体系及保证措施（建设和养护）</w:t>
            </w:r>
          </w:p>
        </w:tc>
        <w:tc>
          <w:tcPr>
            <w:tcW w:w="600" w:type="dxa"/>
            <w:vAlign w:val="center"/>
          </w:tcPr>
          <w:p w14:paraId="53819C66">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1</w:t>
            </w:r>
          </w:p>
        </w:tc>
        <w:tc>
          <w:tcPr>
            <w:tcW w:w="3991" w:type="dxa"/>
            <w:vAlign w:val="center"/>
          </w:tcPr>
          <w:p w14:paraId="3D56C375">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r>
      <w:tr w14:paraId="703A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937" w:type="dxa"/>
            <w:vMerge w:val="continue"/>
            <w:vAlign w:val="top"/>
          </w:tcPr>
          <w:p w14:paraId="6733D37B">
            <w:pPr>
              <w:spacing w:line="240" w:lineRule="atLeast"/>
              <w:rPr>
                <w:rFonts w:hint="eastAsia" w:ascii="宋体" w:hAnsi="宋体" w:eastAsia="宋体" w:cs="宋体"/>
                <w:b w:val="0"/>
                <w:bCs w:val="0"/>
                <w:color w:val="000000"/>
                <w:sz w:val="24"/>
                <w:szCs w:val="24"/>
                <w:highlight w:val="none"/>
              </w:rPr>
            </w:pPr>
          </w:p>
        </w:tc>
        <w:tc>
          <w:tcPr>
            <w:tcW w:w="637" w:type="dxa"/>
            <w:vMerge w:val="continue"/>
            <w:vAlign w:val="top"/>
          </w:tcPr>
          <w:p w14:paraId="4CCA953C">
            <w:pPr>
              <w:pStyle w:val="18"/>
              <w:spacing w:line="240" w:lineRule="atLeast"/>
              <w:rPr>
                <w:rFonts w:hint="eastAsia" w:ascii="宋体" w:hAnsi="宋体" w:eastAsia="宋体" w:cs="宋体"/>
                <w:b w:val="0"/>
                <w:bCs w:val="0"/>
                <w:color w:val="000000"/>
                <w:sz w:val="24"/>
                <w:szCs w:val="24"/>
                <w:highlight w:val="none"/>
              </w:rPr>
            </w:pPr>
          </w:p>
        </w:tc>
        <w:tc>
          <w:tcPr>
            <w:tcW w:w="696" w:type="dxa"/>
            <w:vMerge w:val="continue"/>
            <w:vAlign w:val="top"/>
          </w:tcPr>
          <w:p w14:paraId="260A6A6A">
            <w:pPr>
              <w:pStyle w:val="18"/>
              <w:spacing w:line="244" w:lineRule="auto"/>
              <w:ind w:left="143" w:leftChars="0" w:right="131" w:rightChars="0"/>
              <w:rPr>
                <w:rFonts w:hint="eastAsia" w:ascii="宋体" w:hAnsi="宋体" w:eastAsia="宋体" w:cs="宋体"/>
                <w:b w:val="0"/>
                <w:bCs w:val="0"/>
                <w:color w:val="000000"/>
                <w:sz w:val="24"/>
                <w:szCs w:val="24"/>
                <w:highlight w:val="none"/>
              </w:rPr>
            </w:pPr>
          </w:p>
        </w:tc>
        <w:tc>
          <w:tcPr>
            <w:tcW w:w="2105" w:type="dxa"/>
            <w:gridSpan w:val="2"/>
            <w:vAlign w:val="center"/>
          </w:tcPr>
          <w:p w14:paraId="2A8938AB">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环境保护、文明施工、事故处理管理体系及保证措施（建设和养护）</w:t>
            </w:r>
          </w:p>
        </w:tc>
        <w:tc>
          <w:tcPr>
            <w:tcW w:w="600" w:type="dxa"/>
            <w:vAlign w:val="center"/>
          </w:tcPr>
          <w:p w14:paraId="33E22157">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1</w:t>
            </w:r>
          </w:p>
        </w:tc>
        <w:tc>
          <w:tcPr>
            <w:tcW w:w="3991" w:type="dxa"/>
            <w:vAlign w:val="center"/>
          </w:tcPr>
          <w:p w14:paraId="3E533577">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r>
      <w:tr w14:paraId="0BCA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937" w:type="dxa"/>
            <w:vMerge w:val="continue"/>
            <w:vAlign w:val="top"/>
          </w:tcPr>
          <w:p w14:paraId="6502236E">
            <w:pPr>
              <w:spacing w:line="240" w:lineRule="atLeast"/>
              <w:rPr>
                <w:rFonts w:hint="eastAsia" w:ascii="宋体" w:hAnsi="宋体" w:eastAsia="宋体" w:cs="宋体"/>
                <w:b w:val="0"/>
                <w:bCs w:val="0"/>
                <w:color w:val="000000"/>
                <w:sz w:val="24"/>
                <w:szCs w:val="24"/>
                <w:highlight w:val="none"/>
              </w:rPr>
            </w:pPr>
          </w:p>
        </w:tc>
        <w:tc>
          <w:tcPr>
            <w:tcW w:w="637" w:type="dxa"/>
            <w:vMerge w:val="continue"/>
            <w:vAlign w:val="top"/>
          </w:tcPr>
          <w:p w14:paraId="514C4A40">
            <w:pPr>
              <w:pStyle w:val="18"/>
              <w:spacing w:line="240" w:lineRule="atLeast"/>
              <w:rPr>
                <w:rFonts w:hint="eastAsia" w:ascii="宋体" w:hAnsi="宋体" w:eastAsia="宋体" w:cs="宋体"/>
                <w:b w:val="0"/>
                <w:bCs w:val="0"/>
                <w:color w:val="000000"/>
                <w:sz w:val="24"/>
                <w:szCs w:val="24"/>
                <w:highlight w:val="none"/>
              </w:rPr>
            </w:pPr>
          </w:p>
        </w:tc>
        <w:tc>
          <w:tcPr>
            <w:tcW w:w="696" w:type="dxa"/>
            <w:vMerge w:val="continue"/>
            <w:vAlign w:val="top"/>
          </w:tcPr>
          <w:p w14:paraId="7A72C849">
            <w:pPr>
              <w:pStyle w:val="18"/>
              <w:spacing w:line="244" w:lineRule="auto"/>
              <w:ind w:left="143" w:leftChars="0" w:right="131" w:rightChars="0"/>
              <w:rPr>
                <w:rFonts w:hint="eastAsia" w:ascii="宋体" w:hAnsi="宋体" w:eastAsia="宋体" w:cs="宋体"/>
                <w:b w:val="0"/>
                <w:bCs w:val="0"/>
                <w:color w:val="000000"/>
                <w:sz w:val="24"/>
                <w:szCs w:val="24"/>
                <w:highlight w:val="none"/>
              </w:rPr>
            </w:pPr>
          </w:p>
        </w:tc>
        <w:tc>
          <w:tcPr>
            <w:tcW w:w="2105" w:type="dxa"/>
            <w:gridSpan w:val="2"/>
            <w:vAlign w:val="center"/>
          </w:tcPr>
          <w:p w14:paraId="410E0F79">
            <w:pPr>
              <w:adjustRightInd w:val="0"/>
              <w:snapToGrid w:val="0"/>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支付保障管理体系及保证措施（建设和养护）</w:t>
            </w:r>
          </w:p>
        </w:tc>
        <w:tc>
          <w:tcPr>
            <w:tcW w:w="600" w:type="dxa"/>
            <w:vAlign w:val="center"/>
          </w:tcPr>
          <w:p w14:paraId="68EB2810">
            <w:pPr>
              <w:jc w:val="center"/>
              <w:rPr>
                <w:rFonts w:hint="eastAsia" w:ascii="宋体" w:hAnsi="宋体" w:eastAsia="宋体" w:cs="宋体"/>
                <w:color w:val="0C0C0C"/>
                <w:sz w:val="24"/>
                <w:szCs w:val="24"/>
                <w:highlight w:val="none"/>
                <w:lang w:val="en-US"/>
              </w:rPr>
            </w:pPr>
            <w:r>
              <w:rPr>
                <w:rFonts w:hint="eastAsia" w:ascii="宋体" w:hAnsi="宋体" w:eastAsia="宋体" w:cs="宋体"/>
                <w:color w:val="auto"/>
                <w:sz w:val="24"/>
                <w:szCs w:val="24"/>
                <w:highlight w:val="none"/>
                <w:lang w:val="en-US" w:eastAsia="zh-CN"/>
              </w:rPr>
              <w:t>1</w:t>
            </w:r>
          </w:p>
        </w:tc>
        <w:tc>
          <w:tcPr>
            <w:tcW w:w="3991" w:type="dxa"/>
            <w:vAlign w:val="center"/>
          </w:tcPr>
          <w:p w14:paraId="021BB3DA">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好计</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分，较好计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分，基本满足项目需要计</w:t>
            </w:r>
            <w:r>
              <w:rPr>
                <w:rFonts w:hint="eastAsia" w:ascii="宋体" w:hAnsi="宋体" w:eastAsia="宋体" w:cs="宋体"/>
                <w:color w:val="auto"/>
                <w:sz w:val="24"/>
                <w:szCs w:val="24"/>
                <w:highlight w:val="none"/>
                <w:lang w:val="en-US" w:eastAsia="zh-CN"/>
              </w:rPr>
              <w:t>0.6</w:t>
            </w:r>
            <w:r>
              <w:rPr>
                <w:rFonts w:hint="eastAsia" w:ascii="宋体" w:hAnsi="宋体" w:eastAsia="宋体" w:cs="宋体"/>
                <w:color w:val="auto"/>
                <w:sz w:val="24"/>
                <w:szCs w:val="24"/>
                <w:highlight w:val="none"/>
              </w:rPr>
              <w:t>分。</w:t>
            </w:r>
          </w:p>
        </w:tc>
      </w:tr>
      <w:tr w14:paraId="01FD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937" w:type="dxa"/>
            <w:vMerge w:val="restart"/>
            <w:vAlign w:val="center"/>
          </w:tcPr>
          <w:p w14:paraId="2DDEFFBB">
            <w:pPr>
              <w:pStyle w:val="18"/>
              <w:spacing w:before="127"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2.2.4</w:t>
            </w:r>
          </w:p>
          <w:p w14:paraId="021E03C7">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（2）</w:t>
            </w:r>
          </w:p>
        </w:tc>
        <w:tc>
          <w:tcPr>
            <w:tcW w:w="637" w:type="dxa"/>
            <w:vMerge w:val="restart"/>
            <w:vAlign w:val="center"/>
          </w:tcPr>
          <w:p w14:paraId="51F9FBC9">
            <w:pPr>
              <w:spacing w:line="240" w:lineRule="atLeast"/>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主</w:t>
            </w:r>
          </w:p>
          <w:p w14:paraId="5D97A5D3">
            <w:pPr>
              <w:spacing w:line="240" w:lineRule="atLeast"/>
              <w:jc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要</w:t>
            </w:r>
          </w:p>
          <w:p w14:paraId="5FA6B1DF">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人</w:t>
            </w:r>
          </w:p>
          <w:p w14:paraId="4BE9F886">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员</w:t>
            </w:r>
          </w:p>
        </w:tc>
        <w:tc>
          <w:tcPr>
            <w:tcW w:w="696" w:type="dxa"/>
            <w:vMerge w:val="restart"/>
            <w:vAlign w:val="center"/>
          </w:tcPr>
          <w:p w14:paraId="384CED5B">
            <w:pPr>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c>
          <w:tcPr>
            <w:tcW w:w="2105" w:type="dxa"/>
            <w:gridSpan w:val="2"/>
            <w:vAlign w:val="center"/>
          </w:tcPr>
          <w:p w14:paraId="766B347F">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满足资格审查</w:t>
            </w:r>
          </w:p>
        </w:tc>
        <w:tc>
          <w:tcPr>
            <w:tcW w:w="600" w:type="dxa"/>
            <w:vAlign w:val="center"/>
          </w:tcPr>
          <w:p w14:paraId="48C21C58">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991" w:type="dxa"/>
            <w:vAlign w:val="center"/>
          </w:tcPr>
          <w:p w14:paraId="7570CB3D">
            <w:pPr>
              <w:jc w:val="left"/>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满足资格审查最低要求得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w:t>
            </w:r>
          </w:p>
        </w:tc>
      </w:tr>
      <w:tr w14:paraId="3C5C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continue"/>
            <w:vAlign w:val="center"/>
          </w:tcPr>
          <w:p w14:paraId="2C62D3FF">
            <w:pPr>
              <w:spacing w:line="240" w:lineRule="atLeast"/>
              <w:jc w:val="center"/>
              <w:rPr>
                <w:rFonts w:hint="eastAsia" w:ascii="宋体" w:hAnsi="宋体" w:eastAsia="宋体" w:cs="宋体"/>
                <w:b w:val="0"/>
                <w:bCs w:val="0"/>
                <w:color w:val="000000"/>
                <w:sz w:val="24"/>
                <w:szCs w:val="24"/>
                <w:highlight w:val="none"/>
              </w:rPr>
            </w:pPr>
          </w:p>
        </w:tc>
        <w:tc>
          <w:tcPr>
            <w:tcW w:w="637" w:type="dxa"/>
            <w:vMerge w:val="continue"/>
            <w:vAlign w:val="center"/>
          </w:tcPr>
          <w:p w14:paraId="635AADDC">
            <w:pPr>
              <w:spacing w:line="240" w:lineRule="atLeast"/>
              <w:jc w:val="center"/>
              <w:rPr>
                <w:rFonts w:hint="eastAsia" w:ascii="宋体" w:hAnsi="宋体" w:eastAsia="宋体" w:cs="宋体"/>
                <w:b w:val="0"/>
                <w:bCs w:val="0"/>
                <w:color w:val="000000"/>
                <w:sz w:val="24"/>
                <w:szCs w:val="24"/>
                <w:highlight w:val="none"/>
              </w:rPr>
            </w:pPr>
          </w:p>
        </w:tc>
        <w:tc>
          <w:tcPr>
            <w:tcW w:w="696" w:type="dxa"/>
            <w:vMerge w:val="continue"/>
            <w:vAlign w:val="center"/>
          </w:tcPr>
          <w:p w14:paraId="7D95494A">
            <w:pPr>
              <w:jc w:val="center"/>
              <w:rPr>
                <w:rFonts w:hint="eastAsia" w:ascii="宋体" w:hAnsi="宋体" w:eastAsia="宋体" w:cs="宋体"/>
                <w:b w:val="0"/>
                <w:bCs w:val="0"/>
                <w:color w:val="000000"/>
                <w:sz w:val="24"/>
                <w:szCs w:val="24"/>
                <w:highlight w:val="none"/>
                <w:lang w:val="en-US" w:eastAsia="zh-CN"/>
              </w:rPr>
            </w:pPr>
          </w:p>
        </w:tc>
        <w:tc>
          <w:tcPr>
            <w:tcW w:w="2105" w:type="dxa"/>
            <w:gridSpan w:val="2"/>
            <w:vAlign w:val="center"/>
          </w:tcPr>
          <w:p w14:paraId="2BF3F8F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项目经理</w:t>
            </w:r>
          </w:p>
          <w:p w14:paraId="3F9329ED">
            <w:pPr>
              <w:jc w:val="center"/>
              <w:rPr>
                <w:rFonts w:hint="eastAsia" w:ascii="宋体" w:hAnsi="宋体" w:eastAsia="宋体" w:cs="宋体"/>
                <w:color w:val="0C0C0C"/>
                <w:sz w:val="24"/>
                <w:szCs w:val="24"/>
                <w:highlight w:val="none"/>
                <w:lang w:val="en-US" w:eastAsia="zh-CN"/>
              </w:rPr>
            </w:pPr>
            <w:r>
              <w:rPr>
                <w:rFonts w:hint="eastAsia" w:ascii="宋体" w:hAnsi="宋体" w:eastAsia="宋体" w:cs="宋体"/>
                <w:color w:val="auto"/>
                <w:sz w:val="24"/>
                <w:szCs w:val="24"/>
                <w:highlight w:val="none"/>
              </w:rPr>
              <w:t>任职资格与业绩</w:t>
            </w:r>
          </w:p>
        </w:tc>
        <w:tc>
          <w:tcPr>
            <w:tcW w:w="600" w:type="dxa"/>
            <w:vAlign w:val="center"/>
          </w:tcPr>
          <w:p w14:paraId="4BCCBA63">
            <w:pPr>
              <w:jc w:val="center"/>
              <w:rPr>
                <w:rFonts w:hint="eastAsia" w:ascii="宋体" w:hAnsi="宋体" w:eastAsia="宋体" w:cs="宋体"/>
                <w:color w:val="0C0C0C"/>
                <w:sz w:val="24"/>
                <w:szCs w:val="24"/>
                <w:highlight w:val="none"/>
                <w:lang w:val="en-US" w:eastAsia="zh-CN"/>
              </w:rPr>
            </w:pPr>
            <w:r>
              <w:rPr>
                <w:rFonts w:hint="eastAsia" w:ascii="宋体" w:hAnsi="宋体" w:cs="宋体"/>
                <w:color w:val="auto"/>
                <w:sz w:val="24"/>
                <w:szCs w:val="24"/>
                <w:highlight w:val="none"/>
                <w:lang w:val="en-US" w:eastAsia="zh-CN"/>
              </w:rPr>
              <w:t>2</w:t>
            </w:r>
          </w:p>
        </w:tc>
        <w:tc>
          <w:tcPr>
            <w:tcW w:w="3991" w:type="dxa"/>
            <w:vAlign w:val="center"/>
          </w:tcPr>
          <w:p w14:paraId="3424680A">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满足资格审查要求之外，每增加1个新建或改扩建高速公路项目土建工程施工合同段</w:t>
            </w:r>
            <w:r>
              <w:rPr>
                <w:rFonts w:hint="eastAsia" w:ascii="宋体" w:hAnsi="宋体" w:eastAsia="宋体" w:cs="宋体"/>
                <w:color w:val="auto"/>
                <w:sz w:val="24"/>
                <w:szCs w:val="24"/>
                <w:highlight w:val="none"/>
                <w:lang w:val="en-US" w:eastAsia="zh-CN"/>
              </w:rPr>
              <w:t>项目经理</w:t>
            </w:r>
            <w:r>
              <w:rPr>
                <w:rFonts w:hint="eastAsia" w:ascii="宋体" w:hAnsi="宋体" w:eastAsia="宋体" w:cs="宋体"/>
                <w:color w:val="auto"/>
                <w:sz w:val="24"/>
                <w:szCs w:val="24"/>
                <w:highlight w:val="none"/>
              </w:rPr>
              <w:t>任职业绩加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分，每增加1个高速公路</w:t>
            </w:r>
            <w:r>
              <w:rPr>
                <w:rFonts w:hint="eastAsia" w:ascii="宋体" w:hAnsi="宋体" w:eastAsia="宋体" w:cs="宋体"/>
                <w:color w:val="auto"/>
                <w:sz w:val="24"/>
                <w:szCs w:val="24"/>
                <w:highlight w:val="none"/>
                <w:lang w:val="en-US" w:eastAsia="zh-CN"/>
              </w:rPr>
              <w:t>养护工程</w:t>
            </w:r>
            <w:r>
              <w:rPr>
                <w:rFonts w:hint="eastAsia" w:ascii="宋体" w:hAnsi="宋体" w:eastAsia="宋体" w:cs="宋体"/>
                <w:color w:val="auto"/>
                <w:sz w:val="24"/>
                <w:szCs w:val="24"/>
                <w:highlight w:val="none"/>
              </w:rPr>
              <w:t>项目土建工程施工合同段</w:t>
            </w:r>
            <w:r>
              <w:rPr>
                <w:rFonts w:hint="eastAsia" w:ascii="宋体" w:hAnsi="宋体" w:eastAsia="宋体" w:cs="宋体"/>
                <w:color w:val="auto"/>
                <w:sz w:val="24"/>
                <w:szCs w:val="24"/>
                <w:highlight w:val="none"/>
                <w:lang w:val="en-US" w:eastAsia="zh-CN"/>
              </w:rPr>
              <w:t>项目经理</w:t>
            </w:r>
            <w:r>
              <w:rPr>
                <w:rFonts w:hint="eastAsia" w:ascii="宋体" w:hAnsi="宋体" w:eastAsia="宋体" w:cs="宋体"/>
                <w:color w:val="auto"/>
                <w:sz w:val="24"/>
                <w:szCs w:val="24"/>
                <w:highlight w:val="none"/>
              </w:rPr>
              <w:t>任职业绩加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7AD9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continue"/>
            <w:vAlign w:val="center"/>
          </w:tcPr>
          <w:p w14:paraId="4A84F496">
            <w:pPr>
              <w:spacing w:line="240" w:lineRule="atLeast"/>
              <w:jc w:val="center"/>
              <w:rPr>
                <w:rFonts w:hint="eastAsia" w:ascii="宋体" w:hAnsi="宋体" w:eastAsia="宋体" w:cs="宋体"/>
                <w:b w:val="0"/>
                <w:bCs w:val="0"/>
                <w:color w:val="000000"/>
                <w:sz w:val="24"/>
                <w:szCs w:val="24"/>
                <w:highlight w:val="none"/>
              </w:rPr>
            </w:pPr>
          </w:p>
        </w:tc>
        <w:tc>
          <w:tcPr>
            <w:tcW w:w="637" w:type="dxa"/>
            <w:vMerge w:val="continue"/>
            <w:vAlign w:val="center"/>
          </w:tcPr>
          <w:p w14:paraId="142B59FD">
            <w:pPr>
              <w:spacing w:line="240" w:lineRule="atLeast"/>
              <w:jc w:val="center"/>
              <w:rPr>
                <w:rFonts w:hint="eastAsia" w:ascii="宋体" w:hAnsi="宋体" w:eastAsia="宋体" w:cs="宋体"/>
                <w:b w:val="0"/>
                <w:bCs w:val="0"/>
                <w:color w:val="000000"/>
                <w:sz w:val="24"/>
                <w:szCs w:val="24"/>
                <w:highlight w:val="none"/>
              </w:rPr>
            </w:pPr>
          </w:p>
        </w:tc>
        <w:tc>
          <w:tcPr>
            <w:tcW w:w="696" w:type="dxa"/>
            <w:vMerge w:val="continue"/>
            <w:vAlign w:val="center"/>
          </w:tcPr>
          <w:p w14:paraId="21C379F2">
            <w:pPr>
              <w:jc w:val="center"/>
              <w:rPr>
                <w:rFonts w:hint="eastAsia" w:ascii="宋体" w:hAnsi="宋体" w:eastAsia="宋体" w:cs="宋体"/>
                <w:b w:val="0"/>
                <w:bCs w:val="0"/>
                <w:color w:val="000000"/>
                <w:sz w:val="24"/>
                <w:szCs w:val="24"/>
                <w:highlight w:val="none"/>
                <w:lang w:val="en-US" w:eastAsia="zh-CN"/>
              </w:rPr>
            </w:pPr>
          </w:p>
        </w:tc>
        <w:tc>
          <w:tcPr>
            <w:tcW w:w="2105" w:type="dxa"/>
            <w:gridSpan w:val="2"/>
            <w:vAlign w:val="center"/>
          </w:tcPr>
          <w:p w14:paraId="0A8EB6EB">
            <w:pPr>
              <w:jc w:val="center"/>
              <w:rPr>
                <w:rFonts w:hint="eastAsia" w:ascii="宋体" w:hAnsi="宋体" w:eastAsia="宋体" w:cs="宋体"/>
                <w:color w:val="0C0C0C"/>
                <w:sz w:val="24"/>
                <w:szCs w:val="24"/>
                <w:highlight w:val="none"/>
              </w:rPr>
            </w:pPr>
            <w:r>
              <w:rPr>
                <w:rFonts w:hint="eastAsia" w:ascii="宋体" w:hAnsi="宋体" w:eastAsia="宋体" w:cs="宋体"/>
                <w:color w:val="auto"/>
                <w:sz w:val="24"/>
                <w:szCs w:val="24"/>
                <w:highlight w:val="none"/>
                <w:lang w:val="en-US" w:eastAsia="zh-CN"/>
              </w:rPr>
              <w:t>项目总工</w:t>
            </w:r>
            <w:r>
              <w:rPr>
                <w:rFonts w:hint="eastAsia" w:ascii="宋体" w:hAnsi="宋体" w:eastAsia="宋体" w:cs="宋体"/>
                <w:color w:val="auto"/>
                <w:sz w:val="24"/>
                <w:szCs w:val="24"/>
                <w:highlight w:val="none"/>
              </w:rPr>
              <w:t>任职资格与业绩</w:t>
            </w:r>
          </w:p>
        </w:tc>
        <w:tc>
          <w:tcPr>
            <w:tcW w:w="600" w:type="dxa"/>
            <w:vAlign w:val="center"/>
          </w:tcPr>
          <w:p w14:paraId="07B9A1D7">
            <w:pPr>
              <w:jc w:val="center"/>
              <w:rPr>
                <w:rFonts w:hint="eastAsia" w:ascii="宋体" w:hAnsi="宋体" w:eastAsia="宋体" w:cs="宋体"/>
                <w:color w:val="0C0C0C"/>
                <w:sz w:val="24"/>
                <w:szCs w:val="24"/>
                <w:highlight w:val="none"/>
              </w:rPr>
            </w:pPr>
            <w:r>
              <w:rPr>
                <w:rFonts w:hint="eastAsia" w:ascii="宋体" w:hAnsi="宋体" w:cs="宋体"/>
                <w:color w:val="auto"/>
                <w:sz w:val="24"/>
                <w:szCs w:val="24"/>
                <w:highlight w:val="none"/>
                <w:lang w:val="en-US" w:eastAsia="zh-CN"/>
              </w:rPr>
              <w:t>2</w:t>
            </w:r>
          </w:p>
        </w:tc>
        <w:tc>
          <w:tcPr>
            <w:tcW w:w="3991" w:type="dxa"/>
            <w:vAlign w:val="center"/>
          </w:tcPr>
          <w:p w14:paraId="7456E60D">
            <w:pPr>
              <w:jc w:val="left"/>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rPr>
              <w:t>满足资格审查要求之外，每增加1个新建或改扩建高速公路项目土建工程施工合同段</w:t>
            </w:r>
            <w:r>
              <w:rPr>
                <w:rFonts w:hint="eastAsia" w:ascii="宋体" w:hAnsi="宋体" w:eastAsia="宋体" w:cs="宋体"/>
                <w:color w:val="auto"/>
                <w:sz w:val="24"/>
                <w:szCs w:val="24"/>
                <w:highlight w:val="none"/>
                <w:lang w:val="en-US" w:eastAsia="zh-CN"/>
              </w:rPr>
              <w:t>项目总工</w:t>
            </w:r>
            <w:r>
              <w:rPr>
                <w:rFonts w:hint="eastAsia" w:ascii="宋体" w:hAnsi="宋体" w:eastAsia="宋体" w:cs="宋体"/>
                <w:color w:val="auto"/>
                <w:sz w:val="24"/>
                <w:szCs w:val="24"/>
                <w:highlight w:val="none"/>
              </w:rPr>
              <w:t>任职业绩加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分，每增加1个高速公路</w:t>
            </w:r>
            <w:r>
              <w:rPr>
                <w:rFonts w:hint="eastAsia" w:ascii="宋体" w:hAnsi="宋体" w:eastAsia="宋体" w:cs="宋体"/>
                <w:color w:val="auto"/>
                <w:sz w:val="24"/>
                <w:szCs w:val="24"/>
                <w:highlight w:val="none"/>
                <w:lang w:val="en-US" w:eastAsia="zh-CN"/>
              </w:rPr>
              <w:t>养护工程</w:t>
            </w:r>
            <w:r>
              <w:rPr>
                <w:rFonts w:hint="eastAsia" w:ascii="宋体" w:hAnsi="宋体" w:eastAsia="宋体" w:cs="宋体"/>
                <w:color w:val="auto"/>
                <w:sz w:val="24"/>
                <w:szCs w:val="24"/>
                <w:highlight w:val="none"/>
              </w:rPr>
              <w:t>项目土建工程施工合同段</w:t>
            </w:r>
            <w:r>
              <w:rPr>
                <w:rFonts w:hint="eastAsia" w:ascii="宋体" w:hAnsi="宋体" w:eastAsia="宋体" w:cs="宋体"/>
                <w:color w:val="auto"/>
                <w:sz w:val="24"/>
                <w:szCs w:val="24"/>
                <w:highlight w:val="none"/>
                <w:lang w:val="en-US" w:eastAsia="zh-CN"/>
              </w:rPr>
              <w:t>项目总工</w:t>
            </w:r>
            <w:r>
              <w:rPr>
                <w:rFonts w:hint="eastAsia" w:ascii="宋体" w:hAnsi="宋体" w:eastAsia="宋体" w:cs="宋体"/>
                <w:color w:val="auto"/>
                <w:sz w:val="24"/>
                <w:szCs w:val="24"/>
                <w:highlight w:val="none"/>
              </w:rPr>
              <w:t>任职业绩加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分，最多加</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3A62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Align w:val="center"/>
          </w:tcPr>
          <w:p w14:paraId="7880C7DB">
            <w:pPr>
              <w:pStyle w:val="18"/>
              <w:spacing w:line="400" w:lineRule="exact"/>
              <w:ind w:left="119" w:leftChars="0"/>
              <w:rPr>
                <w:rFonts w:hint="eastAsia" w:ascii="宋体" w:hAnsi="宋体" w:eastAsia="宋体" w:cs="宋体"/>
                <w:b w:val="0"/>
                <w:bCs w:val="0"/>
                <w:color w:val="000000"/>
                <w:sz w:val="24"/>
                <w:szCs w:val="24"/>
                <w:highlight w:val="none"/>
              </w:rPr>
            </w:pPr>
            <w:r>
              <w:rPr>
                <w:rFonts w:hint="eastAsia" w:ascii="宋体" w:hAnsi="宋体" w:eastAsia="宋体" w:cs="宋体"/>
                <w:sz w:val="24"/>
                <w:szCs w:val="24"/>
                <w:highlight w:val="none"/>
              </w:rPr>
              <w:t>2.2.4（3）</w:t>
            </w:r>
          </w:p>
        </w:tc>
        <w:tc>
          <w:tcPr>
            <w:tcW w:w="637" w:type="dxa"/>
            <w:vAlign w:val="center"/>
          </w:tcPr>
          <w:p w14:paraId="2D8A9890">
            <w:pPr>
              <w:pStyle w:val="18"/>
              <w:spacing w:line="240" w:lineRule="atLeast"/>
              <w:jc w:val="center"/>
              <w:rPr>
                <w:rFonts w:hint="eastAsia" w:ascii="宋体" w:hAnsi="宋体" w:eastAsia="宋体" w:cs="宋体"/>
                <w:b w:val="0"/>
                <w:bCs w:val="0"/>
                <w:color w:val="auto"/>
                <w:sz w:val="24"/>
                <w:szCs w:val="24"/>
                <w:highlight w:val="none"/>
              </w:rPr>
            </w:pPr>
          </w:p>
          <w:p w14:paraId="7286EAD1">
            <w:pPr>
              <w:spacing w:line="240" w:lineRule="atLeas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w:t>
            </w:r>
          </w:p>
          <w:p w14:paraId="2D78F572">
            <w:pPr>
              <w:spacing w:line="240" w:lineRule="atLeast"/>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标</w:t>
            </w:r>
          </w:p>
          <w:p w14:paraId="1B8AEB2E">
            <w:pPr>
              <w:spacing w:line="240" w:lineRule="atLeast"/>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auto"/>
                <w:sz w:val="24"/>
                <w:szCs w:val="24"/>
                <w:highlight w:val="none"/>
              </w:rPr>
              <w:t>价</w:t>
            </w:r>
          </w:p>
        </w:tc>
        <w:tc>
          <w:tcPr>
            <w:tcW w:w="696" w:type="dxa"/>
            <w:vAlign w:val="center"/>
          </w:tcPr>
          <w:p w14:paraId="0A1945CA">
            <w:pPr>
              <w:pStyle w:val="18"/>
              <w:spacing w:line="400" w:lineRule="exact"/>
              <w:ind w:left="220" w:leftChars="0" w:right="186" w:rightChars="0"/>
              <w:rPr>
                <w:rFonts w:hint="eastAsia" w:ascii="宋体" w:hAnsi="宋体" w:eastAsia="宋体" w:cs="宋体"/>
                <w:b w:val="0"/>
                <w:bCs w:val="0"/>
                <w:color w:val="000000"/>
                <w:sz w:val="24"/>
                <w:szCs w:val="24"/>
                <w:highlight w:val="none"/>
                <w:lang w:val="en-US" w:eastAsia="zh-CN"/>
              </w:rPr>
            </w:pPr>
            <w:r>
              <w:rPr>
                <w:rFonts w:hint="eastAsia" w:ascii="宋体" w:hAnsi="宋体" w:cs="宋体"/>
                <w:sz w:val="24"/>
                <w:szCs w:val="24"/>
                <w:highlight w:val="none"/>
                <w:lang w:val="en-US" w:eastAsia="zh-CN"/>
              </w:rPr>
              <w:t>70</w:t>
            </w:r>
            <w:r>
              <w:rPr>
                <w:rFonts w:hint="eastAsia" w:ascii="宋体" w:hAnsi="宋体" w:eastAsia="宋体" w:cs="宋体"/>
                <w:sz w:val="24"/>
                <w:szCs w:val="24"/>
                <w:highlight w:val="none"/>
              </w:rPr>
              <w:t xml:space="preserve"> 分</w:t>
            </w:r>
          </w:p>
        </w:tc>
        <w:tc>
          <w:tcPr>
            <w:tcW w:w="6696" w:type="dxa"/>
            <w:gridSpan w:val="4"/>
            <w:vAlign w:val="center"/>
          </w:tcPr>
          <w:p w14:paraId="471D5597">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1.评标价得分</w:t>
            </w:r>
          </w:p>
          <w:p w14:paraId="75E4BFAC">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①评标价Di=投标函文字报价-暂估价-暂列金额</w:t>
            </w:r>
          </w:p>
          <w:p w14:paraId="389F7DD2">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除按招标文件规定开标现场被宣布为不进入评标基准价计算的投标报价之外，剩余所有投标人的评标价均为有效评标价。</w:t>
            </w:r>
          </w:p>
          <w:p w14:paraId="0D6C3985">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②评标基准价P</w:t>
            </w:r>
          </w:p>
          <w:p w14:paraId="3CFE3754">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投标文件第二个信封（报价文件）开标现场，通过摇号的方式从《陕西省公路工程建设项目招标投标管理办法》（陕交发[2022]50号）中规定的六种计算方法中随机抽取B、E、F的一种作为当次招标评标基准价的计算方法，之后按已抽取的评标基准价计算方法抽取相关计算参数。</w:t>
            </w:r>
          </w:p>
          <w:p w14:paraId="5E9A92FC">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开标现场计算并宣布评标基准价，宣布的评标基准价除计算有误经评标委员会修正外，在整个评标期间保持不变，不随任何因素发生变化。</w:t>
            </w:r>
          </w:p>
          <w:p w14:paraId="297B97E2">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2.评标价得分计算公式示例：</w:t>
            </w:r>
          </w:p>
          <w:p w14:paraId="3AF4048A">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（1）如果投标人的评标价&gt;评标基准价，则评标价得分=70-偏差率×100×E1；</w:t>
            </w:r>
          </w:p>
          <w:p w14:paraId="70F39386">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（2）如果投标人的评标价≤评标基准价，则评标价得分=70+偏差率×100×E2。</w:t>
            </w:r>
          </w:p>
          <w:p w14:paraId="5477B3E3">
            <w:pPr>
              <w:spacing w:line="240" w:lineRule="atLeas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其中：E1=1，是评标价每高于评标基准价一个百分点的扣分值；E2=0.5，是评标价每低于评标基准价一个百分点的扣分值；</w:t>
            </w:r>
          </w:p>
          <w:p w14:paraId="7E87445F">
            <w:pPr>
              <w:spacing w:line="240" w:lineRule="atLeast"/>
              <w:jc w:val="left"/>
              <w:rPr>
                <w:rStyle w:val="24"/>
                <w:rFonts w:hint="eastAsia" w:ascii="宋体" w:hAnsi="宋体" w:eastAsia="宋体" w:cs="宋体"/>
                <w:bCs/>
                <w:color w:val="0C0C0C"/>
                <w:sz w:val="24"/>
                <w:szCs w:val="24"/>
                <w:highlight w:val="none"/>
                <w:lang w:val="zh-TW"/>
              </w:rPr>
            </w:pPr>
            <w:r>
              <w:rPr>
                <w:rFonts w:hint="eastAsia" w:ascii="宋体" w:hAnsi="宋体" w:eastAsia="宋体" w:cs="宋体"/>
                <w:sz w:val="24"/>
                <w:szCs w:val="24"/>
                <w:highlight w:val="none"/>
              </w:rPr>
              <w:t>评标价得分分值保留小数点后两位，小数点后第三位“四舍五入”；评标价得分最低为 0 分。</w:t>
            </w:r>
          </w:p>
        </w:tc>
      </w:tr>
      <w:tr w14:paraId="7498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restart"/>
            <w:vAlign w:val="center"/>
          </w:tcPr>
          <w:p w14:paraId="2CC72161">
            <w:pPr>
              <w:pStyle w:val="18"/>
              <w:spacing w:line="400" w:lineRule="exact"/>
              <w:ind w:left="119" w:lef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2.2.4（4）</w:t>
            </w:r>
          </w:p>
        </w:tc>
        <w:tc>
          <w:tcPr>
            <w:tcW w:w="637" w:type="dxa"/>
            <w:vMerge w:val="restart"/>
            <w:vAlign w:val="center"/>
          </w:tcPr>
          <w:p w14:paraId="21F32668">
            <w:pPr>
              <w:spacing w:line="240" w:lineRule="atLeas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其他因素</w:t>
            </w:r>
          </w:p>
        </w:tc>
        <w:tc>
          <w:tcPr>
            <w:tcW w:w="696" w:type="dxa"/>
            <w:vMerge w:val="restart"/>
            <w:vAlign w:val="center"/>
          </w:tcPr>
          <w:p w14:paraId="3A77B805">
            <w:pPr>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rPr>
              <w:t>分</w:t>
            </w:r>
          </w:p>
        </w:tc>
        <w:tc>
          <w:tcPr>
            <w:tcW w:w="1855" w:type="dxa"/>
            <w:vAlign w:val="center"/>
          </w:tcPr>
          <w:p w14:paraId="23BAA16D">
            <w:pPr>
              <w:pStyle w:val="18"/>
              <w:spacing w:line="240" w:lineRule="atLeast"/>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财务</w:t>
            </w:r>
          </w:p>
        </w:tc>
        <w:tc>
          <w:tcPr>
            <w:tcW w:w="850" w:type="dxa"/>
            <w:gridSpan w:val="2"/>
            <w:vAlign w:val="center"/>
          </w:tcPr>
          <w:p w14:paraId="01F18377">
            <w:pPr>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5</w:t>
            </w:r>
          </w:p>
        </w:tc>
        <w:tc>
          <w:tcPr>
            <w:tcW w:w="3991" w:type="dxa"/>
            <w:vAlign w:val="center"/>
          </w:tcPr>
          <w:p w14:paraId="36AE665B">
            <w:pPr>
              <w:pStyle w:val="18"/>
              <w:spacing w:line="240" w:lineRule="atLeast"/>
              <w:ind w:left="105" w:leftChars="50" w:right="105" w:rightChars="5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满足资格审查最低要求得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20F0CA67">
            <w:pPr>
              <w:pStyle w:val="18"/>
              <w:spacing w:line="240" w:lineRule="atLeast"/>
              <w:ind w:left="105" w:leftChars="50" w:right="105" w:rightChars="5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满足资格审查要求之外，独立投标人或联合体牵头人近三年（2022年、2023年、2024年）的平均企业资产负债率等于85％不加分,小于等于75%加2分,75%-85%之间内插。</w:t>
            </w:r>
          </w:p>
        </w:tc>
      </w:tr>
      <w:tr w14:paraId="06EF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continue"/>
            <w:vAlign w:val="center"/>
          </w:tcPr>
          <w:p w14:paraId="2390D163">
            <w:pPr>
              <w:pStyle w:val="18"/>
              <w:spacing w:line="400" w:lineRule="exact"/>
              <w:ind w:left="119" w:leftChars="0"/>
              <w:rPr>
                <w:rFonts w:hint="eastAsia" w:ascii="宋体" w:hAnsi="宋体" w:eastAsia="宋体" w:cs="宋体"/>
                <w:sz w:val="24"/>
                <w:szCs w:val="24"/>
                <w:highlight w:val="none"/>
              </w:rPr>
            </w:pPr>
          </w:p>
        </w:tc>
        <w:tc>
          <w:tcPr>
            <w:tcW w:w="637" w:type="dxa"/>
            <w:vMerge w:val="continue"/>
            <w:vAlign w:val="center"/>
          </w:tcPr>
          <w:p w14:paraId="240066A9">
            <w:pPr>
              <w:spacing w:line="240" w:lineRule="atLeast"/>
              <w:jc w:val="center"/>
              <w:rPr>
                <w:rFonts w:hint="eastAsia" w:ascii="宋体" w:hAnsi="宋体" w:eastAsia="宋体" w:cs="宋体"/>
                <w:b w:val="0"/>
                <w:bCs w:val="0"/>
                <w:color w:val="auto"/>
                <w:sz w:val="24"/>
                <w:szCs w:val="24"/>
                <w:highlight w:val="none"/>
              </w:rPr>
            </w:pPr>
          </w:p>
        </w:tc>
        <w:tc>
          <w:tcPr>
            <w:tcW w:w="696" w:type="dxa"/>
            <w:vMerge w:val="continue"/>
            <w:vAlign w:val="center"/>
          </w:tcPr>
          <w:p w14:paraId="4BBD7E6D">
            <w:pPr>
              <w:jc w:val="center"/>
              <w:rPr>
                <w:rFonts w:hint="eastAsia" w:ascii="宋体" w:hAnsi="宋体" w:eastAsia="宋体" w:cs="宋体"/>
                <w:sz w:val="24"/>
                <w:szCs w:val="24"/>
                <w:highlight w:val="none"/>
              </w:rPr>
            </w:pPr>
          </w:p>
        </w:tc>
        <w:tc>
          <w:tcPr>
            <w:tcW w:w="1855" w:type="dxa"/>
            <w:vAlign w:val="center"/>
          </w:tcPr>
          <w:p w14:paraId="607EA22D">
            <w:pPr>
              <w:pStyle w:val="18"/>
              <w:spacing w:line="240" w:lineRule="atLeast"/>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业绩</w:t>
            </w:r>
          </w:p>
        </w:tc>
        <w:tc>
          <w:tcPr>
            <w:tcW w:w="850" w:type="dxa"/>
            <w:gridSpan w:val="2"/>
            <w:vAlign w:val="center"/>
          </w:tcPr>
          <w:p w14:paraId="22390ED5">
            <w:pPr>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5</w:t>
            </w:r>
          </w:p>
        </w:tc>
        <w:tc>
          <w:tcPr>
            <w:tcW w:w="3991" w:type="dxa"/>
            <w:vAlign w:val="center"/>
          </w:tcPr>
          <w:p w14:paraId="50F53E46">
            <w:pPr>
              <w:pStyle w:val="18"/>
              <w:spacing w:line="240" w:lineRule="atLeast"/>
              <w:ind w:left="105" w:leftChars="50" w:right="105" w:rightChars="5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满足资格审查最低要求得3分；</w:t>
            </w:r>
          </w:p>
          <w:p w14:paraId="6A41CE58">
            <w:pPr>
              <w:pStyle w:val="18"/>
              <w:spacing w:line="240" w:lineRule="atLeast"/>
              <w:ind w:left="105" w:leftChars="50" w:right="105" w:rightChars="50"/>
              <w:jc w:val="both"/>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bidi="ar-SA"/>
              </w:rPr>
              <w:t>满足资格审查要求之外，2020年1月1日至投标截止时间（以交工验收时间为准），每增加1个新建或改扩建高速公路项目土建工程施工合同段业绩加1.5分，每增加1个高速公路养护工程项目土建施工合同段业绩加0.5分，最多加2分。</w:t>
            </w:r>
          </w:p>
        </w:tc>
      </w:tr>
      <w:tr w14:paraId="5F6F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937" w:type="dxa"/>
            <w:vMerge w:val="continue"/>
            <w:vAlign w:val="center"/>
          </w:tcPr>
          <w:p w14:paraId="286C3BAF">
            <w:pPr>
              <w:pStyle w:val="18"/>
              <w:spacing w:line="400" w:lineRule="exact"/>
              <w:ind w:left="119" w:leftChars="0"/>
              <w:rPr>
                <w:rFonts w:hint="eastAsia" w:ascii="宋体" w:hAnsi="宋体" w:eastAsia="宋体" w:cs="宋体"/>
                <w:sz w:val="24"/>
                <w:szCs w:val="24"/>
                <w:highlight w:val="none"/>
              </w:rPr>
            </w:pPr>
          </w:p>
        </w:tc>
        <w:tc>
          <w:tcPr>
            <w:tcW w:w="637" w:type="dxa"/>
            <w:vMerge w:val="continue"/>
            <w:vAlign w:val="center"/>
          </w:tcPr>
          <w:p w14:paraId="44B74B03">
            <w:pPr>
              <w:spacing w:line="240" w:lineRule="atLeast"/>
              <w:jc w:val="center"/>
              <w:rPr>
                <w:rFonts w:hint="eastAsia" w:ascii="宋体" w:hAnsi="宋体" w:eastAsia="宋体" w:cs="宋体"/>
                <w:b w:val="0"/>
                <w:bCs w:val="0"/>
                <w:color w:val="auto"/>
                <w:sz w:val="24"/>
                <w:szCs w:val="24"/>
                <w:highlight w:val="none"/>
              </w:rPr>
            </w:pPr>
          </w:p>
        </w:tc>
        <w:tc>
          <w:tcPr>
            <w:tcW w:w="696" w:type="dxa"/>
            <w:vMerge w:val="continue"/>
            <w:vAlign w:val="center"/>
          </w:tcPr>
          <w:p w14:paraId="1492280F">
            <w:pPr>
              <w:jc w:val="center"/>
              <w:rPr>
                <w:rFonts w:hint="eastAsia" w:ascii="宋体" w:hAnsi="宋体" w:eastAsia="宋体" w:cs="宋体"/>
                <w:sz w:val="24"/>
                <w:szCs w:val="24"/>
                <w:highlight w:val="none"/>
              </w:rPr>
            </w:pPr>
          </w:p>
        </w:tc>
        <w:tc>
          <w:tcPr>
            <w:tcW w:w="1855" w:type="dxa"/>
            <w:vAlign w:val="center"/>
          </w:tcPr>
          <w:p w14:paraId="25BB0653">
            <w:pPr>
              <w:spacing w:line="240" w:lineRule="atLeast"/>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信誉</w:t>
            </w:r>
          </w:p>
        </w:tc>
        <w:tc>
          <w:tcPr>
            <w:tcW w:w="850" w:type="dxa"/>
            <w:gridSpan w:val="2"/>
            <w:vAlign w:val="center"/>
          </w:tcPr>
          <w:p w14:paraId="51EE7403">
            <w:pPr>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 </w:t>
            </w:r>
          </w:p>
        </w:tc>
        <w:tc>
          <w:tcPr>
            <w:tcW w:w="3991" w:type="dxa"/>
            <w:vAlign w:val="center"/>
          </w:tcPr>
          <w:p w14:paraId="12672ECA">
            <w:pPr>
              <w:ind w:left="105" w:leftChars="50" w:right="105" w:rightChars="5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根据陕西省交通运输厅《关于陕西省2024年度公路建设市场从业企业信用评价结果应用的通知》文件规定：</w:t>
            </w:r>
          </w:p>
          <w:p w14:paraId="3F7336F6">
            <w:pPr>
              <w:ind w:left="105" w:leftChars="50" w:right="105" w:rightChars="5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1.按照公路施工企业的信用评价等级进行评分，信用评价等级为AA级的施工企业得3分；信用评价等级为A级的施工企业得1分；信用评价等级为B级、C级的施工企业得0分。</w:t>
            </w:r>
          </w:p>
          <w:p w14:paraId="239D9842">
            <w:pPr>
              <w:ind w:left="105" w:leftChars="50" w:right="105" w:rightChars="50"/>
              <w:jc w:val="both"/>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对具有陕西省交通运输厅2023年度信用评价等级而无2024年度信用评价等级的企业，其2023年度信用评价等级延续1年。延续陕西省交通运输厅上一年信用评价结果后仍无信用评价结果的，按照全国综合评价结果对待,但不得高于省厅原评价等级的上一级。</w:t>
            </w:r>
          </w:p>
          <w:p w14:paraId="19CAA3B4">
            <w:pPr>
              <w:ind w:left="105" w:leftChars="50" w:right="105" w:rightChars="50"/>
              <w:jc w:val="both"/>
              <w:rPr>
                <w:rFonts w:hint="eastAsia" w:ascii="宋体" w:hAnsi="宋体" w:eastAsia="宋体" w:cs="宋体"/>
                <w:sz w:val="24"/>
                <w:szCs w:val="24"/>
                <w:highlight w:val="none"/>
                <w:lang w:eastAsia="zh-CN"/>
              </w:rPr>
            </w:pPr>
            <w:r>
              <w:rPr>
                <w:rFonts w:hint="eastAsia" w:ascii="宋体" w:hAnsi="宋体" w:eastAsia="宋体" w:cs="宋体"/>
                <w:b w:val="0"/>
                <w:bCs w:val="0"/>
                <w:color w:val="auto"/>
                <w:sz w:val="24"/>
                <w:szCs w:val="24"/>
                <w:highlight w:val="none"/>
                <w:lang w:val="en-US"/>
              </w:rPr>
              <w:t>3.初次进入陕西省的从业企业，按照全国公路施工企业综合信用评价等级确定。无全国综合评价结果的企业，且无不良信用行为，其信用评价等级按A级对待。联合体投标的,信用评价等级以联合体牵头人信用评价等级为准</w:t>
            </w:r>
            <w:r>
              <w:rPr>
                <w:rFonts w:hint="eastAsia" w:ascii="宋体" w:hAnsi="宋体" w:cs="宋体"/>
                <w:b w:val="0"/>
                <w:bCs w:val="0"/>
                <w:color w:val="auto"/>
                <w:sz w:val="24"/>
                <w:szCs w:val="24"/>
                <w:highlight w:val="none"/>
                <w:lang w:val="en-US" w:eastAsia="zh-CN"/>
              </w:rPr>
              <w:t>。</w:t>
            </w:r>
          </w:p>
        </w:tc>
      </w:tr>
    </w:tbl>
    <w:p w14:paraId="74696401">
      <w:pPr>
        <w:pStyle w:val="17"/>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p>
    <w:p w14:paraId="70465229">
      <w:pPr>
        <w:pStyle w:val="17"/>
        <w:shd w:val="clear" w:color="auto" w:fill="auto"/>
        <w:tabs>
          <w:tab w:val="left" w:leader="underscore" w:pos="3528"/>
          <w:tab w:val="left" w:leader="underscore" w:pos="7357"/>
        </w:tabs>
        <w:spacing w:before="0" w:after="0" w:line="360" w:lineRule="auto"/>
        <w:ind w:firstLine="480" w:firstLineChars="200"/>
        <w:jc w:val="both"/>
        <w:rPr>
          <w:rFonts w:hint="eastAsia" w:ascii="宋体" w:hAnsi="宋体" w:eastAsia="宋体"/>
          <w:kern w:val="0"/>
          <w:sz w:val="24"/>
          <w:szCs w:val="24"/>
        </w:rPr>
      </w:pPr>
      <w:r>
        <w:rPr>
          <w:rFonts w:hint="eastAsia" w:ascii="宋体" w:hAnsi="宋体" w:eastAsia="宋体"/>
          <w:kern w:val="0"/>
          <w:sz w:val="24"/>
          <w:szCs w:val="24"/>
        </w:rPr>
        <w:t>评标办法正文详见中华人民共和国交通运输部《公路工程标准施工招标文件（2018年版·第一册）》相应内容。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DC71B"/>
    <w:multiLevelType w:val="singleLevel"/>
    <w:tmpl w:val="44EDC7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xMTdhNDcwNmE1ZjAyNzZhNzY5MjhkNjU5MGYzZDAifQ=="/>
  </w:docVars>
  <w:rsids>
    <w:rsidRoot w:val="001A2815"/>
    <w:rsid w:val="000D6F75"/>
    <w:rsid w:val="00103056"/>
    <w:rsid w:val="001A2815"/>
    <w:rsid w:val="001C5CF4"/>
    <w:rsid w:val="00226164"/>
    <w:rsid w:val="0029689A"/>
    <w:rsid w:val="0032466E"/>
    <w:rsid w:val="004C42B6"/>
    <w:rsid w:val="00500606"/>
    <w:rsid w:val="0051577F"/>
    <w:rsid w:val="005C5079"/>
    <w:rsid w:val="007B028F"/>
    <w:rsid w:val="00851856"/>
    <w:rsid w:val="008D314B"/>
    <w:rsid w:val="00933BB3"/>
    <w:rsid w:val="00A24E34"/>
    <w:rsid w:val="00F419A9"/>
    <w:rsid w:val="01957410"/>
    <w:rsid w:val="01BB4A92"/>
    <w:rsid w:val="022B7332"/>
    <w:rsid w:val="02591BB5"/>
    <w:rsid w:val="028D3F78"/>
    <w:rsid w:val="06C84AF2"/>
    <w:rsid w:val="07A36413"/>
    <w:rsid w:val="09483E0B"/>
    <w:rsid w:val="0BB363C0"/>
    <w:rsid w:val="0EFE2F29"/>
    <w:rsid w:val="11A46C3B"/>
    <w:rsid w:val="12F02D63"/>
    <w:rsid w:val="144E2637"/>
    <w:rsid w:val="15123B9A"/>
    <w:rsid w:val="18267D07"/>
    <w:rsid w:val="1DE47D7F"/>
    <w:rsid w:val="1FC97167"/>
    <w:rsid w:val="20397E92"/>
    <w:rsid w:val="209B5DD3"/>
    <w:rsid w:val="23075673"/>
    <w:rsid w:val="24F35F3C"/>
    <w:rsid w:val="2B3312C8"/>
    <w:rsid w:val="2DFF57B9"/>
    <w:rsid w:val="31B446C5"/>
    <w:rsid w:val="32BC4336"/>
    <w:rsid w:val="33466D48"/>
    <w:rsid w:val="33B03F3F"/>
    <w:rsid w:val="38B62526"/>
    <w:rsid w:val="397909D4"/>
    <w:rsid w:val="39B10FB5"/>
    <w:rsid w:val="39F747A2"/>
    <w:rsid w:val="3A4B6C9E"/>
    <w:rsid w:val="3C73605C"/>
    <w:rsid w:val="3CCD3A30"/>
    <w:rsid w:val="40F9559D"/>
    <w:rsid w:val="442F209C"/>
    <w:rsid w:val="479B4231"/>
    <w:rsid w:val="4A61008F"/>
    <w:rsid w:val="4B2A31AB"/>
    <w:rsid w:val="4DF3558D"/>
    <w:rsid w:val="4EB01994"/>
    <w:rsid w:val="4F7412C2"/>
    <w:rsid w:val="4FA3639D"/>
    <w:rsid w:val="50587FB2"/>
    <w:rsid w:val="50A54EC3"/>
    <w:rsid w:val="50DC7FD0"/>
    <w:rsid w:val="51460C6B"/>
    <w:rsid w:val="52873D72"/>
    <w:rsid w:val="55E16F26"/>
    <w:rsid w:val="58127A09"/>
    <w:rsid w:val="59B93E25"/>
    <w:rsid w:val="5B6548CF"/>
    <w:rsid w:val="5D3F0916"/>
    <w:rsid w:val="5EAC7460"/>
    <w:rsid w:val="640E424B"/>
    <w:rsid w:val="645F3209"/>
    <w:rsid w:val="653A3414"/>
    <w:rsid w:val="654F05D5"/>
    <w:rsid w:val="69442659"/>
    <w:rsid w:val="6A147A78"/>
    <w:rsid w:val="6C915C0E"/>
    <w:rsid w:val="700256D7"/>
    <w:rsid w:val="73E34932"/>
    <w:rsid w:val="75062CA1"/>
    <w:rsid w:val="75AB4533"/>
    <w:rsid w:val="77246BBA"/>
    <w:rsid w:val="781D61B9"/>
    <w:rsid w:val="78AB16AF"/>
    <w:rsid w:val="7B65786C"/>
    <w:rsid w:val="7D8F372A"/>
    <w:rsid w:val="7FB06EB7"/>
    <w:rsid w:val="7FF24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0"/>
    <w:pPr>
      <w:keepNext/>
      <w:keepLines/>
      <w:spacing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rPr>
      <w:rFonts w:ascii="Arial" w:hAnsi="Arial" w:eastAsia="黑体"/>
      <w:sz w:val="20"/>
    </w:rPr>
  </w:style>
  <w:style w:type="paragraph" w:styleId="4">
    <w:name w:val="toa heading"/>
    <w:basedOn w:val="1"/>
    <w:next w:val="1"/>
    <w:unhideWhenUsed/>
    <w:qFormat/>
    <w:uiPriority w:val="99"/>
    <w:rPr>
      <w:rFonts w:ascii="Arial" w:hAnsi="Arial"/>
      <w:sz w:val="24"/>
    </w:rPr>
  </w:style>
  <w:style w:type="paragraph" w:styleId="5">
    <w:name w:val="Body Text"/>
    <w:basedOn w:val="1"/>
    <w:next w:val="1"/>
    <w:qFormat/>
    <w:uiPriority w:val="0"/>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99"/>
    <w:rPr>
      <w:sz w:val="21"/>
      <w:szCs w:val="21"/>
    </w:rPr>
  </w:style>
  <w:style w:type="character" w:customStyle="1" w:styleId="12">
    <w:name w:val="页眉 字符"/>
    <w:basedOn w:val="10"/>
    <w:link w:val="7"/>
    <w:qFormat/>
    <w:uiPriority w:val="0"/>
    <w:rPr>
      <w:rFonts w:ascii="Calibri" w:hAnsi="Calibri" w:eastAsia="宋体" w:cs="Times New Roman"/>
      <w:kern w:val="2"/>
      <w:sz w:val="18"/>
      <w:szCs w:val="18"/>
    </w:rPr>
  </w:style>
  <w:style w:type="character" w:customStyle="1" w:styleId="13">
    <w:name w:val="页脚 字符"/>
    <w:basedOn w:val="10"/>
    <w:link w:val="6"/>
    <w:qFormat/>
    <w:uiPriority w:val="0"/>
    <w:rPr>
      <w:rFonts w:ascii="Calibri" w:hAnsi="Calibri" w:eastAsia="宋体" w:cs="Times New Roman"/>
      <w:kern w:val="2"/>
      <w:sz w:val="18"/>
      <w:szCs w:val="18"/>
    </w:rPr>
  </w:style>
  <w:style w:type="character" w:customStyle="1" w:styleId="14">
    <w:name w:val="标题 3 字符"/>
    <w:basedOn w:val="10"/>
    <w:link w:val="2"/>
    <w:qFormat/>
    <w:uiPriority w:val="0"/>
    <w:rPr>
      <w:rFonts w:ascii="Calibri" w:hAnsi="Calibri" w:eastAsia="宋体" w:cs="Times New Roman"/>
      <w:b/>
      <w:bCs/>
      <w:kern w:val="2"/>
      <w:sz w:val="32"/>
      <w:szCs w:val="32"/>
    </w:rPr>
  </w:style>
  <w:style w:type="paragraph" w:customStyle="1" w:styleId="15">
    <w:name w:val="Table Text"/>
    <w:basedOn w:val="1"/>
    <w:semiHidden/>
    <w:qFormat/>
    <w:uiPriority w:val="0"/>
    <w:rPr>
      <w:rFonts w:ascii="仿宋" w:hAnsi="仿宋" w:eastAsia="仿宋" w:cs="仿宋"/>
      <w:sz w:val="20"/>
      <w:szCs w:val="20"/>
      <w:lang w:eastAsia="en-US"/>
    </w:rPr>
  </w:style>
  <w:style w:type="table" w:customStyle="1" w:styleId="16">
    <w:name w:val="Table Normal"/>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7">
    <w:name w:val="正文文本5"/>
    <w:basedOn w:val="1"/>
    <w:autoRedefine/>
    <w:qFormat/>
    <w:uiPriority w:val="0"/>
    <w:pPr>
      <w:shd w:val="clear" w:color="auto" w:fill="FFFFFF"/>
      <w:spacing w:before="120" w:after="240" w:line="0" w:lineRule="atLeast"/>
      <w:jc w:val="center"/>
    </w:pPr>
    <w:rPr>
      <w:rFonts w:ascii="黑体" w:hAnsi="黑体" w:eastAsia="黑体" w:cs="黑体"/>
      <w:szCs w:val="22"/>
    </w:rPr>
  </w:style>
  <w:style w:type="paragraph" w:customStyle="1" w:styleId="18">
    <w:name w:val="Table Paragraph"/>
    <w:basedOn w:val="1"/>
    <w:qFormat/>
    <w:uiPriority w:val="0"/>
    <w:pPr>
      <w:jc w:val="left"/>
    </w:pPr>
    <w:rPr>
      <w:kern w:val="0"/>
      <w:sz w:val="22"/>
      <w:szCs w:val="22"/>
      <w:lang w:eastAsia="en-US"/>
    </w:rPr>
  </w:style>
  <w:style w:type="paragraph" w:customStyle="1" w:styleId="19">
    <w:name w:val="正文文本11"/>
    <w:basedOn w:val="1"/>
    <w:link w:val="21"/>
    <w:autoRedefine/>
    <w:qFormat/>
    <w:uiPriority w:val="0"/>
    <w:pPr>
      <w:shd w:val="clear" w:color="auto" w:fill="FFFFFF"/>
      <w:spacing w:before="120" w:after="300" w:line="0" w:lineRule="atLeast"/>
      <w:jc w:val="center"/>
    </w:pPr>
    <w:rPr>
      <w:rFonts w:ascii="宋体" w:hAnsi="宋体" w:eastAsia="宋体" w:cs="宋体"/>
      <w:sz w:val="23"/>
      <w:szCs w:val="23"/>
    </w:rPr>
  </w:style>
  <w:style w:type="character" w:customStyle="1" w:styleId="20">
    <w:name w:val="正文文本 + 12.5 pt"/>
    <w:basedOn w:val="21"/>
    <w:autoRedefine/>
    <w:qFormat/>
    <w:uiPriority w:val="0"/>
    <w:rPr>
      <w:rFonts w:ascii="宋体" w:hAnsi="宋体" w:eastAsia="宋体" w:cs="宋体"/>
      <w:i/>
      <w:iCs/>
      <w:color w:val="000000"/>
      <w:spacing w:val="-20"/>
      <w:w w:val="100"/>
      <w:position w:val="0"/>
      <w:sz w:val="25"/>
      <w:szCs w:val="25"/>
      <w:shd w:val="clear" w:color="auto" w:fill="FFFFFF"/>
    </w:rPr>
  </w:style>
  <w:style w:type="character" w:customStyle="1" w:styleId="21">
    <w:name w:val="正文文本_"/>
    <w:basedOn w:val="10"/>
    <w:link w:val="19"/>
    <w:autoRedefine/>
    <w:qFormat/>
    <w:uiPriority w:val="0"/>
    <w:rPr>
      <w:rFonts w:ascii="宋体" w:hAnsi="宋体" w:eastAsia="宋体" w:cs="宋体"/>
      <w:sz w:val="23"/>
      <w:szCs w:val="23"/>
    </w:rPr>
  </w:style>
  <w:style w:type="character" w:customStyle="1" w:styleId="22">
    <w:name w:val="正文文本 + MS Gothic"/>
    <w:basedOn w:val="21"/>
    <w:autoRedefine/>
    <w:qFormat/>
    <w:uiPriority w:val="0"/>
    <w:rPr>
      <w:rFonts w:ascii="MS Gothic" w:hAnsi="MS Gothic" w:eastAsia="MS Gothic" w:cs="MS Gothic"/>
      <w:color w:val="000000"/>
      <w:spacing w:val="0"/>
      <w:w w:val="100"/>
      <w:position w:val="0"/>
      <w:sz w:val="15"/>
      <w:szCs w:val="15"/>
      <w:shd w:val="clear" w:color="auto" w:fill="FFFFFF"/>
      <w:lang w:val="en-US"/>
    </w:rPr>
  </w:style>
  <w:style w:type="paragraph" w:customStyle="1" w:styleId="23">
    <w:name w:val="List Paragraph"/>
    <w:basedOn w:val="1"/>
    <w:qFormat/>
    <w:uiPriority w:val="99"/>
    <w:pPr>
      <w:ind w:left="223" w:firstLine="480"/>
    </w:pPr>
  </w:style>
  <w:style w:type="character" w:customStyle="1" w:styleId="24">
    <w:name w:val="正文文本 + 10 pt2"/>
    <w:qFormat/>
    <w:uiPriority w:val="0"/>
    <w:rPr>
      <w:rFonts w:ascii="黑体" w:hAnsi="黑体" w:cs="黑体"/>
      <w:color w:val="000000"/>
      <w:kern w:val="1"/>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7696</Words>
  <Characters>8045</Characters>
  <Lines>61</Lines>
  <Paragraphs>17</Paragraphs>
  <TotalTime>14</TotalTime>
  <ScaleCrop>false</ScaleCrop>
  <LinksUpToDate>false</LinksUpToDate>
  <CharactersWithSpaces>8084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2024-07-18T09:31:00Z</dcterms:created>
  <dc:creator>admin</dc:creator>
  <cp:lastModifiedBy>又是快雪时晴</cp:lastModifiedBy>
  <cp:lastPrinted>2024-11-07T01:57:00Z</cp:lastPrinted>
  <dcterms:modified xsi:type="dcterms:W3CDTF">2025-11-12T12:06:19Z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4F37FF6758CB4F3F9D72BF7205E9D46D_13</vt:lpwstr>
  </property>
  <property fmtid="{D5CDD505-2E9C-101B-9397-08002B2CF9AE}" pid="4" name="KSOTemplateDocerSaveRecord">
    <vt:lpwstr>eyJoZGlkIjoiNjlkNGFlYTM5NDE2YmJkODliM2QxYmY3MDViZTk2OTciLCJ1c2VySWQiOiIyNjc1NjI5ODkifQ==</vt:lpwstr>
  </property>
</Properties>
</file>