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3EB62">
      <w:pPr>
        <w:spacing w:before="91" w:line="219" w:lineRule="auto"/>
        <w:ind w:left="123"/>
        <w:rPr>
          <w:rFonts w:hint="default"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t>附件1</w:t>
      </w:r>
      <w:bookmarkStart w:id="2" w:name="_GoBack"/>
      <w:bookmarkEnd w:id="2"/>
    </w:p>
    <w:p w14:paraId="33FA785B">
      <w:pPr>
        <w:pStyle w:val="11"/>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center"/>
        <w:textAlignment w:val="auto"/>
        <w:rPr>
          <w:rFonts w:hint="eastAsia" w:ascii="宋体" w:hAnsi="宋体" w:eastAsia="宋体" w:cs="宋体"/>
          <w:b/>
          <w:bCs/>
          <w:kern w:val="2"/>
          <w:sz w:val="32"/>
          <w:szCs w:val="32"/>
          <w:highlight w:val="none"/>
          <w:lang w:val="zh-CN" w:eastAsia="zh-CN" w:bidi="ar-SA"/>
        </w:rPr>
      </w:pPr>
      <w:r>
        <w:rPr>
          <w:rFonts w:hint="eastAsia" w:ascii="宋体" w:hAnsi="宋体" w:eastAsia="宋体" w:cs="宋体"/>
          <w:b/>
          <w:bCs/>
          <w:kern w:val="2"/>
          <w:sz w:val="32"/>
          <w:szCs w:val="32"/>
          <w:highlight w:val="none"/>
          <w:lang w:val="zh-CN" w:eastAsia="zh-CN" w:bidi="ar-SA"/>
        </w:rPr>
        <w:t>G70福银线（西安至陕鄂界段）安全韧性提升工程</w:t>
      </w:r>
    </w:p>
    <w:p w14:paraId="41EF11CC">
      <w:pPr>
        <w:pStyle w:val="11"/>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center"/>
        <w:textAlignment w:val="auto"/>
        <w:rPr>
          <w:rFonts w:hint="default"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zh-CN" w:eastAsia="zh-CN" w:bidi="ar-SA"/>
        </w:rPr>
        <w:t>两阶段勘察设计和设计咨询</w:t>
      </w:r>
      <w:r>
        <w:rPr>
          <w:rFonts w:hint="eastAsia" w:ascii="宋体" w:hAnsi="宋体" w:eastAsia="宋体" w:cs="宋体"/>
          <w:b/>
          <w:bCs/>
          <w:kern w:val="2"/>
          <w:sz w:val="32"/>
          <w:szCs w:val="32"/>
          <w:highlight w:val="none"/>
          <w:lang w:val="en-US" w:eastAsia="zh-CN" w:bidi="ar-SA"/>
        </w:rPr>
        <w:t>招标关键内容公示</w:t>
      </w:r>
    </w:p>
    <w:p w14:paraId="777653F8">
      <w:pPr>
        <w:pStyle w:val="11"/>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eastAsia" w:ascii="宋体" w:hAnsi="宋体" w:eastAsia="宋体"/>
          <w:b/>
          <w:kern w:val="0"/>
          <w:sz w:val="28"/>
          <w:szCs w:val="28"/>
          <w:lang w:val="en-US" w:eastAsia="zh-CN"/>
        </w:rPr>
      </w:pPr>
      <w:r>
        <w:rPr>
          <w:rFonts w:hint="eastAsia" w:ascii="仿宋" w:hAnsi="仿宋" w:eastAsia="仿宋" w:cs="仿宋"/>
          <w:b/>
          <w:kern w:val="0"/>
          <w:sz w:val="32"/>
          <w:szCs w:val="32"/>
          <w:lang w:val="en-US" w:eastAsia="zh-CN"/>
        </w:rPr>
        <w:t xml:space="preserve">1.项目概况与招标范围   </w:t>
      </w:r>
      <w:r>
        <w:rPr>
          <w:rFonts w:hint="eastAsia" w:ascii="宋体" w:hAnsi="宋体" w:eastAsia="宋体"/>
          <w:b/>
          <w:kern w:val="0"/>
          <w:sz w:val="28"/>
          <w:szCs w:val="28"/>
          <w:lang w:val="en-US" w:eastAsia="zh-CN"/>
        </w:rPr>
        <w:t xml:space="preserve">  </w:t>
      </w:r>
    </w:p>
    <w:p w14:paraId="3FF370AA">
      <w:pPr>
        <w:pStyle w:val="11"/>
        <w:keepNext w:val="0"/>
        <w:keepLines w:val="0"/>
        <w:pageBreakBefore w:val="0"/>
        <w:widowControl w:val="0"/>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540" w:lineRule="exact"/>
        <w:ind w:left="62" w:firstLine="560" w:firstLineChars="200"/>
        <w:jc w:val="both"/>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1.1项目概况</w:t>
      </w:r>
    </w:p>
    <w:p w14:paraId="7B3955CF">
      <w:pPr>
        <w:pStyle w:val="11"/>
        <w:keepNext w:val="0"/>
        <w:keepLines w:val="0"/>
        <w:pageBreakBefore w:val="0"/>
        <w:widowControl w:val="0"/>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540" w:lineRule="exact"/>
        <w:ind w:left="62" w:firstLine="560" w:firstLineChars="200"/>
        <w:jc w:val="both"/>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福银高速公路西安至陕鄂界段全长 157.84 公里，项目起于 蓝田县席家河，止于山阳县漫川关镇。全线分两个段落实施：蓝 田至商州段长度 63.576 公里，于 2008 年 1 月份通车；商州至漫 川关段长度 94.264 公里，于 2009 年 1 月份通车。 本次招标主要内容是依据批复的安全韧性工程工可报告，综 合考虑安全韧性提升需求、经济性、适用性等，按照交通运输部 《公路安全韧性提升技术指南》、《公路工程基本建设项目设计文 件编制办法》(交公路发(2007)358 号)要求，完成安全韧性提升 工程初步设计和施工图设计两阶段勘察设计工作和“双院制”勘 察设计咨询工作。本项目安全韧性提升工程工可批复总估算费用 为 25.18 亿元，批复建安费为 20.67 亿元。</w:t>
      </w:r>
    </w:p>
    <w:p w14:paraId="6BD36989">
      <w:pPr>
        <w:pStyle w:val="11"/>
        <w:keepNext w:val="0"/>
        <w:keepLines w:val="0"/>
        <w:pageBreakBefore w:val="0"/>
        <w:widowControl w:val="0"/>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540" w:lineRule="exact"/>
        <w:ind w:left="62" w:firstLine="560" w:firstLineChars="200"/>
        <w:jc w:val="both"/>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1.2招标范围及标段划分</w:t>
      </w:r>
    </w:p>
    <w:p w14:paraId="31B3C80E">
      <w:pPr>
        <w:pStyle w:val="11"/>
        <w:keepNext w:val="0"/>
        <w:keepLines w:val="0"/>
        <w:pageBreakBefore w:val="0"/>
        <w:widowControl w:val="0"/>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540" w:lineRule="exact"/>
        <w:ind w:left="62" w:firstLine="560" w:firstLineChars="200"/>
        <w:jc w:val="both"/>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1.2.1本次招标范围为本项目两阶段勘察设计和“双院制”勘察设计咨询，共划分为 2 个标段，设置 1 个勘察设计标段、1 个设计咨询标段，按标段进行招标：</w:t>
      </w:r>
    </w:p>
    <w:p w14:paraId="64D23BA5">
      <w:pP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br w:type="page"/>
      </w:r>
    </w:p>
    <w:tbl>
      <w:tblPr>
        <w:tblStyle w:val="9"/>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0"/>
        <w:gridCol w:w="5191"/>
        <w:gridCol w:w="1043"/>
      </w:tblGrid>
      <w:tr w14:paraId="7C5BE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880" w:type="dxa"/>
            <w:noWrap w:val="0"/>
            <w:vAlign w:val="center"/>
          </w:tcPr>
          <w:p w14:paraId="766AC3E4">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bookmarkStart w:id="0" w:name="bookmark4"/>
            <w:bookmarkEnd w:id="0"/>
            <w:bookmarkStart w:id="1" w:name="bookmark126"/>
            <w:r>
              <w:rPr>
                <w:rFonts w:hint="eastAsia" w:ascii="仿宋" w:hAnsi="仿宋" w:eastAsia="仿宋" w:cs="仿宋"/>
                <w:color w:val="000000"/>
                <w:spacing w:val="5"/>
                <w:kern w:val="2"/>
                <w:sz w:val="21"/>
                <w:szCs w:val="21"/>
                <w:highlight w:val="none"/>
                <w:vertAlign w:val="baseline"/>
                <w:lang w:val="en-US" w:eastAsia="zh-CN" w:bidi="zh-CN"/>
              </w:rPr>
              <w:t>标段</w:t>
            </w:r>
          </w:p>
        </w:tc>
        <w:tc>
          <w:tcPr>
            <w:tcW w:w="1590" w:type="dxa"/>
            <w:noWrap w:val="0"/>
            <w:vAlign w:val="center"/>
          </w:tcPr>
          <w:p w14:paraId="148E7119">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default"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桩号范围</w:t>
            </w:r>
          </w:p>
        </w:tc>
        <w:tc>
          <w:tcPr>
            <w:tcW w:w="5191" w:type="dxa"/>
            <w:noWrap w:val="0"/>
            <w:vAlign w:val="center"/>
          </w:tcPr>
          <w:p w14:paraId="5E058717">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服务内容</w:t>
            </w:r>
          </w:p>
        </w:tc>
        <w:tc>
          <w:tcPr>
            <w:tcW w:w="1043" w:type="dxa"/>
            <w:noWrap w:val="0"/>
            <w:vAlign w:val="center"/>
          </w:tcPr>
          <w:p w14:paraId="6377965E">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计划服务期</w:t>
            </w:r>
          </w:p>
        </w:tc>
      </w:tr>
      <w:tr w14:paraId="1360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880" w:type="dxa"/>
            <w:noWrap w:val="0"/>
            <w:vAlign w:val="center"/>
          </w:tcPr>
          <w:p w14:paraId="31997EF2">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FY-SJ1</w:t>
            </w:r>
          </w:p>
        </w:tc>
        <w:tc>
          <w:tcPr>
            <w:tcW w:w="1590" w:type="dxa"/>
            <w:vMerge w:val="restart"/>
            <w:noWrap w:val="0"/>
            <w:vAlign w:val="center"/>
          </w:tcPr>
          <w:p w14:paraId="7FFACCA9">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蓝田县席家河至 商州区林岔河段 （K1632+285～ K1581+207）、商州 区林岔河经麻池 河立交至商州枢 纽立交段 （K1581+207～ K1568+264）、商州 区麻池河立交至 山阳县陈家湾村 （K1568+264～ K1518+027）、山阳 县陈家湾村至山 阳县漫川关镇段 （K1518+027～ K1474+000）</w:t>
            </w:r>
          </w:p>
        </w:tc>
        <w:tc>
          <w:tcPr>
            <w:tcW w:w="5191" w:type="dxa"/>
            <w:noWrap w:val="0"/>
            <w:vAlign w:val="center"/>
          </w:tcPr>
          <w:p w14:paraId="51C3994A">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1.负责 G70 福银高速（西安至陕鄂界段）安全韧性提升工 程勘察设计总体设计及编制本项目建设方案。</w:t>
            </w:r>
          </w:p>
          <w:p w14:paraId="70F97779">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 xml:space="preserve">2.负责 G70 福银高速（西安至陕鄂界段）的安全韧性提升 工程（含路线、路基、路面、桥涵、防护、排水、隧道、 路线交叉、交通工程及沿线设施等）初步设计及概算和施 工图设计及预算以及必须的勘察、检测、监测(如有)。 </w:t>
            </w:r>
          </w:p>
          <w:p w14:paraId="30BF0814">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 xml:space="preserve">3.招标配合（包括但不限于完成招标用图纸、技术规范、 计量规则、工程量清单及工程量清单预算的编制工作等） 及后续服务工作。 </w:t>
            </w:r>
          </w:p>
          <w:p w14:paraId="2FEF575C">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4.与铁路、水利、航道、公路、管道、电力等交叉或并行干扰 所涉及到的所有专项设计（含需外委专项设计、产权人要求发 包人承担的专项设计），弃土场的稳定性评估（如有）。</w:t>
            </w:r>
          </w:p>
        </w:tc>
        <w:tc>
          <w:tcPr>
            <w:tcW w:w="1043" w:type="dxa"/>
            <w:noWrap w:val="0"/>
            <w:vAlign w:val="center"/>
          </w:tcPr>
          <w:p w14:paraId="73B79AA7">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勘察设计周期按行业有关规定执行</w:t>
            </w:r>
          </w:p>
          <w:p w14:paraId="20375152">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p>
        </w:tc>
      </w:tr>
      <w:tr w14:paraId="37461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880" w:type="dxa"/>
            <w:noWrap w:val="0"/>
            <w:vAlign w:val="center"/>
          </w:tcPr>
          <w:p w14:paraId="05EF3175">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FY-ZX1</w:t>
            </w:r>
          </w:p>
        </w:tc>
        <w:tc>
          <w:tcPr>
            <w:tcW w:w="1590" w:type="dxa"/>
            <w:vMerge w:val="continue"/>
            <w:noWrap w:val="0"/>
            <w:vAlign w:val="center"/>
          </w:tcPr>
          <w:p w14:paraId="07159826">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p>
        </w:tc>
        <w:tc>
          <w:tcPr>
            <w:tcW w:w="5191" w:type="dxa"/>
            <w:noWrap w:val="0"/>
            <w:vAlign w:val="center"/>
          </w:tcPr>
          <w:p w14:paraId="72ABDCED">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1.G70 福银高速（西安至陕鄂界段）安全韧性提升工程勘察 设计总体设计咨询及本项目建设方案咨询。</w:t>
            </w:r>
          </w:p>
          <w:p w14:paraId="537989C1">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 xml:space="preserve">2.G70 福银线（西安至陕鄂界段）安全韧性提升工程（含 路线、路基、路面、桥涵、防护、排水、隧道、路线交叉、 交通工程及沿线设施等）初步设计及概算和施工图设计及 预算以及必须的勘察、监测(如有)等内容的设计咨询和地 勘监理。 </w:t>
            </w:r>
          </w:p>
          <w:p w14:paraId="5E76756F">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3.工程量复核及概、预算复核；变更设计咨询。</w:t>
            </w:r>
          </w:p>
          <w:p w14:paraId="5C43CA3A">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eastAsia" w:ascii="仿宋" w:hAnsi="仿宋" w:eastAsia="仿宋" w:cs="仿宋"/>
                <w:color w:val="000000"/>
                <w:spacing w:val="5"/>
                <w:kern w:val="2"/>
                <w:sz w:val="21"/>
                <w:szCs w:val="21"/>
                <w:highlight w:val="none"/>
                <w:vertAlign w:val="baseline"/>
                <w:lang w:val="en-US" w:eastAsia="zh-CN" w:bidi="zh-CN"/>
              </w:rPr>
            </w:pPr>
            <w:r>
              <w:rPr>
                <w:rFonts w:hint="eastAsia" w:ascii="仿宋" w:hAnsi="仿宋" w:eastAsia="仿宋" w:cs="仿宋"/>
                <w:color w:val="000000"/>
                <w:spacing w:val="5"/>
                <w:kern w:val="2"/>
                <w:sz w:val="21"/>
                <w:szCs w:val="21"/>
                <w:highlight w:val="none"/>
                <w:vertAlign w:val="baseline"/>
                <w:lang w:val="en-US" w:eastAsia="zh-CN" w:bidi="zh-CN"/>
              </w:rPr>
              <w:t>4.后续服务工作。</w:t>
            </w:r>
          </w:p>
        </w:tc>
        <w:tc>
          <w:tcPr>
            <w:tcW w:w="1043" w:type="dxa"/>
            <w:noWrap w:val="0"/>
            <w:vAlign w:val="center"/>
          </w:tcPr>
          <w:p w14:paraId="4BA44EDA">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default" w:ascii="仿宋" w:hAnsi="仿宋" w:eastAsia="仿宋" w:cs="仿宋"/>
                <w:color w:val="000000"/>
                <w:spacing w:val="5"/>
                <w:kern w:val="2"/>
                <w:sz w:val="21"/>
                <w:szCs w:val="21"/>
                <w:highlight w:val="none"/>
                <w:vertAlign w:val="baseline"/>
                <w:lang w:val="en-US" w:eastAsia="zh-CN" w:bidi="zh-CN"/>
              </w:rPr>
            </w:pPr>
            <w:r>
              <w:rPr>
                <w:rFonts w:hint="default" w:ascii="仿宋" w:hAnsi="仿宋" w:eastAsia="仿宋" w:cs="仿宋"/>
                <w:color w:val="000000"/>
                <w:spacing w:val="5"/>
                <w:kern w:val="2"/>
                <w:sz w:val="21"/>
                <w:szCs w:val="21"/>
                <w:highlight w:val="none"/>
                <w:vertAlign w:val="baseline"/>
                <w:lang w:val="en-US" w:eastAsia="zh-CN" w:bidi="zh-CN"/>
              </w:rPr>
              <w:t>同步各设计阶段提交</w:t>
            </w:r>
          </w:p>
          <w:p w14:paraId="2B11843C">
            <w:pPr>
              <w:pStyle w:val="5"/>
              <w:keepNext w:val="0"/>
              <w:keepLines w:val="0"/>
              <w:pageBreakBefore w:val="0"/>
              <w:widowControl/>
              <w:kinsoku w:val="0"/>
              <w:wordWrap/>
              <w:overflowPunct/>
              <w:topLinePunct w:val="0"/>
              <w:autoSpaceDE w:val="0"/>
              <w:autoSpaceDN w:val="0"/>
              <w:bidi w:val="0"/>
              <w:adjustRightInd w:val="0"/>
              <w:snapToGrid w:val="0"/>
              <w:spacing w:line="280" w:lineRule="exact"/>
              <w:ind w:right="0" w:rightChars="0"/>
              <w:jc w:val="center"/>
              <w:textAlignment w:val="baseline"/>
              <w:rPr>
                <w:rFonts w:hint="default" w:ascii="仿宋" w:hAnsi="仿宋" w:eastAsia="仿宋" w:cs="仿宋"/>
                <w:color w:val="000000"/>
                <w:spacing w:val="5"/>
                <w:kern w:val="2"/>
                <w:sz w:val="21"/>
                <w:szCs w:val="21"/>
                <w:highlight w:val="none"/>
                <w:vertAlign w:val="baseline"/>
                <w:lang w:val="en-US" w:eastAsia="zh-CN" w:bidi="zh-CN"/>
              </w:rPr>
            </w:pPr>
          </w:p>
        </w:tc>
      </w:tr>
    </w:tbl>
    <w:p w14:paraId="1238853F">
      <w:pPr>
        <w:pStyle w:val="11"/>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2.投标人资格要求</w:t>
      </w:r>
    </w:p>
    <w:p w14:paraId="5F142BBB">
      <w:pPr>
        <w:pStyle w:val="11"/>
        <w:keepNext w:val="0"/>
        <w:keepLines w:val="0"/>
        <w:pageBreakBefore w:val="0"/>
        <w:widowControl w:val="0"/>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460" w:lineRule="exact"/>
        <w:ind w:left="62" w:firstLine="442"/>
        <w:jc w:val="both"/>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2.1本次招标要求投标人须具备独立法人资格，且资质、业绩达到以下最低要求，并在人员等方面具有相应的勘察设计能力。</w:t>
      </w:r>
    </w:p>
    <w:p w14:paraId="6D0000B5">
      <w:pPr>
        <w:pStyle w:val="11"/>
        <w:keepNext w:val="0"/>
        <w:keepLines w:val="0"/>
        <w:pageBreakBefore w:val="0"/>
        <w:widowControl w:val="0"/>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460" w:lineRule="exact"/>
        <w:ind w:left="62" w:firstLine="442"/>
        <w:jc w:val="both"/>
        <w:textAlignment w:val="auto"/>
        <w:rPr>
          <w:rFonts w:hint="eastAsia"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（1）资质最低要求</w:t>
      </w:r>
    </w:p>
    <w:tbl>
      <w:tblPr>
        <w:tblStyle w:val="8"/>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6880"/>
      </w:tblGrid>
      <w:tr w14:paraId="3A35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479" w:type="dxa"/>
            <w:tcBorders>
              <w:top w:val="single" w:color="auto" w:sz="4" w:space="0"/>
              <w:left w:val="single" w:color="auto" w:sz="4" w:space="0"/>
              <w:bottom w:val="single" w:color="auto" w:sz="4" w:space="0"/>
              <w:right w:val="single" w:color="auto" w:sz="4" w:space="0"/>
            </w:tcBorders>
            <w:vAlign w:val="center"/>
          </w:tcPr>
          <w:p w14:paraId="483992A3">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标   段</w:t>
            </w:r>
          </w:p>
        </w:tc>
        <w:tc>
          <w:tcPr>
            <w:tcW w:w="6880" w:type="dxa"/>
            <w:tcBorders>
              <w:top w:val="single" w:color="auto" w:sz="4" w:space="0"/>
              <w:left w:val="single" w:color="auto" w:sz="4" w:space="0"/>
              <w:bottom w:val="single" w:color="auto" w:sz="4" w:space="0"/>
              <w:right w:val="single" w:color="auto" w:sz="4" w:space="0"/>
            </w:tcBorders>
            <w:vAlign w:val="center"/>
          </w:tcPr>
          <w:p w14:paraId="2D3786D2">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资 质 要 求</w:t>
            </w:r>
          </w:p>
        </w:tc>
      </w:tr>
      <w:tr w14:paraId="4C65E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atLeast"/>
          <w:jc w:val="center"/>
        </w:trPr>
        <w:tc>
          <w:tcPr>
            <w:tcW w:w="1479" w:type="dxa"/>
            <w:tcBorders>
              <w:top w:val="single" w:color="auto" w:sz="4" w:space="0"/>
              <w:left w:val="single" w:color="auto" w:sz="4" w:space="0"/>
              <w:bottom w:val="single" w:color="auto" w:sz="4" w:space="0"/>
              <w:right w:val="single" w:color="auto" w:sz="4" w:space="0"/>
            </w:tcBorders>
            <w:vAlign w:val="center"/>
          </w:tcPr>
          <w:p w14:paraId="4FC5C1E1">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FY-SJ1</w:t>
            </w:r>
          </w:p>
        </w:tc>
        <w:tc>
          <w:tcPr>
            <w:tcW w:w="6880" w:type="dxa"/>
            <w:tcBorders>
              <w:top w:val="single" w:color="auto" w:sz="4" w:space="0"/>
              <w:left w:val="single" w:color="auto" w:sz="4" w:space="0"/>
              <w:bottom w:val="single" w:color="auto" w:sz="4" w:space="0"/>
              <w:right w:val="single" w:color="auto" w:sz="4" w:space="0"/>
            </w:tcBorders>
            <w:vAlign w:val="center"/>
          </w:tcPr>
          <w:p w14:paraId="1571F6C7">
            <w:pPr>
              <w:widowControl/>
              <w:jc w:val="left"/>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1.具有独立法人资格；</w:t>
            </w:r>
          </w:p>
          <w:p w14:paraId="0586DB99">
            <w:pPr>
              <w:widowControl/>
              <w:jc w:val="left"/>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2.具备工程勘察综合甲级资质；</w:t>
            </w:r>
          </w:p>
          <w:p w14:paraId="0D392B22">
            <w:pPr>
              <w:widowControl/>
              <w:jc w:val="left"/>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3.具备工程设计综合甲级资质或公路行业甲级资质或公路行业（公路、特大桥梁、特长隧道、交通工程）专业甲级资质。</w:t>
            </w:r>
          </w:p>
        </w:tc>
      </w:tr>
      <w:tr w14:paraId="1F988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479" w:type="dxa"/>
            <w:tcBorders>
              <w:top w:val="single" w:color="auto" w:sz="4" w:space="0"/>
              <w:left w:val="single" w:color="auto" w:sz="4" w:space="0"/>
              <w:bottom w:val="single" w:color="auto" w:sz="4" w:space="0"/>
              <w:right w:val="single" w:color="auto" w:sz="4" w:space="0"/>
            </w:tcBorders>
            <w:shd w:val="clear" w:color="auto" w:fill="auto"/>
            <w:vAlign w:val="center"/>
          </w:tcPr>
          <w:p w14:paraId="2811F1F9">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FY-ZX1</w:t>
            </w:r>
          </w:p>
        </w:tc>
        <w:tc>
          <w:tcPr>
            <w:tcW w:w="6880" w:type="dxa"/>
            <w:tcBorders>
              <w:top w:val="single" w:color="auto" w:sz="4" w:space="0"/>
              <w:left w:val="single" w:color="auto" w:sz="4" w:space="0"/>
              <w:right w:val="single" w:color="auto" w:sz="4" w:space="0"/>
            </w:tcBorders>
            <w:shd w:val="clear" w:color="auto" w:fill="auto"/>
            <w:vAlign w:val="center"/>
          </w:tcPr>
          <w:p w14:paraId="407EF575">
            <w:pPr>
              <w:widowControl/>
              <w:jc w:val="left"/>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1.具有独立法人资格；</w:t>
            </w:r>
          </w:p>
          <w:p w14:paraId="72B911CB">
            <w:pPr>
              <w:widowControl/>
              <w:jc w:val="left"/>
              <w:rPr>
                <w:rFonts w:hint="eastAsia" w:ascii="仿宋" w:hAnsi="仿宋" w:eastAsia="仿宋" w:cs="仿宋"/>
                <w:color w:val="auto"/>
                <w:spacing w:val="5"/>
                <w:sz w:val="21"/>
                <w:szCs w:val="21"/>
                <w:highlight w:val="none"/>
                <w:lang w:val="zh-CN" w:eastAsia="zh-CN" w:bidi="zh-CN"/>
              </w:rPr>
            </w:pPr>
            <w:r>
              <w:rPr>
                <w:rFonts w:hint="eastAsia" w:ascii="仿宋" w:hAnsi="仿宋" w:eastAsia="仿宋" w:cs="仿宋"/>
                <w:color w:val="auto"/>
                <w:spacing w:val="5"/>
                <w:sz w:val="21"/>
                <w:szCs w:val="21"/>
                <w:highlight w:val="none"/>
                <w:lang w:val="en-US" w:eastAsia="zh-CN" w:bidi="zh-CN"/>
              </w:rPr>
              <w:t>2.已在“全国投资项目在线审批监管平台”备案，且备案专业包括公路专业。</w:t>
            </w:r>
          </w:p>
        </w:tc>
      </w:tr>
    </w:tbl>
    <w:p w14:paraId="5D50AA39">
      <w:pPr>
        <w:pStyle w:val="11"/>
        <w:numPr>
          <w:ilvl w:val="0"/>
          <w:numId w:val="0"/>
        </w:numPr>
        <w:shd w:val="clear" w:color="auto"/>
        <w:tabs>
          <w:tab w:val="left" w:leader="underscore" w:pos="3528"/>
          <w:tab w:val="left" w:leader="underscore" w:pos="7357"/>
        </w:tabs>
        <w:spacing w:before="0" w:after="0" w:line="500" w:lineRule="exact"/>
        <w:ind w:left="62" w:leftChars="0" w:firstLine="442" w:firstLineChars="0"/>
        <w:jc w:val="both"/>
        <w:rPr>
          <w:rFonts w:hint="eastAsia" w:ascii="宋体" w:hAnsi="宋体" w:eastAsia="宋体" w:cs="宋体"/>
          <w:kern w:val="0"/>
          <w:sz w:val="24"/>
          <w:szCs w:val="24"/>
          <w:highlight w:val="none"/>
        </w:rPr>
      </w:pPr>
      <w:r>
        <w:rPr>
          <w:rFonts w:hint="eastAsia" w:ascii="宋体" w:hAnsi="宋体" w:eastAsia="宋体" w:cs="宋体"/>
          <w:kern w:val="0"/>
          <w:sz w:val="24"/>
          <w:szCs w:val="24"/>
          <w:lang w:val="en-US" w:eastAsia="zh-CN" w:bidi="ar-SA"/>
        </w:rPr>
        <w:t>（2）</w:t>
      </w:r>
      <w:r>
        <w:rPr>
          <w:rFonts w:hint="eastAsia" w:ascii="宋体" w:hAnsi="宋体" w:eastAsia="宋体" w:cs="宋体"/>
          <w:kern w:val="0"/>
          <w:sz w:val="24"/>
          <w:szCs w:val="24"/>
          <w:highlight w:val="none"/>
        </w:rPr>
        <w:t>业绩最低要求</w:t>
      </w:r>
    </w:p>
    <w:tbl>
      <w:tblPr>
        <w:tblStyle w:val="19"/>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50"/>
        <w:gridCol w:w="6989"/>
      </w:tblGrid>
      <w:tr w14:paraId="4EB96E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jc w:val="center"/>
        </w:trPr>
        <w:tc>
          <w:tcPr>
            <w:tcW w:w="1450" w:type="dxa"/>
            <w:noWrap w:val="0"/>
            <w:vAlign w:val="center"/>
          </w:tcPr>
          <w:p w14:paraId="0AC44677">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标段</w:t>
            </w:r>
          </w:p>
        </w:tc>
        <w:tc>
          <w:tcPr>
            <w:tcW w:w="6989" w:type="dxa"/>
            <w:tcBorders>
              <w:right w:val="single" w:color="auto" w:sz="4" w:space="0"/>
            </w:tcBorders>
            <w:noWrap w:val="0"/>
            <w:vAlign w:val="center"/>
          </w:tcPr>
          <w:p w14:paraId="464EAD9E">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业绩要求</w:t>
            </w:r>
          </w:p>
        </w:tc>
      </w:tr>
      <w:tr w14:paraId="47E23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3" w:hRule="atLeast"/>
          <w:jc w:val="center"/>
        </w:trPr>
        <w:tc>
          <w:tcPr>
            <w:tcW w:w="1450" w:type="dxa"/>
            <w:noWrap w:val="0"/>
            <w:vAlign w:val="center"/>
          </w:tcPr>
          <w:p w14:paraId="4F61F19F">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FY-SJ1</w:t>
            </w:r>
          </w:p>
        </w:tc>
        <w:tc>
          <w:tcPr>
            <w:tcW w:w="6989" w:type="dxa"/>
            <w:tcBorders>
              <w:right w:val="single" w:color="auto" w:sz="4" w:space="0"/>
            </w:tcBorders>
            <w:noWrap w:val="0"/>
            <w:vAlign w:val="center"/>
          </w:tcPr>
          <w:p w14:paraId="04F84AF5">
            <w:pPr>
              <w:widowControl/>
              <w:jc w:val="left"/>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近5年以来至少完成过2个新建或改扩建高速公路勘察设计合同段业绩，且累计路段里程不小于150公里。</w:t>
            </w:r>
          </w:p>
        </w:tc>
      </w:tr>
      <w:tr w14:paraId="33D836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2" w:hRule="atLeast"/>
          <w:jc w:val="center"/>
        </w:trPr>
        <w:tc>
          <w:tcPr>
            <w:tcW w:w="1450" w:type="dxa"/>
            <w:noWrap w:val="0"/>
            <w:vAlign w:val="center"/>
          </w:tcPr>
          <w:p w14:paraId="09118AA4">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FY-ZX1</w:t>
            </w:r>
          </w:p>
        </w:tc>
        <w:tc>
          <w:tcPr>
            <w:tcW w:w="6989" w:type="dxa"/>
            <w:tcBorders>
              <w:right w:val="single" w:color="auto" w:sz="4" w:space="0"/>
            </w:tcBorders>
            <w:noWrap w:val="0"/>
            <w:vAlign w:val="center"/>
          </w:tcPr>
          <w:p w14:paraId="3C229E4E">
            <w:pPr>
              <w:widowControl/>
              <w:jc w:val="left"/>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近5年以来至少完成过2个新建或改扩建高速公路勘察设计或设计咨询合同段，且累计路段里程不小于150公里。</w:t>
            </w:r>
          </w:p>
        </w:tc>
      </w:tr>
    </w:tbl>
    <w:p w14:paraId="682CF169">
      <w:pPr>
        <w:pStyle w:val="11"/>
        <w:keepNext w:val="0"/>
        <w:keepLines w:val="0"/>
        <w:pageBreakBefore w:val="0"/>
        <w:widowControl w:val="0"/>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320" w:lineRule="exact"/>
        <w:ind w:left="0" w:firstLine="422" w:firstLineChars="200"/>
        <w:jc w:val="both"/>
        <w:textAlignment w:val="auto"/>
        <w:rPr>
          <w:rFonts w:hint="eastAsia" w:ascii="宋体" w:hAnsi="宋体" w:eastAsia="宋体" w:cs="宋体"/>
          <w:b/>
          <w:bCs/>
          <w:kern w:val="0"/>
          <w:sz w:val="21"/>
          <w:szCs w:val="21"/>
          <w:highlight w:val="none"/>
          <w:lang w:val="en-US" w:eastAsia="zh-CN"/>
        </w:rPr>
      </w:pPr>
      <w:r>
        <w:rPr>
          <w:rFonts w:hint="eastAsia" w:ascii="宋体" w:hAnsi="宋体" w:eastAsia="宋体" w:cs="宋体"/>
          <w:b/>
          <w:bCs/>
          <w:kern w:val="0"/>
          <w:sz w:val="21"/>
          <w:szCs w:val="21"/>
          <w:highlight w:val="none"/>
          <w:lang w:val="en-US" w:eastAsia="zh-CN"/>
        </w:rPr>
        <w:t>注：“近 5 年以来”指 2020 年 1 月 1 日至投标截止时间，以下相同；业绩的完成和时间要求以初步设计或施工图设计批复后时间为准为准。</w:t>
      </w:r>
    </w:p>
    <w:p w14:paraId="7671F0F8">
      <w:pPr>
        <w:pStyle w:val="11"/>
        <w:keepNext w:val="0"/>
        <w:keepLines w:val="0"/>
        <w:pageBreakBefore w:val="0"/>
        <w:widowControl w:val="0"/>
        <w:numPr>
          <w:ilvl w:val="0"/>
          <w:numId w:val="0"/>
        </w:numPr>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460" w:lineRule="exact"/>
        <w:ind w:left="62" w:leftChars="0" w:firstLine="442" w:firstLineChars="0"/>
        <w:jc w:val="both"/>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lang w:val="en-US" w:eastAsia="zh-CN" w:bidi="ar-SA"/>
        </w:rPr>
        <w:t>（3）</w:t>
      </w:r>
      <w:r>
        <w:rPr>
          <w:rFonts w:hint="eastAsia" w:ascii="仿宋" w:hAnsi="仿宋" w:eastAsia="仿宋" w:cs="仿宋"/>
          <w:kern w:val="0"/>
          <w:sz w:val="28"/>
          <w:szCs w:val="28"/>
          <w:highlight w:val="none"/>
        </w:rPr>
        <w:t>信誉最低要求</w:t>
      </w:r>
    </w:p>
    <w:tbl>
      <w:tblPr>
        <w:tblStyle w:val="8"/>
        <w:tblW w:w="8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6573"/>
      </w:tblGrid>
      <w:tr w14:paraId="166DD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1EA8B11D">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标   段</w:t>
            </w:r>
          </w:p>
        </w:tc>
        <w:tc>
          <w:tcPr>
            <w:tcW w:w="6573" w:type="dxa"/>
            <w:tcBorders>
              <w:top w:val="single" w:color="auto" w:sz="4" w:space="0"/>
              <w:left w:val="single" w:color="auto" w:sz="4" w:space="0"/>
              <w:bottom w:val="single" w:color="auto" w:sz="4" w:space="0"/>
              <w:right w:val="single" w:color="auto" w:sz="4" w:space="0"/>
            </w:tcBorders>
            <w:vAlign w:val="center"/>
          </w:tcPr>
          <w:p w14:paraId="4E3FAB1A">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信 誉 要 求</w:t>
            </w:r>
          </w:p>
        </w:tc>
      </w:tr>
      <w:tr w14:paraId="1FE18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01E9A84C">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FY-SJ1</w:t>
            </w:r>
          </w:p>
          <w:p w14:paraId="5FFC6F4D">
            <w:pPr>
              <w:widowControl/>
              <w:jc w:val="center"/>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FY-ZX1</w:t>
            </w:r>
          </w:p>
        </w:tc>
        <w:tc>
          <w:tcPr>
            <w:tcW w:w="6573" w:type="dxa"/>
            <w:tcBorders>
              <w:top w:val="single" w:color="auto" w:sz="4" w:space="0"/>
              <w:left w:val="single" w:color="auto" w:sz="4" w:space="0"/>
              <w:right w:val="single" w:color="auto" w:sz="4" w:space="0"/>
            </w:tcBorders>
            <w:vAlign w:val="center"/>
          </w:tcPr>
          <w:p w14:paraId="5C89D8C8">
            <w:pPr>
              <w:widowControl/>
              <w:jc w:val="left"/>
              <w:rPr>
                <w:rFonts w:hint="eastAsia" w:ascii="仿宋" w:hAnsi="仿宋" w:eastAsia="仿宋" w:cs="仿宋"/>
                <w:color w:val="auto"/>
                <w:spacing w:val="5"/>
                <w:sz w:val="21"/>
                <w:szCs w:val="21"/>
                <w:highlight w:val="none"/>
                <w:lang w:val="en-US" w:eastAsia="zh-CN" w:bidi="zh-CN"/>
              </w:rPr>
            </w:pPr>
            <w:r>
              <w:rPr>
                <w:rFonts w:hint="eastAsia" w:ascii="仿宋" w:hAnsi="仿宋" w:eastAsia="仿宋" w:cs="仿宋"/>
                <w:color w:val="auto"/>
                <w:spacing w:val="5"/>
                <w:sz w:val="21"/>
                <w:szCs w:val="21"/>
                <w:highlight w:val="none"/>
                <w:lang w:val="en-US" w:eastAsia="zh-CN" w:bidi="zh-CN"/>
              </w:rPr>
              <w:t>未被交通运输部或陕西省交通运输厅列为信用评价等级D级且在处罚有效期内。</w:t>
            </w:r>
          </w:p>
        </w:tc>
      </w:tr>
    </w:tbl>
    <w:p w14:paraId="0B3EFB40">
      <w:pPr>
        <w:pStyle w:val="11"/>
        <w:keepNext w:val="0"/>
        <w:keepLines w:val="0"/>
        <w:pageBreakBefore w:val="0"/>
        <w:widowControl w:val="0"/>
        <w:numPr>
          <w:ilvl w:val="0"/>
          <w:numId w:val="0"/>
        </w:numPr>
        <w:shd w:val="clear" w:color="auto" w:fill="FFFFFF"/>
        <w:tabs>
          <w:tab w:val="left" w:leader="underscore" w:pos="3528"/>
          <w:tab w:val="left" w:leader="underscore" w:pos="7357"/>
        </w:tabs>
        <w:kinsoku/>
        <w:wordWrap/>
        <w:overflowPunct/>
        <w:topLinePunct w:val="0"/>
        <w:autoSpaceDE/>
        <w:autoSpaceDN/>
        <w:bidi w:val="0"/>
        <w:adjustRightInd/>
        <w:snapToGrid/>
        <w:spacing w:before="0" w:after="0" w:line="460" w:lineRule="exact"/>
        <w:ind w:left="62" w:leftChars="0" w:firstLine="442" w:firstLineChars="0"/>
        <w:jc w:val="both"/>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lang w:val="en-US" w:eastAsia="zh-CN" w:bidi="ar-SA"/>
        </w:rPr>
        <w:t>（4）</w:t>
      </w:r>
      <w:r>
        <w:rPr>
          <w:rFonts w:hint="eastAsia" w:ascii="仿宋" w:hAnsi="仿宋" w:eastAsia="仿宋" w:cs="仿宋"/>
          <w:kern w:val="0"/>
          <w:sz w:val="28"/>
          <w:szCs w:val="28"/>
          <w:highlight w:val="none"/>
          <w:lang w:val="en-US" w:eastAsia="zh-CN"/>
        </w:rPr>
        <w:t>主要</w:t>
      </w:r>
      <w:r>
        <w:rPr>
          <w:rFonts w:hint="eastAsia" w:ascii="仿宋" w:hAnsi="仿宋" w:eastAsia="仿宋" w:cs="仿宋"/>
          <w:kern w:val="0"/>
          <w:sz w:val="28"/>
          <w:szCs w:val="28"/>
          <w:highlight w:val="none"/>
        </w:rPr>
        <w:t>人员最低要求</w:t>
      </w:r>
    </w:p>
    <w:tbl>
      <w:tblPr>
        <w:tblStyle w:val="8"/>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1343"/>
        <w:gridCol w:w="792"/>
        <w:gridCol w:w="4588"/>
      </w:tblGrid>
      <w:tr w14:paraId="0EEE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580" w:type="dxa"/>
            <w:tcBorders>
              <w:tl2br w:val="nil"/>
              <w:tr2bl w:val="nil"/>
            </w:tcBorders>
            <w:vAlign w:val="center"/>
          </w:tcPr>
          <w:p w14:paraId="5DA1F5A0">
            <w:pPr>
              <w:jc w:val="center"/>
              <w:rPr>
                <w:rFonts w:hint="eastAsia" w:ascii="仿宋" w:hAnsi="仿宋" w:eastAsia="仿宋" w:cs="仿宋"/>
                <w:spacing w:val="0"/>
                <w:szCs w:val="21"/>
                <w:highlight w:val="none"/>
                <w:lang w:val="en-US" w:eastAsia="zh-CN"/>
              </w:rPr>
            </w:pPr>
            <w:r>
              <w:rPr>
                <w:rFonts w:hint="eastAsia" w:ascii="仿宋" w:hAnsi="仿宋" w:eastAsia="仿宋" w:cs="仿宋"/>
                <w:spacing w:val="0"/>
                <w:szCs w:val="21"/>
                <w:highlight w:val="none"/>
                <w:lang w:val="en-US" w:eastAsia="zh-CN"/>
              </w:rPr>
              <w:t>标段</w:t>
            </w:r>
          </w:p>
        </w:tc>
        <w:tc>
          <w:tcPr>
            <w:tcW w:w="1343" w:type="dxa"/>
            <w:tcBorders>
              <w:tl2br w:val="nil"/>
              <w:tr2bl w:val="nil"/>
            </w:tcBorders>
            <w:vAlign w:val="center"/>
          </w:tcPr>
          <w:p w14:paraId="28FFD738">
            <w:pPr>
              <w:jc w:val="center"/>
              <w:rPr>
                <w:rFonts w:hint="eastAsia" w:ascii="仿宋" w:hAnsi="仿宋" w:eastAsia="仿宋" w:cs="仿宋"/>
                <w:spacing w:val="0"/>
                <w:szCs w:val="21"/>
                <w:highlight w:val="none"/>
              </w:rPr>
            </w:pPr>
            <w:r>
              <w:rPr>
                <w:rFonts w:hint="eastAsia" w:ascii="仿宋" w:hAnsi="仿宋" w:eastAsia="仿宋" w:cs="仿宋"/>
                <w:spacing w:val="0"/>
                <w:szCs w:val="21"/>
                <w:highlight w:val="none"/>
              </w:rPr>
              <w:t>人员</w:t>
            </w:r>
          </w:p>
        </w:tc>
        <w:tc>
          <w:tcPr>
            <w:tcW w:w="792" w:type="dxa"/>
            <w:tcBorders>
              <w:tl2br w:val="nil"/>
              <w:tr2bl w:val="nil"/>
            </w:tcBorders>
            <w:vAlign w:val="center"/>
          </w:tcPr>
          <w:p w14:paraId="43CDD0E1">
            <w:pPr>
              <w:jc w:val="center"/>
              <w:rPr>
                <w:rFonts w:hint="eastAsia" w:ascii="仿宋" w:hAnsi="仿宋" w:eastAsia="仿宋" w:cs="仿宋"/>
                <w:spacing w:val="0"/>
                <w:szCs w:val="21"/>
                <w:highlight w:val="none"/>
              </w:rPr>
            </w:pPr>
            <w:r>
              <w:rPr>
                <w:rFonts w:hint="eastAsia" w:ascii="仿宋" w:hAnsi="仿宋" w:eastAsia="仿宋" w:cs="仿宋"/>
                <w:spacing w:val="0"/>
                <w:szCs w:val="21"/>
                <w:highlight w:val="none"/>
              </w:rPr>
              <w:t>数量</w:t>
            </w:r>
          </w:p>
        </w:tc>
        <w:tc>
          <w:tcPr>
            <w:tcW w:w="4588" w:type="dxa"/>
            <w:tcBorders>
              <w:tl2br w:val="nil"/>
              <w:tr2bl w:val="nil"/>
            </w:tcBorders>
            <w:vAlign w:val="center"/>
          </w:tcPr>
          <w:p w14:paraId="2AC3341F">
            <w:pPr>
              <w:jc w:val="center"/>
              <w:rPr>
                <w:rFonts w:hint="eastAsia" w:ascii="仿宋" w:hAnsi="仿宋" w:eastAsia="仿宋" w:cs="仿宋"/>
                <w:spacing w:val="0"/>
                <w:szCs w:val="21"/>
                <w:highlight w:val="none"/>
              </w:rPr>
            </w:pPr>
            <w:r>
              <w:rPr>
                <w:rFonts w:hint="eastAsia" w:ascii="仿宋" w:hAnsi="仿宋" w:eastAsia="仿宋" w:cs="仿宋"/>
                <w:spacing w:val="0"/>
                <w:szCs w:val="21"/>
                <w:highlight w:val="none"/>
              </w:rPr>
              <w:t>资格要求</w:t>
            </w:r>
          </w:p>
        </w:tc>
      </w:tr>
      <w:tr w14:paraId="04629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1580" w:type="dxa"/>
            <w:tcBorders>
              <w:tl2br w:val="nil"/>
              <w:tr2bl w:val="nil"/>
            </w:tcBorders>
            <w:vAlign w:val="center"/>
          </w:tcPr>
          <w:p w14:paraId="438464B3">
            <w:pPr>
              <w:widowControl/>
              <w:jc w:val="center"/>
              <w:rPr>
                <w:rFonts w:hint="eastAsia" w:ascii="仿宋" w:hAnsi="仿宋" w:eastAsia="仿宋" w:cs="仿宋"/>
                <w:spacing w:val="0"/>
                <w:kern w:val="0"/>
                <w:szCs w:val="21"/>
                <w:highlight w:val="none"/>
                <w:lang w:eastAsia="zh-CN"/>
              </w:rPr>
            </w:pPr>
            <w:r>
              <w:rPr>
                <w:rFonts w:hint="eastAsia" w:ascii="仿宋" w:hAnsi="仿宋" w:eastAsia="仿宋" w:cs="仿宋"/>
                <w:spacing w:val="0"/>
                <w:kern w:val="0"/>
                <w:szCs w:val="21"/>
                <w:highlight w:val="none"/>
                <w:lang w:eastAsia="zh-CN"/>
              </w:rPr>
              <w:t>FY-SJ1</w:t>
            </w:r>
          </w:p>
        </w:tc>
        <w:tc>
          <w:tcPr>
            <w:tcW w:w="1343" w:type="dxa"/>
            <w:tcBorders>
              <w:tl2br w:val="nil"/>
              <w:tr2bl w:val="nil"/>
            </w:tcBorders>
            <w:vAlign w:val="center"/>
          </w:tcPr>
          <w:p w14:paraId="41548319">
            <w:pPr>
              <w:widowControl/>
              <w:jc w:val="center"/>
              <w:rPr>
                <w:rFonts w:hint="eastAsia" w:ascii="仿宋" w:hAnsi="仿宋" w:eastAsia="仿宋" w:cs="仿宋"/>
                <w:spacing w:val="0"/>
                <w:kern w:val="0"/>
                <w:szCs w:val="21"/>
                <w:highlight w:val="none"/>
                <w:lang w:val="en-US" w:eastAsia="zh-CN"/>
              </w:rPr>
            </w:pPr>
            <w:r>
              <w:rPr>
                <w:rFonts w:hint="eastAsia" w:ascii="仿宋" w:hAnsi="仿宋" w:eastAsia="仿宋" w:cs="仿宋"/>
                <w:spacing w:val="0"/>
                <w:kern w:val="0"/>
                <w:szCs w:val="21"/>
                <w:highlight w:val="none"/>
                <w:lang w:eastAsia="zh-CN"/>
              </w:rPr>
              <w:t>项目负责人</w:t>
            </w:r>
          </w:p>
        </w:tc>
        <w:tc>
          <w:tcPr>
            <w:tcW w:w="792" w:type="dxa"/>
            <w:tcBorders>
              <w:tl2br w:val="nil"/>
              <w:tr2bl w:val="nil"/>
            </w:tcBorders>
            <w:vAlign w:val="center"/>
          </w:tcPr>
          <w:p w14:paraId="4186FFEB">
            <w:pPr>
              <w:widowControl/>
              <w:jc w:val="center"/>
              <w:rPr>
                <w:rFonts w:hint="eastAsia" w:ascii="仿宋" w:hAnsi="仿宋" w:eastAsia="仿宋" w:cs="仿宋"/>
                <w:spacing w:val="0"/>
                <w:kern w:val="0"/>
                <w:szCs w:val="21"/>
                <w:highlight w:val="none"/>
                <w:lang w:eastAsia="zh-CN"/>
              </w:rPr>
            </w:pPr>
            <w:r>
              <w:rPr>
                <w:rFonts w:hint="eastAsia" w:ascii="仿宋" w:hAnsi="仿宋" w:eastAsia="仿宋" w:cs="仿宋"/>
                <w:spacing w:val="0"/>
                <w:kern w:val="0"/>
                <w:szCs w:val="21"/>
                <w:highlight w:val="none"/>
                <w:lang w:eastAsia="zh-CN"/>
              </w:rPr>
              <w:t>1</w:t>
            </w:r>
          </w:p>
        </w:tc>
        <w:tc>
          <w:tcPr>
            <w:tcW w:w="4588" w:type="dxa"/>
            <w:tcBorders>
              <w:tl2br w:val="nil"/>
              <w:tr2bl w:val="nil"/>
            </w:tcBorders>
            <w:vAlign w:val="center"/>
          </w:tcPr>
          <w:p w14:paraId="3F8AB3D6">
            <w:pPr>
              <w:widowControl/>
              <w:jc w:val="left"/>
              <w:rPr>
                <w:rFonts w:hint="eastAsia" w:ascii="仿宋" w:hAnsi="仿宋" w:eastAsia="仿宋" w:cs="仿宋"/>
                <w:spacing w:val="0"/>
                <w:highlight w:val="none"/>
                <w:lang w:eastAsia="zh-CN"/>
              </w:rPr>
            </w:pPr>
            <w:r>
              <w:rPr>
                <w:rFonts w:hint="eastAsia" w:ascii="仿宋" w:hAnsi="仿宋" w:eastAsia="仿宋" w:cs="仿宋"/>
                <w:spacing w:val="0"/>
                <w:highlight w:val="none"/>
                <w:lang w:val="en-US" w:eastAsia="zh-CN"/>
              </w:rPr>
              <w:t>公路工程相关专业高级技术职称；2020年1月1日至投标截止时间（以初步设计或施工图设计批复时间为准），至少担任过1个新建或改扩建高速公路勘察设计合同段项目负责人。</w:t>
            </w:r>
          </w:p>
        </w:tc>
      </w:tr>
      <w:tr w14:paraId="5733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580" w:type="dxa"/>
            <w:tcBorders>
              <w:tl2br w:val="nil"/>
              <w:tr2bl w:val="nil"/>
            </w:tcBorders>
            <w:vAlign w:val="center"/>
          </w:tcPr>
          <w:p w14:paraId="1D58569A">
            <w:pPr>
              <w:widowControl/>
              <w:jc w:val="center"/>
              <w:rPr>
                <w:rFonts w:hint="eastAsia" w:ascii="仿宋" w:hAnsi="仿宋" w:eastAsia="仿宋" w:cs="仿宋"/>
                <w:spacing w:val="0"/>
                <w:kern w:val="0"/>
                <w:szCs w:val="21"/>
                <w:highlight w:val="none"/>
                <w:lang w:eastAsia="zh-CN"/>
              </w:rPr>
            </w:pPr>
            <w:r>
              <w:rPr>
                <w:rFonts w:hint="eastAsia" w:ascii="仿宋" w:hAnsi="仿宋" w:eastAsia="仿宋" w:cs="仿宋"/>
                <w:color w:val="auto"/>
                <w:spacing w:val="5"/>
                <w:sz w:val="21"/>
                <w:szCs w:val="21"/>
                <w:highlight w:val="none"/>
                <w:lang w:val="en-US" w:eastAsia="zh-CN" w:bidi="zh-CN"/>
              </w:rPr>
              <w:t>FY-ZX1</w:t>
            </w:r>
          </w:p>
        </w:tc>
        <w:tc>
          <w:tcPr>
            <w:tcW w:w="1343" w:type="dxa"/>
            <w:tcBorders>
              <w:tl2br w:val="nil"/>
              <w:tr2bl w:val="nil"/>
            </w:tcBorders>
            <w:shd w:val="clear" w:color="auto" w:fill="auto"/>
            <w:vAlign w:val="center"/>
          </w:tcPr>
          <w:p w14:paraId="20BCDF9F">
            <w:pPr>
              <w:widowControl/>
              <w:jc w:val="center"/>
              <w:rPr>
                <w:rFonts w:hint="eastAsia" w:ascii="仿宋" w:hAnsi="仿宋" w:eastAsia="仿宋" w:cs="仿宋"/>
                <w:spacing w:val="0"/>
                <w:kern w:val="0"/>
                <w:sz w:val="21"/>
                <w:szCs w:val="21"/>
                <w:highlight w:val="none"/>
                <w:lang w:val="en-US" w:eastAsia="zh-CN" w:bidi="ar-SA"/>
              </w:rPr>
            </w:pPr>
            <w:r>
              <w:rPr>
                <w:rFonts w:hint="eastAsia" w:ascii="仿宋" w:hAnsi="仿宋" w:eastAsia="仿宋" w:cs="仿宋"/>
                <w:spacing w:val="0"/>
                <w:kern w:val="0"/>
                <w:szCs w:val="21"/>
                <w:highlight w:val="none"/>
                <w:lang w:eastAsia="zh-CN"/>
              </w:rPr>
              <w:t>项目负责人</w:t>
            </w:r>
          </w:p>
        </w:tc>
        <w:tc>
          <w:tcPr>
            <w:tcW w:w="792" w:type="dxa"/>
            <w:tcBorders>
              <w:tl2br w:val="nil"/>
              <w:tr2bl w:val="nil"/>
            </w:tcBorders>
            <w:shd w:val="clear" w:color="auto" w:fill="auto"/>
            <w:vAlign w:val="center"/>
          </w:tcPr>
          <w:p w14:paraId="2B837F7C">
            <w:pPr>
              <w:widowControl/>
              <w:jc w:val="center"/>
              <w:rPr>
                <w:rFonts w:hint="eastAsia" w:ascii="仿宋" w:hAnsi="仿宋" w:eastAsia="仿宋" w:cs="仿宋"/>
                <w:spacing w:val="0"/>
                <w:kern w:val="0"/>
                <w:sz w:val="21"/>
                <w:szCs w:val="21"/>
                <w:highlight w:val="none"/>
                <w:lang w:val="en-US" w:eastAsia="zh-CN" w:bidi="ar-SA"/>
              </w:rPr>
            </w:pPr>
            <w:r>
              <w:rPr>
                <w:rFonts w:hint="eastAsia" w:ascii="仿宋" w:hAnsi="仿宋" w:eastAsia="仿宋" w:cs="仿宋"/>
                <w:spacing w:val="0"/>
                <w:kern w:val="0"/>
                <w:szCs w:val="21"/>
                <w:highlight w:val="none"/>
                <w:lang w:eastAsia="zh-CN"/>
              </w:rPr>
              <w:t>1</w:t>
            </w:r>
          </w:p>
        </w:tc>
        <w:tc>
          <w:tcPr>
            <w:tcW w:w="4588" w:type="dxa"/>
            <w:tcBorders>
              <w:tl2br w:val="nil"/>
              <w:tr2bl w:val="nil"/>
            </w:tcBorders>
            <w:vAlign w:val="center"/>
          </w:tcPr>
          <w:p w14:paraId="6255AE20">
            <w:pPr>
              <w:widowControl/>
              <w:jc w:val="left"/>
              <w:rPr>
                <w:rFonts w:hint="eastAsia" w:ascii="仿宋" w:hAnsi="仿宋" w:eastAsia="仿宋" w:cs="仿宋"/>
                <w:spacing w:val="0"/>
                <w:highlight w:val="none"/>
                <w:lang w:eastAsia="zh-CN"/>
              </w:rPr>
            </w:pPr>
            <w:r>
              <w:rPr>
                <w:rFonts w:hint="eastAsia" w:ascii="仿宋" w:hAnsi="仿宋" w:eastAsia="仿宋" w:cs="仿宋"/>
                <w:spacing w:val="0"/>
                <w:highlight w:val="none"/>
                <w:lang w:val="en-US" w:eastAsia="zh-CN"/>
              </w:rPr>
              <w:t>公路工程相关专业高级技术职称；2020年1月1日至投标截止时间（以初步设计或施工图设计批复时间为准），至少担任过1个新建或改扩建高速公路勘察设计或设计咨询或设计审查合同段项目负责人。</w:t>
            </w:r>
          </w:p>
        </w:tc>
      </w:tr>
    </w:tbl>
    <w:p w14:paraId="1B658E23">
      <w:pPr>
        <w:pStyle w:val="11"/>
        <w:keepNext w:val="0"/>
        <w:keepLines w:val="0"/>
        <w:pageBreakBefore w:val="0"/>
        <w:widowControl w:val="0"/>
        <w:shd w:val="clear" w:color="auto"/>
        <w:tabs>
          <w:tab w:val="left" w:leader="underscore" w:pos="3528"/>
          <w:tab w:val="left" w:leader="underscore" w:pos="7357"/>
        </w:tabs>
        <w:kinsoku/>
        <w:wordWrap/>
        <w:overflowPunct/>
        <w:topLinePunct w:val="0"/>
        <w:autoSpaceDE/>
        <w:autoSpaceDN/>
        <w:bidi w:val="0"/>
        <w:adjustRightInd/>
        <w:snapToGrid/>
        <w:spacing w:before="0" w:after="0" w:line="320" w:lineRule="exact"/>
        <w:ind w:left="0" w:firstLine="422" w:firstLineChars="200"/>
        <w:jc w:val="both"/>
        <w:textAlignment w:val="auto"/>
        <w:rPr>
          <w:rFonts w:hint="eastAsia" w:ascii="宋体" w:hAnsi="宋体" w:eastAsia="宋体" w:cs="宋体"/>
          <w:b/>
          <w:bCs/>
          <w:kern w:val="0"/>
          <w:sz w:val="21"/>
          <w:szCs w:val="21"/>
          <w:highlight w:val="none"/>
          <w:lang w:val="en-US" w:eastAsia="zh-CN"/>
        </w:rPr>
      </w:pPr>
    </w:p>
    <w:p w14:paraId="3AEB67BF">
      <w:pPr>
        <w:pStyle w:val="11"/>
        <w:shd w:val="clear" w:color="auto"/>
        <w:tabs>
          <w:tab w:val="left" w:leader="underscore" w:pos="3528"/>
          <w:tab w:val="left" w:leader="underscore" w:pos="7357"/>
        </w:tabs>
        <w:spacing w:before="0" w:after="0" w:line="480" w:lineRule="exact"/>
        <w:ind w:left="62" w:firstLine="442"/>
        <w:jc w:val="both"/>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2.2各投标人可对多个标段投标，最多可允许中1个标段。</w:t>
      </w:r>
    </w:p>
    <w:p w14:paraId="4688A906">
      <w:pPr>
        <w:pStyle w:val="11"/>
        <w:shd w:val="clear" w:color="auto"/>
        <w:tabs>
          <w:tab w:val="left" w:leader="underscore" w:pos="3528"/>
          <w:tab w:val="left" w:leader="underscore" w:pos="7357"/>
        </w:tabs>
        <w:spacing w:before="0" w:after="0" w:line="480" w:lineRule="exact"/>
        <w:ind w:left="62" w:firstLine="442"/>
        <w:jc w:val="both"/>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2.3同一单位以及单位负责人为同一人或者存在控股、管理关系的不同单位，不能同时获得勘察设计标段及设计咨询标段的中标资格。如若出现，将优先保留其勘察设计标段的中标资格，取消其设计咨询标段的中标资格。</w:t>
      </w:r>
    </w:p>
    <w:p w14:paraId="2A0DB6B6">
      <w:pPr>
        <w:pStyle w:val="11"/>
        <w:shd w:val="clear" w:color="auto"/>
        <w:tabs>
          <w:tab w:val="left" w:leader="underscore" w:pos="3528"/>
          <w:tab w:val="left" w:leader="underscore" w:pos="7357"/>
        </w:tabs>
        <w:spacing w:before="0" w:after="0" w:line="480" w:lineRule="exact"/>
        <w:ind w:left="62" w:firstLine="442"/>
        <w:jc w:val="both"/>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2.4投标人应进入交通运输部“全国公路建设市场监督管理系统”中的公路工程设计资质企业名录，且投标人名称和资质与该名录中的相应企业名称和资质完全一致。</w:t>
      </w:r>
    </w:p>
    <w:p w14:paraId="0D67AF59">
      <w:pPr>
        <w:pStyle w:val="11"/>
        <w:shd w:val="clear" w:color="auto"/>
        <w:tabs>
          <w:tab w:val="left" w:leader="underscore" w:pos="3528"/>
          <w:tab w:val="left" w:leader="underscore" w:pos="7357"/>
        </w:tabs>
        <w:spacing w:before="0" w:after="0" w:line="480" w:lineRule="exact"/>
        <w:ind w:left="62" w:firstLine="442"/>
        <w:jc w:val="both"/>
        <w:rPr>
          <w:rFonts w:hint="eastAsia" w:ascii="宋体" w:hAnsi="宋体" w:eastAsia="宋体" w:cs="宋体"/>
          <w:sz w:val="24"/>
          <w:highlight w:val="none"/>
        </w:rPr>
      </w:pPr>
      <w:r>
        <w:rPr>
          <w:rFonts w:hint="eastAsia" w:ascii="宋体" w:hAnsi="宋体" w:eastAsia="宋体" w:cs="宋体"/>
          <w:sz w:val="24"/>
          <w:highlight w:val="none"/>
          <w:lang w:val="en-US" w:eastAsia="zh-CN"/>
        </w:rPr>
        <w:t>2.5</w:t>
      </w:r>
      <w:r>
        <w:rPr>
          <w:rFonts w:hint="eastAsia" w:ascii="宋体" w:hAnsi="宋体" w:eastAsia="宋体" w:cs="宋体"/>
          <w:sz w:val="24"/>
          <w:highlight w:val="none"/>
        </w:rPr>
        <w:t>与招标人存在利害关系可能影响招标公正性的单位，不得参加投标。单位负责人为同一人或存在控股、管理关系的不同单位，不得参加同一标段投标，否则，相关投标均无效。</w:t>
      </w:r>
    </w:p>
    <w:p w14:paraId="741D6561">
      <w:pPr>
        <w:pStyle w:val="11"/>
        <w:shd w:val="clear" w:color="auto"/>
        <w:tabs>
          <w:tab w:val="left" w:leader="underscore" w:pos="3528"/>
          <w:tab w:val="left" w:leader="underscore" w:pos="7357"/>
        </w:tabs>
        <w:spacing w:before="0" w:after="0" w:line="480" w:lineRule="exact"/>
        <w:ind w:left="62" w:firstLine="442"/>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2</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 xml:space="preserve">本次招标 </w:t>
      </w:r>
      <w:r>
        <w:rPr>
          <w:rFonts w:hint="eastAsia" w:ascii="宋体" w:hAnsi="宋体" w:eastAsia="宋体" w:cs="宋体"/>
          <w:kern w:val="0"/>
          <w:sz w:val="24"/>
          <w:szCs w:val="24"/>
          <w:highlight w:val="none"/>
          <w:lang w:eastAsia="zh-CN"/>
        </w:rPr>
        <w:t>FY</w:t>
      </w:r>
      <w:r>
        <w:rPr>
          <w:rFonts w:hint="eastAsia" w:ascii="宋体" w:hAnsi="宋体" w:eastAsia="宋体" w:cs="宋体"/>
          <w:kern w:val="0"/>
          <w:sz w:val="24"/>
          <w:szCs w:val="24"/>
          <w:highlight w:val="none"/>
        </w:rPr>
        <w:t>-SJ1 标段接受联合体投标，</w:t>
      </w:r>
      <w:r>
        <w:rPr>
          <w:rFonts w:hint="eastAsia" w:ascii="宋体" w:hAnsi="宋体" w:eastAsia="宋体" w:cs="宋体"/>
          <w:kern w:val="0"/>
          <w:sz w:val="24"/>
          <w:szCs w:val="24"/>
          <w:highlight w:val="none"/>
          <w:lang w:eastAsia="zh-CN"/>
        </w:rPr>
        <w:t>FY</w:t>
      </w:r>
      <w:r>
        <w:rPr>
          <w:rFonts w:hint="eastAsia" w:ascii="宋体" w:hAnsi="宋体" w:eastAsia="宋体" w:cs="宋体"/>
          <w:kern w:val="0"/>
          <w:sz w:val="24"/>
          <w:szCs w:val="24"/>
          <w:highlight w:val="none"/>
        </w:rPr>
        <w:t>-ZX1 标段不接受联合体投标。</w:t>
      </w:r>
    </w:p>
    <w:p w14:paraId="0036C127">
      <w:pPr>
        <w:pStyle w:val="11"/>
        <w:shd w:val="clear" w:color="auto"/>
        <w:tabs>
          <w:tab w:val="left" w:leader="underscore" w:pos="3528"/>
          <w:tab w:val="left" w:leader="underscore" w:pos="7357"/>
        </w:tabs>
        <w:spacing w:before="0" w:after="0" w:line="480" w:lineRule="exact"/>
        <w:ind w:left="62" w:firstLine="442"/>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eastAsia="zh-CN"/>
        </w:rPr>
        <w:t>FY</w:t>
      </w:r>
      <w:r>
        <w:rPr>
          <w:rFonts w:hint="eastAsia" w:ascii="宋体" w:hAnsi="宋体" w:eastAsia="宋体" w:cs="宋体"/>
          <w:kern w:val="0"/>
          <w:sz w:val="24"/>
          <w:szCs w:val="24"/>
          <w:highlight w:val="none"/>
        </w:rPr>
        <w:t>-SJ1 标段若采用联合体投标的，必须满足以下要求：</w:t>
      </w:r>
    </w:p>
    <w:p w14:paraId="31D9AE47">
      <w:pPr>
        <w:pStyle w:val="11"/>
        <w:shd w:val="clear" w:color="auto"/>
        <w:tabs>
          <w:tab w:val="left" w:leader="underscore" w:pos="3528"/>
          <w:tab w:val="left" w:leader="underscore" w:pos="7357"/>
        </w:tabs>
        <w:spacing w:before="0" w:after="0" w:line="480" w:lineRule="exact"/>
        <w:ind w:left="62" w:firstLine="442"/>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（1）联合体各成员均应具备独立法人资格，联合体各成员均应满足资质最低要求，本次招标只接受投标人根据本高速公路韧性提升工程的不同设计段落组成联合体。成员不超过 3 家(含3 家）单位，项目负责人应为牵头单位人员。</w:t>
      </w:r>
    </w:p>
    <w:p w14:paraId="1A26F529">
      <w:pPr>
        <w:pStyle w:val="11"/>
        <w:shd w:val="clear" w:color="auto"/>
        <w:tabs>
          <w:tab w:val="left" w:leader="underscore" w:pos="3528"/>
          <w:tab w:val="left" w:leader="underscore" w:pos="7357"/>
        </w:tabs>
        <w:spacing w:before="0" w:after="0" w:line="480" w:lineRule="exact"/>
        <w:ind w:left="62" w:firstLine="442"/>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（2）按照各单位相应业绩之和确定联合体具有的业绩。</w:t>
      </w:r>
    </w:p>
    <w:p w14:paraId="33FFF7A4">
      <w:pPr>
        <w:pStyle w:val="11"/>
        <w:shd w:val="clear" w:color="auto"/>
        <w:tabs>
          <w:tab w:val="left" w:leader="underscore" w:pos="3528"/>
          <w:tab w:val="left" w:leader="underscore" w:pos="7357"/>
        </w:tabs>
        <w:spacing w:before="0" w:after="0" w:line="480" w:lineRule="exact"/>
        <w:ind w:left="62" w:firstLine="442"/>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（3）联合体各方不得再以自己的名义单独或参加其他联合体在同一标段中投标。</w:t>
      </w:r>
    </w:p>
    <w:p w14:paraId="4899DA48">
      <w:pPr>
        <w:pStyle w:val="11"/>
        <w:shd w:val="clear" w:color="auto"/>
        <w:tabs>
          <w:tab w:val="left" w:leader="underscore" w:pos="3528"/>
          <w:tab w:val="left" w:leader="underscore" w:pos="7357"/>
        </w:tabs>
        <w:spacing w:before="0" w:after="0" w:line="480" w:lineRule="exact"/>
        <w:ind w:left="62" w:firstLine="442"/>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（4）联合体各方以及与其具有关联关系（单位负责人为同一人或存在控股、管理关系）的单位，不得再以自己名义单独或参加其他联合体在本次投标。</w:t>
      </w:r>
    </w:p>
    <w:p w14:paraId="6E4E7D86">
      <w:pPr>
        <w:pStyle w:val="11"/>
        <w:shd w:val="clear" w:color="auto"/>
        <w:tabs>
          <w:tab w:val="left" w:leader="underscore" w:pos="3528"/>
          <w:tab w:val="left" w:leader="underscore" w:pos="7357"/>
        </w:tabs>
        <w:spacing w:before="0" w:after="0" w:line="480" w:lineRule="exact"/>
        <w:ind w:left="62" w:firstLine="442"/>
        <w:jc w:val="both"/>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（5）联合体各方应按规定的格式签订联合体协议书，在协议书中明确各自在项目中的工作范围、权利、义务以及联合体牵头人，并承诺就中标项目向招标人承担连带责任</w:t>
      </w:r>
      <w:r>
        <w:rPr>
          <w:rFonts w:hint="eastAsia" w:ascii="宋体" w:hAnsi="宋体" w:eastAsia="宋体" w:cs="宋体"/>
          <w:kern w:val="0"/>
          <w:sz w:val="24"/>
          <w:szCs w:val="24"/>
          <w:highlight w:val="none"/>
          <w:lang w:eastAsia="zh-CN"/>
        </w:rPr>
        <w:t>。</w:t>
      </w:r>
    </w:p>
    <w:p w14:paraId="6053EED9">
      <w:pPr>
        <w:shd w:val="clear"/>
        <w:spacing w:line="48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在“信用中国”网站（http://www.creditchina.gov.cn/）中被列入失信被执行人名单的投标人，不得参加投标。</w:t>
      </w:r>
    </w:p>
    <w:p w14:paraId="1E2F5E7B">
      <w:pPr>
        <w:pStyle w:val="11"/>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eastAsia" w:ascii="宋体" w:hAnsi="宋体" w:eastAsia="宋体"/>
          <w:b/>
          <w:kern w:val="0"/>
          <w:sz w:val="28"/>
          <w:szCs w:val="28"/>
          <w:lang w:val="en-US" w:eastAsia="zh-CN"/>
        </w:rPr>
      </w:pPr>
    </w:p>
    <w:p w14:paraId="54F466D8">
      <w:pPr>
        <w:pStyle w:val="11"/>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eastAsia" w:ascii="宋体" w:hAnsi="宋体" w:eastAsia="宋体"/>
          <w:b/>
          <w:kern w:val="0"/>
          <w:sz w:val="28"/>
          <w:szCs w:val="28"/>
          <w:lang w:val="en-US" w:eastAsia="zh-CN"/>
        </w:rPr>
      </w:pPr>
    </w:p>
    <w:p w14:paraId="485DDA0A">
      <w:pPr>
        <w:pStyle w:val="11"/>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eastAsia" w:ascii="宋体" w:hAnsi="宋体" w:eastAsia="宋体"/>
          <w:b/>
          <w:kern w:val="0"/>
          <w:sz w:val="28"/>
          <w:szCs w:val="28"/>
          <w:lang w:val="en-US" w:eastAsia="zh-CN"/>
        </w:rPr>
      </w:pPr>
    </w:p>
    <w:p w14:paraId="164AC2AB">
      <w:pPr>
        <w:rPr>
          <w:rFonts w:hint="eastAsia" w:ascii="宋体" w:hAnsi="宋体" w:eastAsia="宋体" w:cs="宋体"/>
          <w:b w:val="0"/>
          <w:bCs w:val="0"/>
          <w:spacing w:val="0"/>
          <w:kern w:val="0"/>
          <w:sz w:val="28"/>
          <w:szCs w:val="28"/>
          <w:highlight w:val="none"/>
        </w:rPr>
      </w:pPr>
      <w:r>
        <w:rPr>
          <w:rFonts w:hint="eastAsia" w:ascii="宋体" w:hAnsi="宋体" w:eastAsia="宋体" w:cs="宋体"/>
          <w:b w:val="0"/>
          <w:bCs w:val="0"/>
          <w:spacing w:val="0"/>
          <w:kern w:val="0"/>
          <w:sz w:val="28"/>
          <w:szCs w:val="28"/>
          <w:highlight w:val="none"/>
        </w:rPr>
        <w:br w:type="page"/>
      </w:r>
    </w:p>
    <w:p w14:paraId="48342CE3">
      <w:pPr>
        <w:pStyle w:val="11"/>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3.‌‌‌评标办法</w:t>
      </w:r>
      <w:bookmarkEnd w:id="1"/>
      <w:r>
        <w:rPr>
          <w:rFonts w:hint="eastAsia" w:ascii="仿宋" w:hAnsi="仿宋" w:eastAsia="仿宋" w:cs="仿宋"/>
          <w:b/>
          <w:kern w:val="0"/>
          <w:sz w:val="32"/>
          <w:szCs w:val="32"/>
          <w:lang w:val="en-US" w:eastAsia="zh-CN"/>
        </w:rPr>
        <w:t>（综合评估法）</w:t>
      </w:r>
    </w:p>
    <w:p w14:paraId="6ADA2BC4">
      <w:pPr>
        <w:rPr>
          <w:rFonts w:hint="default" w:ascii="华文中宋" w:hAnsi="华文中宋" w:eastAsia="华文中宋" w:cs="华文中宋"/>
          <w:b w:val="0"/>
          <w:bCs/>
          <w:kern w:val="0"/>
          <w:sz w:val="32"/>
          <w:szCs w:val="32"/>
          <w:highlight w:val="none"/>
          <w:lang w:val="en-US" w:eastAsia="zh-CN"/>
        </w:rPr>
      </w:pPr>
      <w:r>
        <w:rPr>
          <w:rFonts w:hint="eastAsia" w:ascii="华文中宋" w:hAnsi="华文中宋" w:eastAsia="华文中宋" w:cs="华文中宋"/>
          <w:b w:val="0"/>
          <w:bCs/>
          <w:kern w:val="0"/>
          <w:sz w:val="32"/>
          <w:szCs w:val="32"/>
          <w:highlight w:val="none"/>
          <w:lang w:val="en-US" w:eastAsia="zh-CN"/>
        </w:rPr>
        <w:t>评标办法前附表</w:t>
      </w:r>
    </w:p>
    <w:tbl>
      <w:tblPr>
        <w:tblStyle w:val="8"/>
        <w:tblW w:w="9082" w:type="dxa"/>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 w:type="dxa"/>
          <w:bottom w:w="0" w:type="dxa"/>
          <w:right w:w="10" w:type="dxa"/>
        </w:tblCellMar>
      </w:tblPr>
      <w:tblGrid>
        <w:gridCol w:w="1037"/>
        <w:gridCol w:w="1785"/>
        <w:gridCol w:w="6260"/>
      </w:tblGrid>
      <w:tr w14:paraId="36EDAD98">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486" w:hRule="atLeast"/>
          <w:tblHeader/>
        </w:trPr>
        <w:tc>
          <w:tcPr>
            <w:tcW w:w="2822" w:type="dxa"/>
            <w:gridSpan w:val="2"/>
            <w:shd w:val="clear" w:color="auto" w:fill="FFFFFF"/>
            <w:vAlign w:val="center"/>
          </w:tcPr>
          <w:p w14:paraId="31B1BE4B">
            <w:pPr>
              <w:pStyle w:val="12"/>
              <w:shd w:val="clear" w:color="auto" w:fill="auto"/>
              <w:spacing w:before="0" w:after="0" w:line="400" w:lineRule="exact"/>
              <w:rPr>
                <w:rFonts w:hint="eastAsia" w:ascii="仿宋" w:hAnsi="仿宋" w:eastAsia="仿宋" w:cs="仿宋"/>
                <w:iCs/>
                <w:sz w:val="21"/>
                <w:szCs w:val="21"/>
                <w:highlight w:val="none"/>
              </w:rPr>
            </w:pPr>
            <w:r>
              <w:rPr>
                <w:rStyle w:val="13"/>
                <w:rFonts w:hint="eastAsia" w:ascii="仿宋" w:hAnsi="仿宋" w:eastAsia="仿宋" w:cs="仿宋"/>
                <w:i w:val="0"/>
                <w:color w:val="auto"/>
                <w:spacing w:val="0"/>
                <w:sz w:val="21"/>
                <w:szCs w:val="21"/>
                <w:highlight w:val="none"/>
              </w:rPr>
              <w:t>条款号</w:t>
            </w:r>
          </w:p>
        </w:tc>
        <w:tc>
          <w:tcPr>
            <w:tcW w:w="6260" w:type="dxa"/>
            <w:tcBorders>
              <w:left w:val="single" w:color="auto" w:sz="4" w:space="0"/>
            </w:tcBorders>
            <w:shd w:val="clear" w:color="auto" w:fill="FFFFFF"/>
            <w:vAlign w:val="center"/>
          </w:tcPr>
          <w:p w14:paraId="14A1E407">
            <w:pPr>
              <w:pStyle w:val="12"/>
              <w:shd w:val="clear" w:color="auto" w:fill="auto"/>
              <w:spacing w:before="0" w:after="0" w:line="400" w:lineRule="exact"/>
              <w:rPr>
                <w:rFonts w:hint="eastAsia" w:ascii="仿宋" w:hAnsi="仿宋" w:eastAsia="仿宋" w:cs="仿宋"/>
                <w:iCs/>
                <w:sz w:val="21"/>
                <w:szCs w:val="21"/>
                <w:highlight w:val="none"/>
              </w:rPr>
            </w:pPr>
            <w:r>
              <w:rPr>
                <w:rStyle w:val="13"/>
                <w:rFonts w:hint="eastAsia" w:ascii="仿宋" w:hAnsi="仿宋" w:eastAsia="仿宋" w:cs="仿宋"/>
                <w:i w:val="0"/>
                <w:color w:val="auto"/>
                <w:spacing w:val="0"/>
                <w:sz w:val="21"/>
                <w:szCs w:val="21"/>
                <w:highlight w:val="none"/>
              </w:rPr>
              <w:t>评审因素与评审标准</w:t>
            </w:r>
          </w:p>
        </w:tc>
      </w:tr>
      <w:tr w14:paraId="3F0CD3B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90" w:hRule="atLeast"/>
        </w:trPr>
        <w:tc>
          <w:tcPr>
            <w:tcW w:w="1037" w:type="dxa"/>
            <w:tcBorders>
              <w:top w:val="single" w:color="auto" w:sz="4" w:space="0"/>
              <w:bottom w:val="single" w:color="auto" w:sz="4" w:space="0"/>
            </w:tcBorders>
            <w:shd w:val="clear" w:color="auto" w:fill="FFFFFF"/>
            <w:vAlign w:val="center"/>
          </w:tcPr>
          <w:p w14:paraId="0028C803">
            <w:pPr>
              <w:pStyle w:val="12"/>
              <w:shd w:val="clear" w:color="auto" w:fill="auto"/>
              <w:spacing w:before="0" w:after="0" w:line="360" w:lineRule="exact"/>
              <w:rPr>
                <w:rFonts w:hint="eastAsia" w:ascii="仿宋" w:hAnsi="仿宋" w:eastAsia="仿宋" w:cs="仿宋"/>
                <w:iCs/>
                <w:sz w:val="21"/>
                <w:szCs w:val="21"/>
                <w:highlight w:val="none"/>
              </w:rPr>
            </w:pPr>
            <w:r>
              <w:rPr>
                <w:rStyle w:val="13"/>
                <w:rFonts w:hint="eastAsia" w:ascii="仿宋" w:hAnsi="仿宋" w:eastAsia="仿宋" w:cs="仿宋"/>
                <w:i w:val="0"/>
                <w:color w:val="auto"/>
                <w:spacing w:val="0"/>
                <w:sz w:val="21"/>
                <w:szCs w:val="21"/>
                <w:highlight w:val="none"/>
                <w:lang w:val="zh-TW"/>
              </w:rPr>
              <w:t>1</w:t>
            </w:r>
          </w:p>
        </w:tc>
        <w:tc>
          <w:tcPr>
            <w:tcW w:w="1785" w:type="dxa"/>
            <w:tcBorders>
              <w:top w:val="single" w:color="auto" w:sz="4" w:space="0"/>
              <w:left w:val="single" w:color="auto" w:sz="4" w:space="0"/>
              <w:bottom w:val="single" w:color="auto" w:sz="4" w:space="0"/>
            </w:tcBorders>
            <w:shd w:val="clear" w:color="auto" w:fill="FFFFFF"/>
            <w:vAlign w:val="center"/>
          </w:tcPr>
          <w:p w14:paraId="053A57C7">
            <w:pPr>
              <w:pStyle w:val="12"/>
              <w:shd w:val="clear" w:color="auto" w:fill="auto"/>
              <w:spacing w:before="0" w:after="0" w:line="360" w:lineRule="exact"/>
              <w:rPr>
                <w:rFonts w:hint="eastAsia" w:ascii="仿宋" w:hAnsi="仿宋" w:eastAsia="仿宋" w:cs="仿宋"/>
                <w:iCs/>
                <w:sz w:val="21"/>
                <w:szCs w:val="21"/>
                <w:highlight w:val="none"/>
              </w:rPr>
            </w:pPr>
            <w:r>
              <w:rPr>
                <w:rStyle w:val="13"/>
                <w:rFonts w:hint="eastAsia" w:ascii="仿宋" w:hAnsi="仿宋" w:eastAsia="仿宋" w:cs="仿宋"/>
                <w:i w:val="0"/>
                <w:color w:val="auto"/>
                <w:spacing w:val="0"/>
                <w:sz w:val="21"/>
                <w:szCs w:val="21"/>
                <w:highlight w:val="none"/>
              </w:rPr>
              <w:t>评标</w:t>
            </w:r>
            <w:r>
              <w:rPr>
                <w:rStyle w:val="13"/>
                <w:rFonts w:hint="eastAsia" w:ascii="仿宋" w:hAnsi="仿宋" w:eastAsia="仿宋" w:cs="仿宋"/>
                <w:i w:val="0"/>
                <w:color w:val="auto"/>
                <w:spacing w:val="0"/>
                <w:sz w:val="21"/>
                <w:szCs w:val="21"/>
                <w:highlight w:val="none"/>
                <w:lang w:val="zh-TW"/>
              </w:rPr>
              <w:t>方法</w:t>
            </w:r>
          </w:p>
        </w:tc>
        <w:tc>
          <w:tcPr>
            <w:tcW w:w="6260" w:type="dxa"/>
            <w:tcBorders>
              <w:top w:val="single" w:color="auto" w:sz="4" w:space="0"/>
              <w:left w:val="single" w:color="auto" w:sz="4" w:space="0"/>
              <w:bottom w:val="single" w:color="auto" w:sz="4" w:space="0"/>
            </w:tcBorders>
            <w:shd w:val="clear" w:color="auto" w:fill="FFFFFF"/>
            <w:vAlign w:val="center"/>
          </w:tcPr>
          <w:p w14:paraId="648AF3E8">
            <w:pPr>
              <w:pStyle w:val="12"/>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rPr>
            </w:pPr>
            <w:r>
              <w:rPr>
                <w:rFonts w:hint="eastAsia" w:ascii="仿宋" w:hAnsi="仿宋" w:eastAsia="仿宋" w:cs="仿宋"/>
                <w:iCs/>
                <w:sz w:val="21"/>
                <w:szCs w:val="21"/>
                <w:highlight w:val="none"/>
              </w:rPr>
              <w:t>评标委员会对满足招标文件实质性要求的投标文件，按招标文件规定的评分标准进行打分，并按得分由高到低顺序推荐中标候选人，但投标报价低于其成本的除外</w:t>
            </w:r>
            <w:r>
              <w:rPr>
                <w:rFonts w:hint="eastAsia" w:ascii="仿宋" w:hAnsi="仿宋" w:eastAsia="仿宋" w:cs="仿宋"/>
                <w:iCs/>
                <w:sz w:val="21"/>
                <w:szCs w:val="21"/>
                <w:highlight w:val="none"/>
                <w:lang w:eastAsia="zh-CN"/>
              </w:rPr>
              <w:t>。</w:t>
            </w:r>
            <w:r>
              <w:rPr>
                <w:rFonts w:hint="eastAsia" w:ascii="仿宋" w:hAnsi="仿宋" w:eastAsia="仿宋" w:cs="仿宋"/>
                <w:iCs/>
                <w:sz w:val="21"/>
                <w:szCs w:val="21"/>
                <w:highlight w:val="none"/>
              </w:rPr>
              <w:t>综合得分相等时，评标委员会依次按以下优先顺序推荐中标候选人</w:t>
            </w:r>
            <w:r>
              <w:rPr>
                <w:rFonts w:hint="eastAsia" w:ascii="仿宋" w:hAnsi="仿宋" w:eastAsia="仿宋" w:cs="仿宋"/>
                <w:iCs/>
                <w:sz w:val="21"/>
                <w:szCs w:val="21"/>
                <w:highlight w:val="none"/>
                <w:lang w:val="en-US" w:eastAsia="zh-CN"/>
              </w:rPr>
              <w:t>或确定中标人</w:t>
            </w:r>
            <w:r>
              <w:rPr>
                <w:rFonts w:hint="eastAsia" w:ascii="仿宋" w:hAnsi="仿宋" w:eastAsia="仿宋" w:cs="仿宋"/>
                <w:iCs/>
                <w:sz w:val="21"/>
                <w:szCs w:val="21"/>
                <w:highlight w:val="none"/>
              </w:rPr>
              <w:t>：</w:t>
            </w:r>
          </w:p>
          <w:p w14:paraId="07045D9C">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rPr>
            </w:pPr>
            <w:r>
              <w:rPr>
                <w:rFonts w:hint="eastAsia" w:ascii="仿宋" w:hAnsi="仿宋" w:eastAsia="仿宋" w:cs="仿宋"/>
                <w:iCs/>
                <w:sz w:val="21"/>
                <w:szCs w:val="21"/>
                <w:highlight w:val="none"/>
              </w:rPr>
              <w:t>（1）评标价低的投标人优先；</w:t>
            </w:r>
          </w:p>
          <w:p w14:paraId="65E84A95">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rPr>
            </w:pPr>
            <w:r>
              <w:rPr>
                <w:rFonts w:hint="eastAsia" w:ascii="仿宋" w:hAnsi="仿宋" w:eastAsia="仿宋" w:cs="仿宋"/>
                <w:iCs/>
                <w:sz w:val="21"/>
                <w:szCs w:val="21"/>
                <w:highlight w:val="none"/>
              </w:rPr>
              <w:t>（2）根据陕西省交通运输厅《关于陕西省 2024 年度公路建</w:t>
            </w:r>
          </w:p>
          <w:p w14:paraId="06829D2C">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rPr>
            </w:pPr>
            <w:r>
              <w:rPr>
                <w:rFonts w:hint="eastAsia" w:ascii="仿宋" w:hAnsi="仿宋" w:eastAsia="仿宋" w:cs="仿宋"/>
                <w:iCs/>
                <w:sz w:val="21"/>
                <w:szCs w:val="21"/>
                <w:highlight w:val="none"/>
              </w:rPr>
              <w:t>设市场从业企业信用评价结果应用的通知》（陕交函〔2025〕639号），评为较高信用等级的投标人优先；</w:t>
            </w:r>
          </w:p>
          <w:p w14:paraId="7284A7ED">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rPr>
            </w:pPr>
            <w:r>
              <w:rPr>
                <w:rFonts w:hint="eastAsia" w:ascii="仿宋" w:hAnsi="仿宋" w:eastAsia="仿宋" w:cs="仿宋"/>
                <w:iCs/>
                <w:sz w:val="21"/>
                <w:szCs w:val="21"/>
                <w:highlight w:val="none"/>
              </w:rPr>
              <w:t>（3）技术建议书得分较高的投标人优先。</w:t>
            </w:r>
          </w:p>
        </w:tc>
      </w:tr>
      <w:tr w14:paraId="2E66707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90" w:hRule="atLeast"/>
        </w:trPr>
        <w:tc>
          <w:tcPr>
            <w:tcW w:w="1037" w:type="dxa"/>
            <w:tcBorders>
              <w:top w:val="single" w:color="auto" w:sz="4" w:space="0"/>
              <w:bottom w:val="single" w:color="auto" w:sz="4" w:space="0"/>
            </w:tcBorders>
            <w:shd w:val="clear" w:color="auto" w:fill="FFFFFF"/>
            <w:vAlign w:val="center"/>
          </w:tcPr>
          <w:p w14:paraId="180A720D">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098431CD">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64B48AC">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10F34E37">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61873240">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FC2B70A">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14ED745F">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129D63D6">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6434439F">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BFBF594">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F04058D">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27BBBE7">
            <w:pPr>
              <w:pStyle w:val="12"/>
              <w:shd w:val="clear" w:color="auto" w:fill="auto"/>
              <w:spacing w:before="0" w:after="0" w:line="360" w:lineRule="exact"/>
              <w:rPr>
                <w:rFonts w:hint="eastAsia" w:ascii="仿宋" w:hAnsi="仿宋" w:eastAsia="仿宋" w:cs="仿宋"/>
                <w:iCs/>
                <w:sz w:val="21"/>
                <w:szCs w:val="21"/>
                <w:highlight w:val="none"/>
              </w:rPr>
            </w:pPr>
            <w:r>
              <w:rPr>
                <w:rStyle w:val="13"/>
                <w:rFonts w:hint="eastAsia" w:ascii="仿宋" w:hAnsi="仿宋" w:eastAsia="仿宋" w:cs="仿宋"/>
                <w:i w:val="0"/>
                <w:color w:val="auto"/>
                <w:spacing w:val="0"/>
                <w:sz w:val="21"/>
                <w:szCs w:val="21"/>
                <w:highlight w:val="none"/>
              </w:rPr>
              <w:t>2.1.1</w:t>
            </w:r>
          </w:p>
          <w:p w14:paraId="5919AD54">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r>
              <w:rPr>
                <w:rStyle w:val="13"/>
                <w:rFonts w:hint="eastAsia" w:ascii="仿宋" w:hAnsi="仿宋" w:eastAsia="仿宋" w:cs="仿宋"/>
                <w:i w:val="0"/>
                <w:color w:val="auto"/>
                <w:spacing w:val="0"/>
                <w:sz w:val="21"/>
                <w:szCs w:val="21"/>
                <w:highlight w:val="none"/>
              </w:rPr>
              <w:t>2.1.3</w:t>
            </w:r>
          </w:p>
          <w:p w14:paraId="68F627F6">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521BEC53">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309B1BBF">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8511EB1">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E04BE01">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0E66AD4">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668CD66">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674F406">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1B1CCD06">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B49B23F">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71DA46E">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A35F20D">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6FA1B06">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6BA8EE92">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69848C95">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5ABD03D">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99C4930">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3098AD0">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5C061298">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E0A3AC8">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2B4E023">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D300FD2">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16ECDB1E">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32222807">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68D262B9">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95FB1F9">
            <w:pPr>
              <w:pStyle w:val="12"/>
              <w:shd w:val="clear" w:color="auto" w:fill="auto"/>
              <w:spacing w:before="0" w:after="0" w:line="360" w:lineRule="exact"/>
              <w:rPr>
                <w:rFonts w:hint="eastAsia" w:ascii="仿宋" w:hAnsi="仿宋" w:eastAsia="仿宋" w:cs="仿宋"/>
                <w:iCs/>
                <w:sz w:val="21"/>
                <w:szCs w:val="21"/>
                <w:highlight w:val="none"/>
              </w:rPr>
            </w:pPr>
            <w:r>
              <w:rPr>
                <w:rStyle w:val="13"/>
                <w:rFonts w:hint="eastAsia" w:ascii="仿宋" w:hAnsi="仿宋" w:eastAsia="仿宋" w:cs="仿宋"/>
                <w:i w:val="0"/>
                <w:color w:val="auto"/>
                <w:spacing w:val="0"/>
                <w:sz w:val="21"/>
                <w:szCs w:val="21"/>
                <w:highlight w:val="none"/>
              </w:rPr>
              <w:t>2.1.1</w:t>
            </w:r>
          </w:p>
          <w:p w14:paraId="5A7EB155">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r>
              <w:rPr>
                <w:rStyle w:val="13"/>
                <w:rFonts w:hint="eastAsia" w:ascii="仿宋" w:hAnsi="仿宋" w:eastAsia="仿宋" w:cs="仿宋"/>
                <w:i w:val="0"/>
                <w:color w:val="auto"/>
                <w:spacing w:val="0"/>
                <w:sz w:val="21"/>
                <w:szCs w:val="21"/>
                <w:highlight w:val="none"/>
              </w:rPr>
              <w:t>2.1.3</w:t>
            </w:r>
          </w:p>
          <w:p w14:paraId="6315C4E4">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5F05CDF8">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lang w:val="zh-TW" w:eastAsia="zh-CN"/>
              </w:rPr>
            </w:pPr>
          </w:p>
        </w:tc>
        <w:tc>
          <w:tcPr>
            <w:tcW w:w="1785" w:type="dxa"/>
            <w:tcBorders>
              <w:top w:val="single" w:color="auto" w:sz="4" w:space="0"/>
              <w:left w:val="single" w:color="auto" w:sz="4" w:space="0"/>
              <w:bottom w:val="single" w:color="auto" w:sz="4" w:space="0"/>
            </w:tcBorders>
            <w:shd w:val="clear" w:color="auto" w:fill="FFFFFF"/>
            <w:vAlign w:val="center"/>
          </w:tcPr>
          <w:p w14:paraId="0C5F9F84">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0C3EEB30">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050CF826">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00BBF919">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E918F80">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179F553C">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9E24012">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662C07F">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6B521955">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A7BF95D">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64A558A">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320A6770">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r>
              <w:rPr>
                <w:rStyle w:val="13"/>
                <w:rFonts w:hint="eastAsia" w:ascii="仿宋" w:hAnsi="仿宋" w:eastAsia="仿宋" w:cs="仿宋"/>
                <w:i w:val="0"/>
                <w:color w:val="auto"/>
                <w:spacing w:val="0"/>
                <w:sz w:val="21"/>
                <w:szCs w:val="21"/>
                <w:highlight w:val="none"/>
              </w:rPr>
              <w:t>形式评审与</w:t>
            </w:r>
          </w:p>
          <w:p w14:paraId="1B723978">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r>
              <w:rPr>
                <w:rStyle w:val="13"/>
                <w:rFonts w:hint="eastAsia" w:ascii="仿宋" w:hAnsi="仿宋" w:eastAsia="仿宋" w:cs="仿宋"/>
                <w:i w:val="0"/>
                <w:color w:val="auto"/>
                <w:spacing w:val="0"/>
                <w:sz w:val="21"/>
                <w:szCs w:val="21"/>
                <w:highlight w:val="none"/>
              </w:rPr>
              <w:t>响应性评审标准</w:t>
            </w:r>
          </w:p>
          <w:p w14:paraId="7AB7B4EC">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641FFF2">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00CBBC3">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5A1A37DC">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0D094F55">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5FE536CA">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A6FE206">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CC16C6A">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3C89CE3">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F3479BA">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FE4A3C5">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0C20E24A">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0FA3EFF4">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1E616834">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56AF5149">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E05A895">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0BAFB8BB">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AC3FB3B">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3D4677A">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3C9B35F9">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68772DB5">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AD6ADCE">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773AFAF3">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458D308B">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1872E489">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p>
          <w:p w14:paraId="2AC531AE">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r>
              <w:rPr>
                <w:rStyle w:val="13"/>
                <w:rFonts w:hint="eastAsia" w:ascii="仿宋" w:hAnsi="仿宋" w:eastAsia="仿宋" w:cs="仿宋"/>
                <w:i w:val="0"/>
                <w:color w:val="auto"/>
                <w:spacing w:val="0"/>
                <w:sz w:val="21"/>
                <w:szCs w:val="21"/>
                <w:highlight w:val="none"/>
              </w:rPr>
              <w:t>形式评审与</w:t>
            </w:r>
          </w:p>
          <w:p w14:paraId="62C8EC06">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lang w:val="en-US" w:eastAsia="zh-CN"/>
              </w:rPr>
            </w:pPr>
            <w:r>
              <w:rPr>
                <w:rStyle w:val="13"/>
                <w:rFonts w:hint="eastAsia" w:ascii="仿宋" w:hAnsi="仿宋" w:eastAsia="仿宋" w:cs="仿宋"/>
                <w:i w:val="0"/>
                <w:color w:val="auto"/>
                <w:spacing w:val="0"/>
                <w:sz w:val="21"/>
                <w:szCs w:val="21"/>
                <w:highlight w:val="none"/>
              </w:rPr>
              <w:t>响应性评审标准</w:t>
            </w:r>
          </w:p>
        </w:tc>
        <w:tc>
          <w:tcPr>
            <w:tcW w:w="6260" w:type="dxa"/>
            <w:tcBorders>
              <w:top w:val="single" w:color="auto" w:sz="4" w:space="0"/>
              <w:left w:val="single" w:color="auto" w:sz="4" w:space="0"/>
              <w:bottom w:val="single" w:color="auto" w:sz="4" w:space="0"/>
            </w:tcBorders>
            <w:shd w:val="clear" w:color="auto" w:fill="FFFFFF"/>
            <w:vAlign w:val="center"/>
          </w:tcPr>
          <w:p w14:paraId="108A2162">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第一个信封（商务及技术文件）评审标准：</w:t>
            </w:r>
          </w:p>
          <w:p w14:paraId="2436C2E5">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（1）投标文件按照招标文件规定的格式、内容填写，字迹清晰 可辨：</w:t>
            </w:r>
          </w:p>
          <w:p w14:paraId="70851ABB">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a.投标函按招标文件规定填报了项目名称、标段号、补遗书编 号（如有)、服务期限、质量要求及安全目标；</w:t>
            </w:r>
          </w:p>
          <w:p w14:paraId="5273E4B3">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b.投标文件组成齐全完整，提供的相关资料符合招标文件规 定， 内容均按规定填写。</w:t>
            </w:r>
          </w:p>
          <w:p w14:paraId="1E684A7C">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（2）投标文件上法定代表人或其委托代理人的签字、投标人的 单位章盖章齐全，符合招标文件规定。</w:t>
            </w:r>
          </w:p>
          <w:p w14:paraId="42D898A3">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（3）投标人按照招标文件的规定提供了投标保证金：</w:t>
            </w:r>
          </w:p>
          <w:p w14:paraId="26D76901">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a.投标保证金金额符合招标文件规定的金额，且投标保证金有 效期不少于投标有效期；</w:t>
            </w:r>
          </w:p>
          <w:p w14:paraId="33007C42">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b.若投标保证金采用现金或支票形式提交，投标人应在递交投 标文件截止时间之前，将投标保证金由投标人的基本账户转入招标 人指定账户；</w:t>
            </w:r>
          </w:p>
          <w:p w14:paraId="64873710">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c.若投标保证金采用银行保函形式提交，银行保函的格式、开 具保函的银行均满足招标文件要求，且在递交投标文件截止时间之 前向招标人提交了银行保函原件。</w:t>
            </w:r>
          </w:p>
          <w:p w14:paraId="7EB1B895">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（4）投标人法定代表人授权委托代理人签署投标文件的，须提 交授权委托书，且授权人和被授权人均在授权委托书上签名，未使 用印章、签名章或其他电子制版签名代替。</w:t>
            </w:r>
          </w:p>
          <w:p w14:paraId="21178787">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（5）投标人法定代表人亲自签署投标文件的，提供了法定代 表人身份证明，且法定代表人在法定代表人身份证明上签名，未使用印章、签名章或其他电子制版签名代替。</w:t>
            </w:r>
          </w:p>
          <w:p w14:paraId="177C9A89">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（6）投标人以联合体投标时，联合体满足招标文件的要求： a.投标人按照招标文件提供的格式签订了联合体协议书，明确各方承担连带责任 ，并明确了联合体牵头人，且联合体的组成符合招标文件规定； b.联合体各方分别按照招标文件要求，填写投标文件中的相应表格</w:t>
            </w:r>
          </w:p>
          <w:p w14:paraId="517F6B50">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（7）同一投标人未提交两个以上不同的投标文件，但招标文件要求提交备选投标的除外。</w:t>
            </w:r>
          </w:p>
          <w:p w14:paraId="372E277F">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（8）投标文件中未出现有关投标报价的内容。</w:t>
            </w:r>
          </w:p>
          <w:p w14:paraId="3BD4BB76">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（9）投标文件载明的招标项目完成期限未超过招标文件规定 的时限。</w:t>
            </w:r>
          </w:p>
          <w:p w14:paraId="5035436D">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 xml:space="preserve">（10）投标文件对招标文件的实质性要求和条件作出响应。 </w:t>
            </w:r>
          </w:p>
          <w:p w14:paraId="1EC16647">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（11）权利义务符合招标文件规定：</w:t>
            </w:r>
          </w:p>
          <w:p w14:paraId="1152D46A">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a.投标人应接受招标文件规定的风险划分原则，未提出新的风 险划分办法；</w:t>
            </w:r>
          </w:p>
          <w:p w14:paraId="0939152F">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 xml:space="preserve">b.投标人未增加发包人的责任范围，或减少投标人义务； </w:t>
            </w:r>
          </w:p>
          <w:p w14:paraId="6CAC61F5">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c.投标人未提出不同的支付办法；</w:t>
            </w:r>
          </w:p>
          <w:p w14:paraId="4F947911">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d.投标人对合同纠纷、事故处理办法未提出异议； e.投标人在投标活动中无欺诈行为；</w:t>
            </w:r>
          </w:p>
          <w:p w14:paraId="26F62FC1">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f.投标人未对合同条款有重要保留。</w:t>
            </w:r>
          </w:p>
          <w:p w14:paraId="460E29A2">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（12）投标文件正本份数符合招标文件第二章“投标人须知”第3.7.4项规定（若采用纸质文件评标）。</w:t>
            </w:r>
          </w:p>
          <w:p w14:paraId="261F1ED0">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（13）投标文件封套、投标函标明的标段、单位名称及内容一致（若采用纸质文件评标）。</w:t>
            </w:r>
          </w:p>
          <w:p w14:paraId="1FCEE191">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（14）不同投标人的投标文件未相互混装（若采用纸质文件评标）。</w:t>
            </w:r>
          </w:p>
          <w:p w14:paraId="479C5A6C">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第二个信封（报价文件）评审标准：</w:t>
            </w:r>
          </w:p>
          <w:p w14:paraId="07A99CCB">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（1）投标文件按照招标文件规定的格式、内容填写，字迹清晰可辨，内容齐全完整：</w:t>
            </w:r>
          </w:p>
          <w:p w14:paraId="2875E998">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a.投标函按招标文件规定填报了项目名称、标段号、补遗书编号（如 有)、投标价（包括大写金额和小写金额)；</w:t>
            </w:r>
          </w:p>
          <w:p w14:paraId="27D50F0E">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b.已标价报价清单说明文字与招标文件规定一致，未进行实质性修改和删减；</w:t>
            </w:r>
          </w:p>
          <w:p w14:paraId="4A37177E">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c.投标文件组成齐全完整，提供的相关资料符合招标文件规 定， 内容均按规定填写 ；</w:t>
            </w:r>
          </w:p>
          <w:p w14:paraId="2BD88177">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d.不同投标人的投标文件未互相混装 ；</w:t>
            </w:r>
          </w:p>
          <w:p w14:paraId="2B20FC0E">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e.各层套封、投标函注明标段号一致 ；</w:t>
            </w:r>
          </w:p>
          <w:p w14:paraId="1949A853">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f.外层封套标注的信息与内装文件一致。</w:t>
            </w:r>
          </w:p>
          <w:p w14:paraId="752114D9">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（2）投标文件上法定代表人或其委托代理人的签字、投标人的单位章盖章齐全，符合招标文件规定。</w:t>
            </w:r>
          </w:p>
          <w:p w14:paraId="1F1CC3D7">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 xml:space="preserve">（3）投标报价未超过招标文件设定的最高投标限价。 </w:t>
            </w:r>
          </w:p>
          <w:p w14:paraId="66051C09">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（4）投标报价的大写金额能够确定具体数值。</w:t>
            </w:r>
          </w:p>
          <w:p w14:paraId="4338D120">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（5）同一投标人未提交两个以上不同的投标报价。</w:t>
            </w:r>
          </w:p>
          <w:p w14:paraId="07D24200">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（6）投标文件正本份数符合招标文件第二章“投标人须知”第3.7.4项规定（若采用纸质文件评标）。</w:t>
            </w:r>
          </w:p>
          <w:p w14:paraId="228C41DA">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（7）投标文件封套、投标函标明的标段号、单位名称及内容一致（若采用纸质文件评标）。</w:t>
            </w:r>
          </w:p>
          <w:p w14:paraId="60795B77">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6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（8）不同投标人的投标文件未相互混装（若采用纸质文件评标）。</w:t>
            </w:r>
          </w:p>
        </w:tc>
      </w:tr>
      <w:tr w14:paraId="5C1B99E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3197" w:hRule="atLeast"/>
        </w:trPr>
        <w:tc>
          <w:tcPr>
            <w:tcW w:w="1037" w:type="dxa"/>
            <w:tcBorders>
              <w:top w:val="single" w:color="auto" w:sz="4" w:space="0"/>
              <w:bottom w:val="single" w:color="auto" w:sz="4" w:space="0"/>
            </w:tcBorders>
            <w:shd w:val="clear" w:color="auto" w:fill="FFFFFF"/>
            <w:vAlign w:val="center"/>
          </w:tcPr>
          <w:p w14:paraId="04AFEC09">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lang w:val="en-US" w:eastAsia="zh-CN"/>
              </w:rPr>
            </w:pPr>
            <w:r>
              <w:rPr>
                <w:rStyle w:val="13"/>
                <w:rFonts w:hint="eastAsia" w:ascii="仿宋" w:hAnsi="仿宋" w:eastAsia="仿宋" w:cs="仿宋"/>
                <w:i w:val="0"/>
                <w:color w:val="auto"/>
                <w:spacing w:val="0"/>
                <w:sz w:val="21"/>
                <w:szCs w:val="21"/>
                <w:highlight w:val="none"/>
                <w:lang w:val="en-US" w:eastAsia="zh-CN"/>
              </w:rPr>
              <w:t>2.1.2</w:t>
            </w:r>
          </w:p>
        </w:tc>
        <w:tc>
          <w:tcPr>
            <w:tcW w:w="1785" w:type="dxa"/>
            <w:tcBorders>
              <w:top w:val="single" w:color="auto" w:sz="4" w:space="0"/>
              <w:left w:val="single" w:color="auto" w:sz="4" w:space="0"/>
              <w:bottom w:val="single" w:color="auto" w:sz="4" w:space="0"/>
            </w:tcBorders>
            <w:shd w:val="clear" w:color="auto" w:fill="FFFFFF"/>
            <w:vAlign w:val="center"/>
          </w:tcPr>
          <w:p w14:paraId="56E16CD2">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rPr>
            </w:pPr>
            <w:r>
              <w:rPr>
                <w:rStyle w:val="13"/>
                <w:rFonts w:hint="eastAsia" w:ascii="仿宋" w:hAnsi="仿宋" w:eastAsia="仿宋" w:cs="仿宋"/>
                <w:i w:val="0"/>
                <w:color w:val="auto"/>
                <w:spacing w:val="0"/>
                <w:sz w:val="21"/>
                <w:szCs w:val="21"/>
                <w:highlight w:val="none"/>
                <w:lang w:val="en-US" w:eastAsia="zh-CN"/>
              </w:rPr>
              <w:t>资格评审标准</w:t>
            </w:r>
          </w:p>
        </w:tc>
        <w:tc>
          <w:tcPr>
            <w:tcW w:w="6260" w:type="dxa"/>
            <w:tcBorders>
              <w:top w:val="single" w:color="auto" w:sz="4" w:space="0"/>
              <w:left w:val="single" w:color="auto" w:sz="4" w:space="0"/>
              <w:bottom w:val="single" w:color="auto" w:sz="4" w:space="0"/>
            </w:tcBorders>
            <w:shd w:val="clear" w:color="auto" w:fill="FFFFFF"/>
            <w:vAlign w:val="center"/>
          </w:tcPr>
          <w:p w14:paraId="5F658FAB">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（1）投标人具备有效的营业执照、组织机构代码证、勘察资质证书（如有）、设计资质证书（如有）和基本账户开户许可证（或基本存款账户信息单）。</w:t>
            </w:r>
          </w:p>
          <w:p w14:paraId="7C4A5156">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（2）投标人的资质等级符合招标文件规定。</w:t>
            </w:r>
          </w:p>
          <w:p w14:paraId="580BE3CE">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（3）投标人的类似项目业绩符合招标文件规定。</w:t>
            </w:r>
          </w:p>
          <w:p w14:paraId="61B44A46">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（4）投标人的信誉符合招标文件规定。</w:t>
            </w:r>
          </w:p>
          <w:p w14:paraId="1F2BDF38">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（5）投标人的项目负责人资格符合招标文件规定。</w:t>
            </w:r>
          </w:p>
          <w:p w14:paraId="0CD7A7F7">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（6）投标人的其他要求符合招标文件规定。</w:t>
            </w:r>
          </w:p>
          <w:p w14:paraId="57A528CC">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（7）投标人不存在第二章“ 投标人须知”第 1.4.3 项或第 1.4.4 项规定的任何一种情形。</w:t>
            </w:r>
          </w:p>
          <w:p w14:paraId="1867E848">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320" w:lineRule="exact"/>
              <w:ind w:right="82" w:rightChars="39" w:firstLine="420" w:firstLineChars="200"/>
              <w:jc w:val="both"/>
              <w:textAlignment w:val="auto"/>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（8）投标人符合第二章“投标人须知”第 1.4.5 项规定。</w:t>
            </w:r>
          </w:p>
        </w:tc>
      </w:tr>
      <w:tr w14:paraId="4D9F926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3642" w:hRule="atLeast"/>
        </w:trPr>
        <w:tc>
          <w:tcPr>
            <w:tcW w:w="1037" w:type="dxa"/>
            <w:tcBorders>
              <w:top w:val="single" w:color="auto" w:sz="4" w:space="0"/>
              <w:bottom w:val="single" w:color="auto" w:sz="4" w:space="0"/>
            </w:tcBorders>
            <w:shd w:val="clear" w:color="auto" w:fill="FFFFFF"/>
            <w:vAlign w:val="center"/>
          </w:tcPr>
          <w:p w14:paraId="53425D4C">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lang w:val="en-US" w:eastAsia="zh-CN"/>
              </w:rPr>
            </w:pPr>
            <w:r>
              <w:rPr>
                <w:rStyle w:val="13"/>
                <w:rFonts w:hint="eastAsia" w:ascii="仿宋" w:hAnsi="仿宋" w:eastAsia="仿宋" w:cs="仿宋"/>
                <w:i w:val="0"/>
                <w:color w:val="auto"/>
                <w:spacing w:val="0"/>
                <w:sz w:val="21"/>
                <w:szCs w:val="21"/>
                <w:highlight w:val="none"/>
                <w:lang w:val="en-US" w:eastAsia="zh-CN"/>
              </w:rPr>
              <w:t>2.2.1</w:t>
            </w:r>
          </w:p>
        </w:tc>
        <w:tc>
          <w:tcPr>
            <w:tcW w:w="1785" w:type="dxa"/>
            <w:tcBorders>
              <w:top w:val="single" w:color="auto" w:sz="4" w:space="0"/>
              <w:left w:val="single" w:color="auto" w:sz="4" w:space="0"/>
              <w:bottom w:val="single" w:color="auto" w:sz="4" w:space="0"/>
            </w:tcBorders>
            <w:shd w:val="clear" w:color="auto" w:fill="FFFFFF"/>
            <w:vAlign w:val="center"/>
          </w:tcPr>
          <w:p w14:paraId="20722A09">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lang w:val="en-US" w:eastAsia="zh-CN"/>
              </w:rPr>
            </w:pPr>
            <w:r>
              <w:rPr>
                <w:rStyle w:val="13"/>
                <w:rFonts w:hint="eastAsia" w:ascii="仿宋" w:hAnsi="仿宋" w:eastAsia="仿宋" w:cs="仿宋"/>
                <w:i w:val="0"/>
                <w:color w:val="auto"/>
                <w:spacing w:val="0"/>
                <w:sz w:val="21"/>
                <w:szCs w:val="21"/>
                <w:highlight w:val="none"/>
                <w:lang w:val="en-US" w:eastAsia="zh-CN"/>
              </w:rPr>
              <w:t xml:space="preserve">分值构成 </w:t>
            </w:r>
          </w:p>
          <w:p w14:paraId="00D7F382">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lang w:val="en-US" w:eastAsia="zh-CN"/>
              </w:rPr>
            </w:pPr>
            <w:r>
              <w:rPr>
                <w:rStyle w:val="13"/>
                <w:rFonts w:hint="eastAsia" w:ascii="仿宋" w:hAnsi="仿宋" w:eastAsia="仿宋" w:cs="仿宋"/>
                <w:i w:val="0"/>
                <w:color w:val="auto"/>
                <w:spacing w:val="0"/>
                <w:sz w:val="21"/>
                <w:szCs w:val="21"/>
                <w:highlight w:val="none"/>
                <w:lang w:val="en-US" w:eastAsia="zh-CN"/>
              </w:rPr>
              <w:t>（总分 100 分）</w:t>
            </w:r>
          </w:p>
        </w:tc>
        <w:tc>
          <w:tcPr>
            <w:tcW w:w="6260" w:type="dxa"/>
            <w:tcBorders>
              <w:top w:val="single" w:color="auto" w:sz="4" w:space="0"/>
              <w:left w:val="single" w:color="auto" w:sz="4" w:space="0"/>
              <w:bottom w:val="single" w:color="auto" w:sz="4" w:space="0"/>
            </w:tcBorders>
            <w:shd w:val="clear" w:color="auto" w:fill="FFFFFF"/>
            <w:vAlign w:val="center"/>
          </w:tcPr>
          <w:p w14:paraId="205E4263">
            <w:pPr>
              <w:pStyle w:val="12"/>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（1）第一个信封（商务及技术文件）评分分值构成</w:t>
            </w:r>
          </w:p>
          <w:p w14:paraId="1C40C6F8">
            <w:pPr>
              <w:pStyle w:val="12"/>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①技术建议书：45分</w:t>
            </w:r>
          </w:p>
          <w:p w14:paraId="7DE5D996">
            <w:pPr>
              <w:pStyle w:val="12"/>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②主要人员：20分</w:t>
            </w:r>
          </w:p>
          <w:p w14:paraId="73CEA132">
            <w:pPr>
              <w:pStyle w:val="12"/>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③业绩：20分</w:t>
            </w:r>
          </w:p>
          <w:p w14:paraId="3E84ECD3">
            <w:pPr>
              <w:pStyle w:val="12"/>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④履约信誉：5分</w:t>
            </w:r>
          </w:p>
          <w:p w14:paraId="08306308">
            <w:pPr>
              <w:pStyle w:val="12"/>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投标人的商务和技术得分为上述四项得分之和</w:t>
            </w:r>
          </w:p>
          <w:p w14:paraId="79712189">
            <w:pPr>
              <w:pStyle w:val="12"/>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（2）第二个信封（报价文件）评分分值构成</w:t>
            </w:r>
          </w:p>
          <w:p w14:paraId="36243450">
            <w:pPr>
              <w:pStyle w:val="12"/>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⑤评标价：10分</w:t>
            </w:r>
          </w:p>
          <w:p w14:paraId="387DAA14">
            <w:pPr>
              <w:pStyle w:val="12"/>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（3）综合得分</w:t>
            </w:r>
          </w:p>
          <w:p w14:paraId="389D4208">
            <w:pPr>
              <w:pStyle w:val="12"/>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综合得分=投标人的商务和技术得分+评标价得分</w:t>
            </w:r>
          </w:p>
        </w:tc>
      </w:tr>
      <w:tr w14:paraId="66EF9A0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4384" w:hRule="atLeast"/>
        </w:trPr>
        <w:tc>
          <w:tcPr>
            <w:tcW w:w="1037" w:type="dxa"/>
            <w:tcBorders>
              <w:top w:val="single" w:color="auto" w:sz="4" w:space="0"/>
              <w:bottom w:val="single" w:color="auto" w:sz="4" w:space="0"/>
            </w:tcBorders>
            <w:shd w:val="clear" w:color="auto" w:fill="FFFFFF"/>
            <w:vAlign w:val="center"/>
          </w:tcPr>
          <w:p w14:paraId="1FE6BBE1">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lang w:val="en-US" w:eastAsia="zh-CN"/>
              </w:rPr>
            </w:pPr>
            <w:r>
              <w:rPr>
                <w:rStyle w:val="13"/>
                <w:rFonts w:hint="eastAsia" w:ascii="仿宋" w:hAnsi="仿宋" w:eastAsia="仿宋" w:cs="仿宋"/>
                <w:i w:val="0"/>
                <w:color w:val="auto"/>
                <w:spacing w:val="0"/>
                <w:sz w:val="21"/>
                <w:szCs w:val="21"/>
                <w:highlight w:val="none"/>
                <w:lang w:val="en-US" w:eastAsia="zh-CN"/>
              </w:rPr>
              <w:t>2.2.2</w:t>
            </w:r>
          </w:p>
        </w:tc>
        <w:tc>
          <w:tcPr>
            <w:tcW w:w="1785" w:type="dxa"/>
            <w:tcBorders>
              <w:top w:val="single" w:color="auto" w:sz="4" w:space="0"/>
              <w:left w:val="single" w:color="auto" w:sz="4" w:space="0"/>
              <w:bottom w:val="single" w:color="auto" w:sz="4" w:space="0"/>
            </w:tcBorders>
            <w:shd w:val="clear" w:color="auto" w:fill="FFFFFF"/>
            <w:vAlign w:val="center"/>
          </w:tcPr>
          <w:p w14:paraId="639A059E">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lang w:val="en-US" w:eastAsia="zh-CN"/>
              </w:rPr>
            </w:pPr>
            <w:r>
              <w:rPr>
                <w:rStyle w:val="13"/>
                <w:rFonts w:hint="eastAsia" w:ascii="仿宋" w:hAnsi="仿宋" w:eastAsia="仿宋" w:cs="仿宋"/>
                <w:i w:val="0"/>
                <w:color w:val="auto"/>
                <w:spacing w:val="0"/>
                <w:sz w:val="21"/>
                <w:szCs w:val="21"/>
                <w:highlight w:val="none"/>
                <w:lang w:val="en-US" w:eastAsia="zh-CN"/>
              </w:rPr>
              <w:t>评标基准价</w:t>
            </w:r>
          </w:p>
          <w:p w14:paraId="2D560179">
            <w:pPr>
              <w:pStyle w:val="12"/>
              <w:shd w:val="clear" w:color="auto" w:fill="auto"/>
              <w:spacing w:before="0" w:after="0" w:line="360" w:lineRule="exact"/>
              <w:rPr>
                <w:rStyle w:val="13"/>
                <w:rFonts w:hint="eastAsia" w:ascii="仿宋" w:hAnsi="仿宋" w:eastAsia="仿宋" w:cs="仿宋"/>
                <w:i w:val="0"/>
                <w:color w:val="auto"/>
                <w:spacing w:val="0"/>
                <w:sz w:val="21"/>
                <w:szCs w:val="21"/>
                <w:highlight w:val="none"/>
                <w:lang w:val="en-US" w:eastAsia="zh-CN"/>
              </w:rPr>
            </w:pPr>
            <w:r>
              <w:rPr>
                <w:rStyle w:val="13"/>
                <w:rFonts w:hint="eastAsia" w:ascii="仿宋" w:hAnsi="仿宋" w:eastAsia="仿宋" w:cs="仿宋"/>
                <w:i w:val="0"/>
                <w:color w:val="auto"/>
                <w:spacing w:val="0"/>
                <w:sz w:val="21"/>
                <w:szCs w:val="21"/>
                <w:highlight w:val="none"/>
                <w:lang w:val="en-US" w:eastAsia="zh-CN"/>
              </w:rPr>
              <w:t>计算方法</w:t>
            </w:r>
          </w:p>
        </w:tc>
        <w:tc>
          <w:tcPr>
            <w:tcW w:w="6260" w:type="dxa"/>
            <w:tcBorders>
              <w:top w:val="single" w:color="auto" w:sz="4" w:space="0"/>
              <w:left w:val="single" w:color="auto" w:sz="4" w:space="0"/>
              <w:bottom w:val="single" w:color="auto" w:sz="4" w:space="0"/>
            </w:tcBorders>
            <w:shd w:val="clear" w:color="auto" w:fill="FFFFFF"/>
            <w:vAlign w:val="center"/>
          </w:tcPr>
          <w:p w14:paraId="3C5076F0">
            <w:pPr>
              <w:pStyle w:val="12"/>
              <w:numPr>
                <w:ilvl w:val="0"/>
                <w:numId w:val="1"/>
              </w:numPr>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评标价的确定：评标价=投标函文字报价</w:t>
            </w:r>
          </w:p>
          <w:p w14:paraId="2479D84D">
            <w:pPr>
              <w:pStyle w:val="12"/>
              <w:numPr>
                <w:ilvl w:val="0"/>
                <w:numId w:val="1"/>
              </w:numPr>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有效评标价：除在开标现场被宣布为不进入评标基准价计算的投标报价之外，剩余所有投标人的评标价均为有效评标价。</w:t>
            </w:r>
          </w:p>
          <w:p w14:paraId="2225ED2A">
            <w:pPr>
              <w:pStyle w:val="12"/>
              <w:numPr>
                <w:ilvl w:val="0"/>
                <w:numId w:val="1"/>
              </w:numPr>
              <w:shd w:val="clear" w:color="auto" w:fill="auto"/>
              <w:spacing w:before="0" w:after="0" w:line="360" w:lineRule="exact"/>
              <w:ind w:right="82" w:rightChars="39" w:firstLine="420" w:firstLineChars="2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评标基准价的确定：</w:t>
            </w:r>
          </w:p>
          <w:p w14:paraId="401C57C7">
            <w:pPr>
              <w:pStyle w:val="12"/>
              <w:numPr>
                <w:ilvl w:val="0"/>
                <w:numId w:val="0"/>
              </w:numPr>
              <w:shd w:val="clear" w:color="auto" w:fill="auto"/>
              <w:spacing w:before="0" w:after="0" w:line="360" w:lineRule="exact"/>
              <w:ind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有效评标价去掉n1个最高评标价和n2个最低评标价后平均值直接作为评标基准价P。</w:t>
            </w:r>
          </w:p>
          <w:p w14:paraId="61C83A32">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object>
                <v:shape id="_x0000_i1025" o:spt="75" type="#_x0000_t75" style="height:38.25pt;width:189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14:paraId="1FBC5E97">
            <w:pPr>
              <w:pStyle w:val="12"/>
              <w:numPr>
                <w:ilvl w:val="0"/>
                <w:numId w:val="0"/>
              </w:numPr>
              <w:shd w:val="clear" w:color="auto" w:fill="auto"/>
              <w:spacing w:before="0" w:after="0" w:line="360" w:lineRule="exact"/>
              <w:ind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式中：N为有效评标价的个数；</w:t>
            </w:r>
          </w:p>
          <w:p w14:paraId="6BAF209E">
            <w:pPr>
              <w:pStyle w:val="12"/>
              <w:numPr>
                <w:ilvl w:val="0"/>
                <w:numId w:val="0"/>
              </w:numPr>
              <w:shd w:val="clear" w:color="auto" w:fill="auto"/>
              <w:spacing w:before="0" w:after="0" w:line="360" w:lineRule="exact"/>
              <w:ind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n1、n2的取值：</w:t>
            </w:r>
          </w:p>
          <w:p w14:paraId="0D2F916A">
            <w:pPr>
              <w:pStyle w:val="12"/>
              <w:numPr>
                <w:ilvl w:val="0"/>
                <w:numId w:val="0"/>
              </w:numPr>
              <w:shd w:val="clear" w:color="auto" w:fill="auto"/>
              <w:spacing w:before="0" w:after="0" w:line="360" w:lineRule="exact"/>
              <w:ind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当N＜6时，n1、n2均取0；</w:t>
            </w:r>
          </w:p>
          <w:p w14:paraId="496ACE76">
            <w:pPr>
              <w:pStyle w:val="12"/>
              <w:numPr>
                <w:ilvl w:val="0"/>
                <w:numId w:val="0"/>
              </w:numPr>
              <w:shd w:val="clear" w:color="auto" w:fill="auto"/>
              <w:spacing w:before="0" w:after="0" w:line="360" w:lineRule="exact"/>
              <w:ind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iCs/>
                <w:sz w:val="21"/>
                <w:szCs w:val="21"/>
                <w:highlight w:val="none"/>
                <w:lang w:val="en-US" w:eastAsia="zh-CN"/>
              </w:rPr>
              <w:t>当N≥6时，n1、n2均取1。</w:t>
            </w:r>
          </w:p>
        </w:tc>
      </w:tr>
      <w:tr w14:paraId="6BA416A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580" w:hRule="atLeast"/>
        </w:trPr>
        <w:tc>
          <w:tcPr>
            <w:tcW w:w="9082" w:type="dxa"/>
            <w:gridSpan w:val="3"/>
            <w:tcBorders>
              <w:top w:val="single" w:color="auto" w:sz="4" w:space="0"/>
              <w:bottom w:val="single" w:color="auto" w:sz="4" w:space="0"/>
            </w:tcBorders>
            <w:shd w:val="clear" w:color="auto" w:fill="FFFFFF"/>
            <w:vAlign w:val="center"/>
          </w:tcPr>
          <w:p w14:paraId="0580FBDB">
            <w:pPr>
              <w:pStyle w:val="12"/>
              <w:numPr>
                <w:ilvl w:val="0"/>
                <w:numId w:val="0"/>
              </w:numPr>
              <w:shd w:val="clear" w:color="auto" w:fill="auto"/>
              <w:spacing w:before="0" w:after="0" w:line="360" w:lineRule="exact"/>
              <w:ind w:left="0" w:leftChars="0" w:right="82" w:rightChars="39" w:firstLine="630" w:firstLineChars="300"/>
              <w:jc w:val="both"/>
              <w:rPr>
                <w:rFonts w:hint="eastAsia" w:ascii="仿宋" w:hAnsi="仿宋" w:eastAsia="仿宋" w:cs="仿宋"/>
                <w:iCs/>
                <w:sz w:val="21"/>
                <w:szCs w:val="21"/>
                <w:highlight w:val="none"/>
                <w:lang w:val="en-US" w:eastAsia="zh-CN"/>
              </w:rPr>
            </w:pPr>
            <w:r>
              <w:rPr>
                <w:rFonts w:hint="eastAsia" w:ascii="仿宋" w:hAnsi="仿宋" w:eastAsia="仿宋" w:cs="仿宋"/>
                <w:color w:val="000000"/>
                <w:kern w:val="0"/>
                <w:sz w:val="21"/>
                <w:szCs w:val="21"/>
                <w:highlight w:val="none"/>
                <w:lang w:val="en-US" w:eastAsia="zh-CN" w:bidi="ar"/>
              </w:rPr>
              <w:t>需补充的其他内容</w:t>
            </w:r>
          </w:p>
        </w:tc>
      </w:tr>
      <w:tr w14:paraId="10706F3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4384" w:hRule="atLeast"/>
        </w:trPr>
        <w:tc>
          <w:tcPr>
            <w:tcW w:w="1037" w:type="dxa"/>
            <w:tcBorders>
              <w:top w:val="single" w:color="auto" w:sz="4" w:space="0"/>
            </w:tcBorders>
            <w:shd w:val="clear" w:color="auto" w:fill="FFFFFF"/>
            <w:vAlign w:val="center"/>
          </w:tcPr>
          <w:p w14:paraId="4CD379CF">
            <w:pPr>
              <w:keepNext w:val="0"/>
              <w:keepLines w:val="0"/>
              <w:widowControl/>
              <w:suppressLineNumbers w:val="0"/>
              <w:jc w:val="left"/>
              <w:rPr>
                <w:rStyle w:val="13"/>
                <w:rFonts w:hint="eastAsia" w:ascii="仿宋" w:hAnsi="仿宋" w:eastAsia="仿宋" w:cs="仿宋"/>
                <w:i w:val="0"/>
                <w:iCs w:val="0"/>
                <w:color w:val="auto"/>
                <w:spacing w:val="0"/>
                <w:kern w:val="2"/>
                <w:sz w:val="21"/>
                <w:szCs w:val="21"/>
                <w:highlight w:val="none"/>
                <w:lang w:val="en-US" w:eastAsia="zh-CN" w:bidi="ar-SA"/>
              </w:rPr>
            </w:pPr>
            <w:r>
              <w:rPr>
                <w:rStyle w:val="13"/>
                <w:rFonts w:hint="eastAsia" w:ascii="仿宋" w:hAnsi="仿宋" w:eastAsia="仿宋" w:cs="仿宋"/>
                <w:i w:val="0"/>
                <w:iCs w:val="0"/>
                <w:color w:val="auto"/>
                <w:spacing w:val="0"/>
                <w:kern w:val="2"/>
                <w:sz w:val="21"/>
                <w:szCs w:val="21"/>
                <w:highlight w:val="none"/>
                <w:lang w:val="en-US" w:eastAsia="zh-CN" w:bidi="ar-SA"/>
              </w:rPr>
              <w:t>增加 4.1</w:t>
            </w:r>
          </w:p>
          <w:p w14:paraId="5A129FAA">
            <w:pPr>
              <w:pStyle w:val="12"/>
              <w:shd w:val="clear" w:color="auto"/>
              <w:spacing w:before="0" w:after="0" w:line="360" w:lineRule="exact"/>
              <w:rPr>
                <w:rStyle w:val="13"/>
                <w:rFonts w:hint="eastAsia" w:ascii="仿宋" w:hAnsi="仿宋" w:eastAsia="仿宋" w:cs="仿宋"/>
                <w:i w:val="0"/>
                <w:color w:val="auto"/>
                <w:spacing w:val="0"/>
                <w:sz w:val="21"/>
                <w:szCs w:val="21"/>
                <w:highlight w:val="none"/>
                <w:lang w:val="en-US" w:eastAsia="zh-CN"/>
              </w:rPr>
            </w:pPr>
          </w:p>
        </w:tc>
        <w:tc>
          <w:tcPr>
            <w:tcW w:w="1785" w:type="dxa"/>
            <w:tcBorders>
              <w:top w:val="single" w:color="auto" w:sz="4" w:space="0"/>
              <w:left w:val="single" w:color="auto" w:sz="4" w:space="0"/>
            </w:tcBorders>
            <w:shd w:val="clear" w:color="auto" w:fill="FFFFFF"/>
            <w:vAlign w:val="center"/>
          </w:tcPr>
          <w:p w14:paraId="6ECC938C">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评标报告应载明 </w:t>
            </w:r>
          </w:p>
          <w:p w14:paraId="35E94FE5">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的内容</w:t>
            </w:r>
          </w:p>
          <w:p w14:paraId="26A335AF">
            <w:pPr>
              <w:pStyle w:val="12"/>
              <w:shd w:val="clear" w:color="auto"/>
              <w:spacing w:before="0" w:after="0" w:line="360" w:lineRule="exact"/>
              <w:rPr>
                <w:rStyle w:val="13"/>
                <w:rFonts w:hint="eastAsia" w:ascii="仿宋" w:hAnsi="仿宋" w:eastAsia="仿宋" w:cs="仿宋"/>
                <w:i w:val="0"/>
                <w:color w:val="auto"/>
                <w:spacing w:val="0"/>
                <w:sz w:val="21"/>
                <w:szCs w:val="21"/>
                <w:highlight w:val="none"/>
                <w:lang w:val="en-US" w:eastAsia="zh-CN"/>
              </w:rPr>
            </w:pPr>
          </w:p>
        </w:tc>
        <w:tc>
          <w:tcPr>
            <w:tcW w:w="6260" w:type="dxa"/>
            <w:tcBorders>
              <w:top w:val="single" w:color="auto" w:sz="4" w:space="0"/>
              <w:left w:val="single" w:color="auto" w:sz="4" w:space="0"/>
            </w:tcBorders>
            <w:shd w:val="clear" w:color="auto" w:fill="FFFFFF"/>
            <w:vAlign w:val="center"/>
          </w:tcPr>
          <w:p w14:paraId="783182A7">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评标报告应载明下列内容： </w:t>
            </w:r>
          </w:p>
          <w:p w14:paraId="312DDD7E">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1.招标项目基本情况； </w:t>
            </w:r>
          </w:p>
          <w:p w14:paraId="0B5F932F">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2.评标委员会成员名单； </w:t>
            </w:r>
          </w:p>
          <w:p w14:paraId="18B664D8">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3.开标记录； </w:t>
            </w:r>
          </w:p>
          <w:p w14:paraId="0A89DAA0">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4.符合要求的投标人名单； </w:t>
            </w:r>
          </w:p>
          <w:p w14:paraId="4E4C9A1A">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5.否决的投标人名单及否决理由； </w:t>
            </w:r>
          </w:p>
          <w:p w14:paraId="2A08FCB5">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6.串通投标情形的评审情况说明； </w:t>
            </w:r>
          </w:p>
          <w:p w14:paraId="28379124">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7.评分情况； </w:t>
            </w:r>
          </w:p>
          <w:p w14:paraId="6C729DDC">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8.经评审的投标人排序； </w:t>
            </w:r>
          </w:p>
          <w:p w14:paraId="47FFE938">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9.中标候选人名单； </w:t>
            </w:r>
          </w:p>
          <w:p w14:paraId="5ECF6051">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10.澄清、说明事项纪要； </w:t>
            </w:r>
          </w:p>
          <w:p w14:paraId="333880BD">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 xml:space="preserve">11.需要说明的其他事项； </w:t>
            </w:r>
          </w:p>
          <w:p w14:paraId="7D44D36F">
            <w:pPr>
              <w:keepNext w:val="0"/>
              <w:keepLines w:val="0"/>
              <w:widowControl/>
              <w:suppressLineNumbers w:val="0"/>
              <w:jc w:val="left"/>
              <w:rPr>
                <w:rStyle w:val="13"/>
                <w:rFonts w:hint="eastAsia" w:ascii="仿宋" w:hAnsi="仿宋" w:eastAsia="仿宋" w:cs="仿宋"/>
                <w:i w:val="0"/>
                <w:color w:val="auto"/>
                <w:spacing w:val="0"/>
                <w:kern w:val="2"/>
                <w:sz w:val="21"/>
                <w:szCs w:val="21"/>
                <w:highlight w:val="none"/>
                <w:lang w:val="en-US" w:eastAsia="zh-CN" w:bidi="ar-SA"/>
              </w:rPr>
            </w:pPr>
            <w:r>
              <w:rPr>
                <w:rStyle w:val="13"/>
                <w:rFonts w:hint="eastAsia" w:ascii="仿宋" w:hAnsi="仿宋" w:eastAsia="仿宋" w:cs="仿宋"/>
                <w:i w:val="0"/>
                <w:color w:val="auto"/>
                <w:spacing w:val="0"/>
                <w:kern w:val="2"/>
                <w:sz w:val="21"/>
                <w:szCs w:val="21"/>
                <w:highlight w:val="none"/>
                <w:lang w:val="en-US" w:eastAsia="zh-CN" w:bidi="ar-SA"/>
              </w:rPr>
              <w:t>12.评标附表。</w:t>
            </w:r>
          </w:p>
          <w:p w14:paraId="7C76E706">
            <w:pPr>
              <w:pStyle w:val="12"/>
              <w:shd w:val="clear" w:color="auto"/>
              <w:spacing w:before="0" w:after="0" w:line="360" w:lineRule="exact"/>
              <w:ind w:right="59" w:rightChars="28" w:firstLine="60" w:firstLineChars="29"/>
              <w:jc w:val="both"/>
              <w:rPr>
                <w:rFonts w:hint="eastAsia" w:ascii="仿宋" w:hAnsi="仿宋" w:eastAsia="仿宋" w:cs="仿宋"/>
                <w:iCs/>
                <w:sz w:val="21"/>
                <w:szCs w:val="21"/>
                <w:highlight w:val="none"/>
                <w:lang w:val="en-US" w:eastAsia="zh-CN"/>
              </w:rPr>
            </w:pPr>
          </w:p>
        </w:tc>
      </w:tr>
    </w:tbl>
    <w:p w14:paraId="59EB0C3F">
      <w:pPr>
        <w:rPr>
          <w:rFonts w:hint="eastAsia" w:ascii="仿宋" w:hAnsi="仿宋" w:eastAsia="仿宋" w:cs="仿宋"/>
          <w:sz w:val="21"/>
          <w:szCs w:val="21"/>
          <w:highlight w:val="none"/>
          <w:lang w:val="en-US" w:eastAsia="zh-CN"/>
        </w:rPr>
      </w:pPr>
    </w:p>
    <w:p w14:paraId="632137B5">
      <w:pPr>
        <w:pStyle w:val="3"/>
        <w:rPr>
          <w:rFonts w:hint="eastAsia" w:ascii="仿宋" w:hAnsi="仿宋" w:eastAsia="仿宋" w:cs="仿宋"/>
          <w:sz w:val="21"/>
          <w:szCs w:val="21"/>
          <w:highlight w:val="none"/>
          <w:lang w:val="en-US" w:eastAsia="zh-CN"/>
        </w:rPr>
      </w:pPr>
    </w:p>
    <w:p w14:paraId="464694AA">
      <w:pPr>
        <w:rPr>
          <w:rFonts w:hint="eastAsia" w:ascii="仿宋" w:hAnsi="仿宋" w:eastAsia="仿宋" w:cs="仿宋"/>
          <w:sz w:val="21"/>
          <w:szCs w:val="21"/>
          <w:highlight w:val="none"/>
          <w:lang w:val="en-US" w:eastAsia="zh-CN"/>
        </w:rPr>
      </w:pPr>
    </w:p>
    <w:p w14:paraId="65C97C9A">
      <w:pPr>
        <w:rPr>
          <w:rFonts w:hint="eastAsia" w:ascii="仿宋" w:hAnsi="仿宋" w:eastAsia="仿宋" w:cs="仿宋"/>
          <w:sz w:val="21"/>
          <w:szCs w:val="21"/>
          <w:highlight w:val="none"/>
          <w:lang w:val="en-US" w:eastAsia="zh-CN"/>
        </w:rPr>
      </w:pPr>
    </w:p>
    <w:p w14:paraId="0A9F3D1B">
      <w:pPr>
        <w:rPr>
          <w:rFonts w:hint="eastAsia" w:ascii="仿宋" w:hAnsi="仿宋" w:eastAsia="仿宋" w:cs="仿宋"/>
          <w:sz w:val="21"/>
          <w:szCs w:val="21"/>
          <w:highlight w:val="none"/>
          <w:lang w:val="en-US" w:eastAsia="zh-CN"/>
        </w:rPr>
      </w:pPr>
    </w:p>
    <w:p w14:paraId="03F8EB27">
      <w:pPr>
        <w:rPr>
          <w:rFonts w:hint="eastAsia" w:ascii="仿宋" w:hAnsi="仿宋" w:eastAsia="仿宋" w:cs="仿宋"/>
          <w:sz w:val="21"/>
          <w:szCs w:val="21"/>
          <w:highlight w:val="none"/>
          <w:lang w:val="en-US" w:eastAsia="zh-CN"/>
        </w:rPr>
      </w:pPr>
    </w:p>
    <w:p w14:paraId="6D8BFA25">
      <w:pPr>
        <w:rPr>
          <w:rFonts w:hint="eastAsia" w:ascii="仿宋" w:hAnsi="仿宋" w:eastAsia="仿宋" w:cs="仿宋"/>
          <w:sz w:val="21"/>
          <w:szCs w:val="21"/>
          <w:highlight w:val="none"/>
          <w:lang w:val="en-US" w:eastAsia="zh-CN"/>
        </w:rPr>
      </w:pPr>
    </w:p>
    <w:p w14:paraId="473C89BF">
      <w:pPr>
        <w:rPr>
          <w:rFonts w:hint="eastAsia" w:ascii="仿宋" w:hAnsi="仿宋" w:eastAsia="仿宋" w:cs="仿宋"/>
          <w:sz w:val="21"/>
          <w:szCs w:val="21"/>
          <w:highlight w:val="none"/>
          <w:lang w:val="en-US" w:eastAsia="zh-CN"/>
        </w:rPr>
      </w:pPr>
    </w:p>
    <w:p w14:paraId="0A581E31">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br w:type="page"/>
      </w:r>
    </w:p>
    <w:p w14:paraId="100867EA">
      <w:pPr>
        <w:rPr>
          <w:rFonts w:hint="eastAsia" w:ascii="仿宋" w:hAnsi="仿宋" w:eastAsia="仿宋" w:cs="仿宋"/>
          <w:sz w:val="21"/>
          <w:szCs w:val="21"/>
          <w:highlight w:val="none"/>
          <w:lang w:val="en-US" w:eastAsia="zh-CN"/>
        </w:rPr>
      </w:pPr>
    </w:p>
    <w:tbl>
      <w:tblPr>
        <w:tblStyle w:val="8"/>
        <w:tblW w:w="9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37"/>
        <w:gridCol w:w="637"/>
        <w:gridCol w:w="696"/>
        <w:gridCol w:w="2671"/>
        <w:gridCol w:w="884"/>
        <w:gridCol w:w="3533"/>
      </w:tblGrid>
      <w:tr w14:paraId="5652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trPr>
        <w:tc>
          <w:tcPr>
            <w:tcW w:w="937" w:type="dxa"/>
            <w:vMerge w:val="restart"/>
            <w:noWrap w:val="0"/>
            <w:vAlign w:val="center"/>
          </w:tcPr>
          <w:p w14:paraId="3BB8C0F6">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条款号</w:t>
            </w:r>
          </w:p>
        </w:tc>
        <w:tc>
          <w:tcPr>
            <w:tcW w:w="4888" w:type="dxa"/>
            <w:gridSpan w:val="4"/>
            <w:noWrap w:val="0"/>
            <w:vAlign w:val="center"/>
          </w:tcPr>
          <w:p w14:paraId="508AD28D">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评分因素与权重分值</w:t>
            </w:r>
          </w:p>
        </w:tc>
        <w:tc>
          <w:tcPr>
            <w:tcW w:w="3533" w:type="dxa"/>
            <w:vMerge w:val="restart"/>
            <w:noWrap w:val="0"/>
            <w:vAlign w:val="center"/>
          </w:tcPr>
          <w:p w14:paraId="38A6EB1E">
            <w:pPr>
              <w:pStyle w:val="16"/>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评分标准</w:t>
            </w:r>
          </w:p>
        </w:tc>
      </w:tr>
      <w:tr w14:paraId="39C1E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2" w:hRule="atLeast"/>
        </w:trPr>
        <w:tc>
          <w:tcPr>
            <w:tcW w:w="937" w:type="dxa"/>
            <w:vMerge w:val="continue"/>
            <w:noWrap w:val="0"/>
            <w:vAlign w:val="top"/>
          </w:tcPr>
          <w:p w14:paraId="5EB948FB">
            <w:pPr>
              <w:spacing w:line="240" w:lineRule="atLeast"/>
              <w:rPr>
                <w:rFonts w:hint="eastAsia" w:ascii="仿宋" w:hAnsi="仿宋" w:eastAsia="仿宋" w:cs="仿宋"/>
                <w:b w:val="0"/>
                <w:bCs w:val="0"/>
                <w:color w:val="auto"/>
                <w:sz w:val="21"/>
                <w:szCs w:val="21"/>
                <w:highlight w:val="none"/>
              </w:rPr>
            </w:pPr>
          </w:p>
        </w:tc>
        <w:tc>
          <w:tcPr>
            <w:tcW w:w="637" w:type="dxa"/>
            <w:noWrap w:val="0"/>
            <w:vAlign w:val="center"/>
          </w:tcPr>
          <w:p w14:paraId="56836AFF">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评分</w:t>
            </w:r>
          </w:p>
          <w:p w14:paraId="19042628">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因素</w:t>
            </w:r>
          </w:p>
        </w:tc>
        <w:tc>
          <w:tcPr>
            <w:tcW w:w="696" w:type="dxa"/>
            <w:noWrap w:val="0"/>
            <w:vAlign w:val="center"/>
          </w:tcPr>
          <w:p w14:paraId="437B1E08">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评分因</w:t>
            </w:r>
          </w:p>
          <w:p w14:paraId="3A71C483">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素权重</w:t>
            </w:r>
          </w:p>
          <w:p w14:paraId="161FB90C">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分值</w:t>
            </w:r>
          </w:p>
        </w:tc>
        <w:tc>
          <w:tcPr>
            <w:tcW w:w="2671" w:type="dxa"/>
            <w:noWrap w:val="0"/>
            <w:vAlign w:val="center"/>
          </w:tcPr>
          <w:p w14:paraId="6975DB38">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各评分因素</w:t>
            </w:r>
          </w:p>
          <w:p w14:paraId="59C787B1">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细分项</w:t>
            </w:r>
          </w:p>
        </w:tc>
        <w:tc>
          <w:tcPr>
            <w:tcW w:w="884" w:type="dxa"/>
            <w:noWrap w:val="0"/>
            <w:vAlign w:val="center"/>
          </w:tcPr>
          <w:p w14:paraId="26C92234">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分值</w:t>
            </w:r>
          </w:p>
        </w:tc>
        <w:tc>
          <w:tcPr>
            <w:tcW w:w="3533" w:type="dxa"/>
            <w:vMerge w:val="continue"/>
            <w:noWrap w:val="0"/>
            <w:vAlign w:val="top"/>
          </w:tcPr>
          <w:p w14:paraId="321423A8">
            <w:pPr>
              <w:spacing w:line="240" w:lineRule="atLeast"/>
              <w:rPr>
                <w:rFonts w:hint="eastAsia" w:ascii="仿宋" w:hAnsi="仿宋" w:eastAsia="仿宋" w:cs="仿宋"/>
                <w:b w:val="0"/>
                <w:bCs w:val="0"/>
                <w:color w:val="auto"/>
                <w:sz w:val="21"/>
                <w:szCs w:val="21"/>
                <w:highlight w:val="none"/>
              </w:rPr>
            </w:pPr>
          </w:p>
        </w:tc>
      </w:tr>
      <w:tr w14:paraId="5A60A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4" w:hRule="atLeast"/>
        </w:trPr>
        <w:tc>
          <w:tcPr>
            <w:tcW w:w="937" w:type="dxa"/>
            <w:vMerge w:val="restart"/>
            <w:noWrap w:val="0"/>
            <w:vAlign w:val="center"/>
          </w:tcPr>
          <w:p w14:paraId="29482363">
            <w:pPr>
              <w:pStyle w:val="16"/>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2.2.4</w:t>
            </w:r>
          </w:p>
          <w:p w14:paraId="5FB5B58E">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rPr>
              <w:t>1</w:t>
            </w:r>
            <w:r>
              <w:rPr>
                <w:rFonts w:hint="eastAsia" w:ascii="仿宋" w:hAnsi="仿宋" w:eastAsia="仿宋" w:cs="仿宋"/>
                <w:b w:val="0"/>
                <w:bCs w:val="0"/>
                <w:color w:val="auto"/>
                <w:sz w:val="21"/>
                <w:szCs w:val="21"/>
                <w:highlight w:val="none"/>
              </w:rPr>
              <w:t>）</w:t>
            </w:r>
          </w:p>
        </w:tc>
        <w:tc>
          <w:tcPr>
            <w:tcW w:w="637" w:type="dxa"/>
            <w:vMerge w:val="restart"/>
            <w:noWrap w:val="0"/>
            <w:vAlign w:val="center"/>
          </w:tcPr>
          <w:p w14:paraId="52111A29">
            <w:pPr>
              <w:pStyle w:val="16"/>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技</w:t>
            </w:r>
          </w:p>
          <w:p w14:paraId="1467A3BB">
            <w:pPr>
              <w:pStyle w:val="16"/>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术</w:t>
            </w:r>
          </w:p>
          <w:p w14:paraId="78BD7CA8">
            <w:pPr>
              <w:pStyle w:val="16"/>
              <w:spacing w:line="240" w:lineRule="atLeast"/>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rPr>
              <w:t>建</w:t>
            </w:r>
          </w:p>
          <w:p w14:paraId="75EDD92C">
            <w:pPr>
              <w:pStyle w:val="16"/>
              <w:spacing w:line="240" w:lineRule="atLeast"/>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rPr>
              <w:t>议</w:t>
            </w:r>
          </w:p>
          <w:p w14:paraId="2DB1F108">
            <w:pPr>
              <w:pStyle w:val="16"/>
              <w:spacing w:line="240" w:lineRule="atLeast"/>
              <w:jc w:val="center"/>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val="en-US"/>
              </w:rPr>
              <w:t>书</w:t>
            </w:r>
            <w:r>
              <w:rPr>
                <w:rFonts w:hint="eastAsia" w:ascii="仿宋" w:hAnsi="仿宋" w:eastAsia="仿宋" w:cs="仿宋"/>
                <w:b w:val="0"/>
                <w:bCs w:val="0"/>
                <w:color w:val="auto"/>
                <w:sz w:val="21"/>
                <w:szCs w:val="21"/>
                <w:highlight w:val="none"/>
                <w:lang w:val="en-US" w:eastAsia="zh-CN"/>
              </w:rPr>
              <w:t>（</w:t>
            </w:r>
            <w:r>
              <w:rPr>
                <w:rFonts w:hint="eastAsia" w:ascii="仿宋" w:hAnsi="仿宋" w:eastAsia="仿宋" w:cs="仿宋"/>
                <w:b w:val="0"/>
                <w:bCs w:val="0"/>
                <w:color w:val="000000"/>
                <w:sz w:val="21"/>
                <w:szCs w:val="21"/>
                <w:highlight w:val="none"/>
                <w:lang w:val="en-US" w:eastAsia="zh-CN"/>
              </w:rPr>
              <w:t>FY-SJ1标段</w:t>
            </w:r>
            <w:r>
              <w:rPr>
                <w:rFonts w:hint="eastAsia" w:ascii="仿宋" w:hAnsi="仿宋" w:eastAsia="仿宋" w:cs="仿宋"/>
                <w:b w:val="0"/>
                <w:bCs w:val="0"/>
                <w:color w:val="auto"/>
                <w:sz w:val="21"/>
                <w:szCs w:val="21"/>
                <w:highlight w:val="none"/>
                <w:lang w:val="en-US" w:eastAsia="zh-CN"/>
              </w:rPr>
              <w:t>）</w:t>
            </w:r>
          </w:p>
        </w:tc>
        <w:tc>
          <w:tcPr>
            <w:tcW w:w="696" w:type="dxa"/>
            <w:vMerge w:val="restart"/>
            <w:noWrap w:val="0"/>
            <w:vAlign w:val="center"/>
          </w:tcPr>
          <w:p w14:paraId="6F453BBF">
            <w:pPr>
              <w:pStyle w:val="16"/>
              <w:spacing w:line="244" w:lineRule="auto"/>
              <w:ind w:left="143" w:leftChars="0" w:right="131" w:rightChars="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Cs/>
                <w:color w:val="auto"/>
                <w:sz w:val="21"/>
                <w:szCs w:val="21"/>
                <w:highlight w:val="none"/>
                <w:lang w:val="en-US" w:eastAsia="zh-CN"/>
              </w:rPr>
              <w:t>45</w:t>
            </w:r>
            <w:r>
              <w:rPr>
                <w:rFonts w:hint="eastAsia" w:ascii="仿宋" w:hAnsi="仿宋" w:eastAsia="仿宋" w:cs="仿宋"/>
                <w:bCs/>
                <w:color w:val="auto"/>
                <w:sz w:val="21"/>
                <w:szCs w:val="21"/>
                <w:highlight w:val="none"/>
                <w:lang w:val="en-US"/>
              </w:rPr>
              <w:t>分</w:t>
            </w:r>
          </w:p>
        </w:tc>
        <w:tc>
          <w:tcPr>
            <w:tcW w:w="2671" w:type="dxa"/>
            <w:noWrap w:val="0"/>
            <w:vAlign w:val="center"/>
          </w:tcPr>
          <w:p w14:paraId="52BE1B3C">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工作机构设置与总体安排</w:t>
            </w:r>
          </w:p>
        </w:tc>
        <w:tc>
          <w:tcPr>
            <w:tcW w:w="884" w:type="dxa"/>
            <w:noWrap w:val="0"/>
            <w:vAlign w:val="center"/>
          </w:tcPr>
          <w:p w14:paraId="413EF46D">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26332BE5">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75F7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9" w:hRule="atLeast"/>
        </w:trPr>
        <w:tc>
          <w:tcPr>
            <w:tcW w:w="937" w:type="dxa"/>
            <w:vMerge w:val="continue"/>
            <w:noWrap w:val="0"/>
            <w:vAlign w:val="center"/>
          </w:tcPr>
          <w:p w14:paraId="7CD79756">
            <w:pPr>
              <w:pStyle w:val="4"/>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top"/>
          </w:tcPr>
          <w:p w14:paraId="6101742E">
            <w:pPr>
              <w:pStyle w:val="16"/>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1286958C">
            <w:pPr>
              <w:pStyle w:val="16"/>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4B870285">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对</w:t>
            </w:r>
            <w:r>
              <w:rPr>
                <w:rFonts w:hint="eastAsia" w:ascii="仿宋" w:hAnsi="仿宋" w:eastAsia="仿宋" w:cs="仿宋"/>
                <w:color w:val="auto"/>
                <w:kern w:val="2"/>
                <w:sz w:val="21"/>
                <w:szCs w:val="21"/>
                <w:highlight w:val="none"/>
                <w:lang w:val="en-US" w:eastAsia="zh-CN" w:bidi="ar-SA"/>
              </w:rPr>
              <w:t>招标项目</w:t>
            </w:r>
            <w:r>
              <w:rPr>
                <w:rFonts w:hint="eastAsia" w:ascii="仿宋" w:hAnsi="仿宋" w:eastAsia="仿宋" w:cs="仿宋"/>
                <w:color w:val="auto"/>
                <w:kern w:val="2"/>
                <w:sz w:val="21"/>
                <w:szCs w:val="21"/>
                <w:highlight w:val="none"/>
                <w:lang w:val="zh-TW" w:eastAsia="zh-CN" w:bidi="ar-SA"/>
              </w:rPr>
              <w:t>的理解和总体设计思路</w:t>
            </w:r>
          </w:p>
        </w:tc>
        <w:tc>
          <w:tcPr>
            <w:tcW w:w="884" w:type="dxa"/>
            <w:noWrap w:val="0"/>
            <w:vAlign w:val="center"/>
          </w:tcPr>
          <w:p w14:paraId="5236E3ED">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6DC9B4D5">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40BBC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4" w:hRule="atLeast"/>
        </w:trPr>
        <w:tc>
          <w:tcPr>
            <w:tcW w:w="937" w:type="dxa"/>
            <w:vMerge w:val="continue"/>
            <w:noWrap w:val="0"/>
            <w:vAlign w:val="center"/>
          </w:tcPr>
          <w:p w14:paraId="37997385">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top"/>
          </w:tcPr>
          <w:p w14:paraId="2B77B608">
            <w:pPr>
              <w:pStyle w:val="16"/>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1FADB023">
            <w:pPr>
              <w:pStyle w:val="16"/>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496E63F0">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对招标项目</w:t>
            </w:r>
            <w:r>
              <w:rPr>
                <w:rFonts w:hint="eastAsia" w:ascii="仿宋" w:hAnsi="仿宋" w:eastAsia="仿宋" w:cs="仿宋"/>
                <w:color w:val="auto"/>
                <w:kern w:val="2"/>
                <w:sz w:val="21"/>
                <w:szCs w:val="21"/>
                <w:highlight w:val="none"/>
                <w:lang w:val="zh-TW" w:eastAsia="zh-CN" w:bidi="ar-SA"/>
              </w:rPr>
              <w:t>勘察设计的特点、关键技术问题的认识及其对策措施</w:t>
            </w:r>
          </w:p>
        </w:tc>
        <w:tc>
          <w:tcPr>
            <w:tcW w:w="884" w:type="dxa"/>
            <w:noWrap w:val="0"/>
            <w:vAlign w:val="center"/>
          </w:tcPr>
          <w:p w14:paraId="522BE693">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15</w:t>
            </w:r>
          </w:p>
        </w:tc>
        <w:tc>
          <w:tcPr>
            <w:tcW w:w="3533" w:type="dxa"/>
            <w:noWrap w:val="0"/>
            <w:vAlign w:val="center"/>
          </w:tcPr>
          <w:p w14:paraId="5B7EDD65">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好计12～15分，较好计9～12分，基本满足项目需要计9分。</w:t>
            </w:r>
          </w:p>
        </w:tc>
      </w:tr>
      <w:tr w14:paraId="5E67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4" w:hRule="atLeast"/>
        </w:trPr>
        <w:tc>
          <w:tcPr>
            <w:tcW w:w="937" w:type="dxa"/>
            <w:vMerge w:val="continue"/>
            <w:noWrap w:val="0"/>
            <w:vAlign w:val="center"/>
          </w:tcPr>
          <w:p w14:paraId="772F682A">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top"/>
          </w:tcPr>
          <w:p w14:paraId="58A6A685">
            <w:pPr>
              <w:pStyle w:val="16"/>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5E23105F">
            <w:pPr>
              <w:pStyle w:val="16"/>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705E49A2">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勘察设计工作量及计划安排</w:t>
            </w:r>
          </w:p>
        </w:tc>
        <w:tc>
          <w:tcPr>
            <w:tcW w:w="884" w:type="dxa"/>
            <w:noWrap w:val="0"/>
            <w:vAlign w:val="center"/>
          </w:tcPr>
          <w:p w14:paraId="2AAE6C05">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6E9086B7">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4BFA5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4" w:hRule="atLeast"/>
        </w:trPr>
        <w:tc>
          <w:tcPr>
            <w:tcW w:w="937" w:type="dxa"/>
            <w:vMerge w:val="continue"/>
            <w:noWrap w:val="0"/>
            <w:vAlign w:val="center"/>
          </w:tcPr>
          <w:p w14:paraId="6D437DE6">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top"/>
          </w:tcPr>
          <w:p w14:paraId="07E622E0">
            <w:pPr>
              <w:pStyle w:val="16"/>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533B3270">
            <w:pPr>
              <w:pStyle w:val="16"/>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11F50236">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勘察设计的质量保证措施、进度保证措施、安全保证措施</w:t>
            </w:r>
          </w:p>
        </w:tc>
        <w:tc>
          <w:tcPr>
            <w:tcW w:w="884" w:type="dxa"/>
            <w:noWrap w:val="0"/>
            <w:vAlign w:val="center"/>
          </w:tcPr>
          <w:p w14:paraId="34D18DF0">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10</w:t>
            </w:r>
          </w:p>
        </w:tc>
        <w:tc>
          <w:tcPr>
            <w:tcW w:w="3533" w:type="dxa"/>
            <w:noWrap w:val="0"/>
            <w:vAlign w:val="center"/>
          </w:tcPr>
          <w:p w14:paraId="0A1C9B76">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合理计8～10分，较合理计6～8分，基本满足项目需要计6分。</w:t>
            </w:r>
          </w:p>
        </w:tc>
      </w:tr>
      <w:tr w14:paraId="43442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937" w:type="dxa"/>
            <w:vMerge w:val="continue"/>
            <w:noWrap w:val="0"/>
            <w:vAlign w:val="center"/>
          </w:tcPr>
          <w:p w14:paraId="7187576B">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top"/>
          </w:tcPr>
          <w:p w14:paraId="7C935DEC">
            <w:pPr>
              <w:pStyle w:val="16"/>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019E98E3">
            <w:pPr>
              <w:pStyle w:val="16"/>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3CC99604">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后续服务的安排及保证措施</w:t>
            </w:r>
          </w:p>
        </w:tc>
        <w:tc>
          <w:tcPr>
            <w:tcW w:w="884" w:type="dxa"/>
            <w:noWrap w:val="0"/>
            <w:vAlign w:val="center"/>
          </w:tcPr>
          <w:p w14:paraId="5AFC0138">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61A20A3A">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0C90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9" w:hRule="atLeast"/>
        </w:trPr>
        <w:tc>
          <w:tcPr>
            <w:tcW w:w="937" w:type="dxa"/>
            <w:vMerge w:val="restart"/>
            <w:noWrap w:val="0"/>
            <w:vAlign w:val="center"/>
          </w:tcPr>
          <w:p w14:paraId="66BB1172">
            <w:pPr>
              <w:pStyle w:val="16"/>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2.2.4</w:t>
            </w:r>
          </w:p>
          <w:p w14:paraId="053F5DFB">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rPr>
              <w:t>1</w:t>
            </w:r>
            <w:r>
              <w:rPr>
                <w:rFonts w:hint="eastAsia" w:ascii="仿宋" w:hAnsi="仿宋" w:eastAsia="仿宋" w:cs="仿宋"/>
                <w:b w:val="0"/>
                <w:bCs w:val="0"/>
                <w:color w:val="auto"/>
                <w:sz w:val="21"/>
                <w:szCs w:val="21"/>
                <w:highlight w:val="none"/>
              </w:rPr>
              <w:t>）</w:t>
            </w:r>
          </w:p>
        </w:tc>
        <w:tc>
          <w:tcPr>
            <w:tcW w:w="637" w:type="dxa"/>
            <w:vMerge w:val="restart"/>
            <w:noWrap w:val="0"/>
            <w:vAlign w:val="top"/>
          </w:tcPr>
          <w:p w14:paraId="79933C24">
            <w:pPr>
              <w:pStyle w:val="16"/>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技</w:t>
            </w:r>
          </w:p>
          <w:p w14:paraId="17C8CAD5">
            <w:pPr>
              <w:pStyle w:val="16"/>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术</w:t>
            </w:r>
          </w:p>
          <w:p w14:paraId="6FEDC9C6">
            <w:pPr>
              <w:pStyle w:val="16"/>
              <w:spacing w:line="240" w:lineRule="atLeast"/>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rPr>
              <w:t>建</w:t>
            </w:r>
          </w:p>
          <w:p w14:paraId="4AB3E10A">
            <w:pPr>
              <w:pStyle w:val="16"/>
              <w:spacing w:line="240" w:lineRule="atLeast"/>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rPr>
              <w:t>议</w:t>
            </w:r>
          </w:p>
          <w:p w14:paraId="165C5004">
            <w:pPr>
              <w:pStyle w:val="16"/>
              <w:spacing w:line="240" w:lineRule="atLeast"/>
              <w:jc w:val="center"/>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val="en-US"/>
              </w:rPr>
              <w:t>书</w:t>
            </w:r>
            <w:r>
              <w:rPr>
                <w:rFonts w:hint="eastAsia" w:ascii="仿宋" w:hAnsi="仿宋" w:eastAsia="仿宋" w:cs="仿宋"/>
                <w:b w:val="0"/>
                <w:bCs w:val="0"/>
                <w:color w:val="auto"/>
                <w:sz w:val="21"/>
                <w:szCs w:val="21"/>
                <w:highlight w:val="none"/>
                <w:lang w:val="en-US" w:eastAsia="zh-CN"/>
              </w:rPr>
              <w:t>（FY-ZX1标段）</w:t>
            </w:r>
          </w:p>
        </w:tc>
        <w:tc>
          <w:tcPr>
            <w:tcW w:w="696" w:type="dxa"/>
            <w:vMerge w:val="restart"/>
            <w:noWrap w:val="0"/>
            <w:vAlign w:val="center"/>
          </w:tcPr>
          <w:p w14:paraId="6808514D">
            <w:pPr>
              <w:pStyle w:val="16"/>
              <w:spacing w:line="244" w:lineRule="auto"/>
              <w:ind w:left="143" w:leftChars="0" w:right="131" w:rightChars="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bCs/>
                <w:color w:val="auto"/>
                <w:sz w:val="21"/>
                <w:szCs w:val="21"/>
                <w:highlight w:val="none"/>
                <w:lang w:val="en-US" w:eastAsia="zh-CN"/>
              </w:rPr>
              <w:t>45</w:t>
            </w:r>
            <w:r>
              <w:rPr>
                <w:rFonts w:hint="eastAsia" w:ascii="仿宋" w:hAnsi="仿宋" w:eastAsia="仿宋" w:cs="仿宋"/>
                <w:bCs/>
                <w:color w:val="auto"/>
                <w:sz w:val="21"/>
                <w:szCs w:val="21"/>
                <w:highlight w:val="none"/>
                <w:lang w:val="en-US"/>
              </w:rPr>
              <w:t>分</w:t>
            </w:r>
          </w:p>
        </w:tc>
        <w:tc>
          <w:tcPr>
            <w:tcW w:w="2671" w:type="dxa"/>
            <w:noWrap w:val="0"/>
            <w:vAlign w:val="center"/>
          </w:tcPr>
          <w:p w14:paraId="58BB9FC0">
            <w:pPr>
              <w:spacing w:line="240" w:lineRule="atLeast"/>
              <w:ind w:left="105" w:leftChars="50" w:right="105" w:rightChars="5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kern w:val="2"/>
                <w:sz w:val="21"/>
                <w:szCs w:val="21"/>
                <w:highlight w:val="none"/>
                <w:lang w:val="en-US" w:eastAsia="zh-CN" w:bidi="ar-SA"/>
              </w:rPr>
              <w:t>工作机构设置与总体安排</w:t>
            </w:r>
          </w:p>
        </w:tc>
        <w:tc>
          <w:tcPr>
            <w:tcW w:w="884" w:type="dxa"/>
            <w:noWrap w:val="0"/>
            <w:vAlign w:val="center"/>
          </w:tcPr>
          <w:p w14:paraId="55D1256F">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34CE51C4">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2CFD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9" w:hRule="atLeast"/>
        </w:trPr>
        <w:tc>
          <w:tcPr>
            <w:tcW w:w="937" w:type="dxa"/>
            <w:vMerge w:val="continue"/>
            <w:noWrap w:val="0"/>
            <w:vAlign w:val="top"/>
          </w:tcPr>
          <w:p w14:paraId="7782E198">
            <w:pPr>
              <w:spacing w:line="240" w:lineRule="atLeast"/>
              <w:rPr>
                <w:rFonts w:hint="eastAsia" w:ascii="仿宋" w:hAnsi="仿宋" w:eastAsia="仿宋" w:cs="仿宋"/>
                <w:b w:val="0"/>
                <w:bCs w:val="0"/>
                <w:color w:val="auto"/>
                <w:sz w:val="21"/>
                <w:szCs w:val="21"/>
                <w:highlight w:val="none"/>
              </w:rPr>
            </w:pPr>
          </w:p>
        </w:tc>
        <w:tc>
          <w:tcPr>
            <w:tcW w:w="637" w:type="dxa"/>
            <w:vMerge w:val="continue"/>
            <w:noWrap w:val="0"/>
            <w:vAlign w:val="top"/>
          </w:tcPr>
          <w:p w14:paraId="591E3303">
            <w:pPr>
              <w:pStyle w:val="16"/>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18C7D433">
            <w:pPr>
              <w:pStyle w:val="16"/>
              <w:spacing w:line="244" w:lineRule="auto"/>
              <w:ind w:left="143" w:leftChars="0" w:right="131" w:rightChars="0"/>
              <w:rPr>
                <w:rFonts w:hint="eastAsia" w:ascii="仿宋" w:hAnsi="仿宋" w:eastAsia="仿宋" w:cs="仿宋"/>
                <w:b w:val="0"/>
                <w:bCs w:val="0"/>
                <w:color w:val="auto"/>
                <w:sz w:val="21"/>
                <w:szCs w:val="21"/>
                <w:highlight w:val="none"/>
                <w:lang w:val="en-US"/>
              </w:rPr>
            </w:pPr>
          </w:p>
        </w:tc>
        <w:tc>
          <w:tcPr>
            <w:tcW w:w="2671" w:type="dxa"/>
            <w:noWrap w:val="0"/>
            <w:vAlign w:val="center"/>
          </w:tcPr>
          <w:p w14:paraId="0D15C831">
            <w:pPr>
              <w:spacing w:line="240" w:lineRule="atLeast"/>
              <w:ind w:left="105" w:leftChars="50" w:right="105" w:rightChars="5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kern w:val="2"/>
                <w:sz w:val="21"/>
                <w:szCs w:val="21"/>
                <w:highlight w:val="none"/>
                <w:lang w:val="zh-TW" w:eastAsia="zh-CN" w:bidi="ar-SA"/>
              </w:rPr>
              <w:t>对</w:t>
            </w:r>
            <w:r>
              <w:rPr>
                <w:rFonts w:hint="eastAsia" w:ascii="仿宋" w:hAnsi="仿宋" w:eastAsia="仿宋" w:cs="仿宋"/>
                <w:color w:val="auto"/>
                <w:kern w:val="2"/>
                <w:sz w:val="21"/>
                <w:szCs w:val="21"/>
                <w:highlight w:val="none"/>
                <w:lang w:val="en-US" w:eastAsia="zh-CN" w:bidi="ar-SA"/>
              </w:rPr>
              <w:t>招标项目</w:t>
            </w:r>
            <w:r>
              <w:rPr>
                <w:rFonts w:hint="eastAsia" w:ascii="仿宋" w:hAnsi="仿宋" w:eastAsia="仿宋" w:cs="仿宋"/>
                <w:color w:val="auto"/>
                <w:kern w:val="2"/>
                <w:sz w:val="21"/>
                <w:szCs w:val="21"/>
                <w:highlight w:val="none"/>
                <w:lang w:val="zh-TW" w:eastAsia="zh-CN" w:bidi="ar-SA"/>
              </w:rPr>
              <w:t>的理解和总体设计思路</w:t>
            </w:r>
          </w:p>
        </w:tc>
        <w:tc>
          <w:tcPr>
            <w:tcW w:w="884" w:type="dxa"/>
            <w:noWrap w:val="0"/>
            <w:vAlign w:val="center"/>
          </w:tcPr>
          <w:p w14:paraId="262EFAA0">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78487B64">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097C5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trPr>
        <w:tc>
          <w:tcPr>
            <w:tcW w:w="937" w:type="dxa"/>
            <w:vMerge w:val="continue"/>
            <w:noWrap w:val="0"/>
            <w:vAlign w:val="top"/>
          </w:tcPr>
          <w:p w14:paraId="511DA7AE">
            <w:pPr>
              <w:spacing w:line="240" w:lineRule="atLeast"/>
              <w:rPr>
                <w:rFonts w:hint="eastAsia" w:ascii="仿宋" w:hAnsi="仿宋" w:eastAsia="仿宋" w:cs="仿宋"/>
                <w:b w:val="0"/>
                <w:bCs w:val="0"/>
                <w:color w:val="auto"/>
                <w:sz w:val="21"/>
                <w:szCs w:val="21"/>
                <w:highlight w:val="none"/>
              </w:rPr>
            </w:pPr>
          </w:p>
        </w:tc>
        <w:tc>
          <w:tcPr>
            <w:tcW w:w="637" w:type="dxa"/>
            <w:vMerge w:val="continue"/>
            <w:noWrap w:val="0"/>
            <w:vAlign w:val="top"/>
          </w:tcPr>
          <w:p w14:paraId="30283203">
            <w:pPr>
              <w:pStyle w:val="16"/>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22962274">
            <w:pPr>
              <w:pStyle w:val="16"/>
              <w:spacing w:line="244" w:lineRule="auto"/>
              <w:ind w:left="143" w:leftChars="0" w:right="131" w:rightChars="0"/>
              <w:rPr>
                <w:rFonts w:hint="eastAsia" w:ascii="仿宋" w:hAnsi="仿宋" w:eastAsia="仿宋" w:cs="仿宋"/>
                <w:b w:val="0"/>
                <w:bCs w:val="0"/>
                <w:color w:val="auto"/>
                <w:sz w:val="21"/>
                <w:szCs w:val="21"/>
                <w:highlight w:val="none"/>
                <w:lang w:val="en-US"/>
              </w:rPr>
            </w:pPr>
          </w:p>
        </w:tc>
        <w:tc>
          <w:tcPr>
            <w:tcW w:w="2671" w:type="dxa"/>
            <w:noWrap w:val="0"/>
            <w:vAlign w:val="center"/>
          </w:tcPr>
          <w:p w14:paraId="0398B9EE">
            <w:pPr>
              <w:spacing w:line="240" w:lineRule="atLeast"/>
              <w:ind w:left="105" w:leftChars="50" w:right="105" w:rightChars="5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kern w:val="2"/>
                <w:sz w:val="21"/>
                <w:szCs w:val="21"/>
                <w:highlight w:val="none"/>
                <w:lang w:val="en-US" w:eastAsia="zh-CN" w:bidi="ar-SA"/>
              </w:rPr>
              <w:t>勘察设计咨询工作重点难点分析及技术措施</w:t>
            </w:r>
          </w:p>
        </w:tc>
        <w:tc>
          <w:tcPr>
            <w:tcW w:w="884" w:type="dxa"/>
            <w:noWrap w:val="0"/>
            <w:vAlign w:val="center"/>
          </w:tcPr>
          <w:p w14:paraId="2FF5382E">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15</w:t>
            </w:r>
          </w:p>
        </w:tc>
        <w:tc>
          <w:tcPr>
            <w:tcW w:w="3533" w:type="dxa"/>
            <w:noWrap w:val="0"/>
            <w:vAlign w:val="center"/>
          </w:tcPr>
          <w:p w14:paraId="7BE52CD7">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好计12～15分，较好计9～12分，基本满足项目需要计9分。</w:t>
            </w:r>
          </w:p>
        </w:tc>
      </w:tr>
      <w:tr w14:paraId="30E80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trPr>
        <w:tc>
          <w:tcPr>
            <w:tcW w:w="937" w:type="dxa"/>
            <w:vMerge w:val="continue"/>
            <w:noWrap w:val="0"/>
            <w:vAlign w:val="top"/>
          </w:tcPr>
          <w:p w14:paraId="6C813FD3">
            <w:pPr>
              <w:spacing w:line="240" w:lineRule="atLeast"/>
              <w:rPr>
                <w:rFonts w:hint="eastAsia" w:ascii="仿宋" w:hAnsi="仿宋" w:eastAsia="仿宋" w:cs="仿宋"/>
                <w:b w:val="0"/>
                <w:bCs w:val="0"/>
                <w:color w:val="auto"/>
                <w:sz w:val="21"/>
                <w:szCs w:val="21"/>
                <w:highlight w:val="none"/>
              </w:rPr>
            </w:pPr>
          </w:p>
        </w:tc>
        <w:tc>
          <w:tcPr>
            <w:tcW w:w="637" w:type="dxa"/>
            <w:vMerge w:val="continue"/>
            <w:noWrap w:val="0"/>
            <w:vAlign w:val="top"/>
          </w:tcPr>
          <w:p w14:paraId="10141E37">
            <w:pPr>
              <w:pStyle w:val="16"/>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297F50FF">
            <w:pPr>
              <w:pStyle w:val="16"/>
              <w:spacing w:line="244" w:lineRule="auto"/>
              <w:ind w:left="143" w:leftChars="0" w:right="131" w:rightChars="0"/>
              <w:rPr>
                <w:rFonts w:hint="eastAsia" w:ascii="仿宋" w:hAnsi="仿宋" w:eastAsia="仿宋" w:cs="仿宋"/>
                <w:b w:val="0"/>
                <w:bCs w:val="0"/>
                <w:color w:val="auto"/>
                <w:sz w:val="21"/>
                <w:szCs w:val="21"/>
                <w:highlight w:val="none"/>
                <w:lang w:val="en-US"/>
              </w:rPr>
            </w:pPr>
          </w:p>
        </w:tc>
        <w:tc>
          <w:tcPr>
            <w:tcW w:w="2671" w:type="dxa"/>
            <w:noWrap w:val="0"/>
            <w:vAlign w:val="center"/>
          </w:tcPr>
          <w:p w14:paraId="7DABECA6">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勘察设计</w:t>
            </w:r>
            <w:r>
              <w:rPr>
                <w:rFonts w:hint="eastAsia" w:ascii="仿宋" w:hAnsi="仿宋" w:eastAsia="仿宋" w:cs="仿宋"/>
                <w:color w:val="auto"/>
                <w:kern w:val="2"/>
                <w:sz w:val="21"/>
                <w:szCs w:val="21"/>
                <w:highlight w:val="none"/>
                <w:lang w:val="en-US" w:eastAsia="zh-CN" w:bidi="ar-SA"/>
              </w:rPr>
              <w:t>咨询</w:t>
            </w:r>
            <w:r>
              <w:rPr>
                <w:rFonts w:hint="eastAsia" w:ascii="仿宋" w:hAnsi="仿宋" w:eastAsia="仿宋" w:cs="仿宋"/>
                <w:color w:val="auto"/>
                <w:kern w:val="2"/>
                <w:sz w:val="21"/>
                <w:szCs w:val="21"/>
                <w:highlight w:val="none"/>
                <w:lang w:val="zh-TW" w:eastAsia="zh-CN" w:bidi="ar-SA"/>
              </w:rPr>
              <w:t>工作量及计划安排</w:t>
            </w:r>
          </w:p>
        </w:tc>
        <w:tc>
          <w:tcPr>
            <w:tcW w:w="884" w:type="dxa"/>
            <w:noWrap w:val="0"/>
            <w:vAlign w:val="center"/>
          </w:tcPr>
          <w:p w14:paraId="72467092">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2B5D50DC">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4874A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9" w:hRule="atLeast"/>
        </w:trPr>
        <w:tc>
          <w:tcPr>
            <w:tcW w:w="937" w:type="dxa"/>
            <w:vMerge w:val="continue"/>
            <w:noWrap w:val="0"/>
            <w:vAlign w:val="top"/>
          </w:tcPr>
          <w:p w14:paraId="2C5C2555">
            <w:pPr>
              <w:spacing w:line="240" w:lineRule="atLeast"/>
              <w:rPr>
                <w:rFonts w:hint="eastAsia" w:ascii="仿宋" w:hAnsi="仿宋" w:eastAsia="仿宋" w:cs="仿宋"/>
                <w:b w:val="0"/>
                <w:bCs w:val="0"/>
                <w:color w:val="auto"/>
                <w:sz w:val="21"/>
                <w:szCs w:val="21"/>
                <w:highlight w:val="none"/>
              </w:rPr>
            </w:pPr>
          </w:p>
        </w:tc>
        <w:tc>
          <w:tcPr>
            <w:tcW w:w="637" w:type="dxa"/>
            <w:vMerge w:val="continue"/>
            <w:noWrap w:val="0"/>
            <w:vAlign w:val="top"/>
          </w:tcPr>
          <w:p w14:paraId="45E6FB8F">
            <w:pPr>
              <w:pStyle w:val="16"/>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2002D1C0">
            <w:pPr>
              <w:pStyle w:val="16"/>
              <w:spacing w:line="244" w:lineRule="auto"/>
              <w:ind w:left="143" w:leftChars="0" w:right="131" w:rightChars="0"/>
              <w:rPr>
                <w:rFonts w:hint="eastAsia" w:ascii="仿宋" w:hAnsi="仿宋" w:eastAsia="仿宋" w:cs="仿宋"/>
                <w:b w:val="0"/>
                <w:bCs w:val="0"/>
                <w:color w:val="auto"/>
                <w:sz w:val="21"/>
                <w:szCs w:val="21"/>
                <w:highlight w:val="none"/>
                <w:lang w:val="en-US"/>
              </w:rPr>
            </w:pPr>
          </w:p>
        </w:tc>
        <w:tc>
          <w:tcPr>
            <w:tcW w:w="2671" w:type="dxa"/>
            <w:noWrap w:val="0"/>
            <w:vAlign w:val="center"/>
          </w:tcPr>
          <w:p w14:paraId="5F60F407">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zh-TW" w:eastAsia="zh-CN" w:bidi="ar-SA"/>
              </w:rPr>
              <w:t>勘察设计</w:t>
            </w:r>
            <w:r>
              <w:rPr>
                <w:rFonts w:hint="eastAsia" w:ascii="仿宋" w:hAnsi="仿宋" w:eastAsia="仿宋" w:cs="仿宋"/>
                <w:color w:val="auto"/>
                <w:kern w:val="2"/>
                <w:sz w:val="21"/>
                <w:szCs w:val="21"/>
                <w:highlight w:val="none"/>
                <w:lang w:val="en-US" w:eastAsia="zh-CN" w:bidi="ar-SA"/>
              </w:rPr>
              <w:t>咨询</w:t>
            </w:r>
            <w:r>
              <w:rPr>
                <w:rFonts w:hint="eastAsia" w:ascii="仿宋" w:hAnsi="仿宋" w:eastAsia="仿宋" w:cs="仿宋"/>
                <w:color w:val="auto"/>
                <w:kern w:val="2"/>
                <w:sz w:val="21"/>
                <w:szCs w:val="21"/>
                <w:highlight w:val="none"/>
                <w:lang w:val="zh-TW" w:eastAsia="zh-CN" w:bidi="ar-SA"/>
              </w:rPr>
              <w:t>的质量保证措施、进度保证措施、安全保证措施</w:t>
            </w:r>
          </w:p>
        </w:tc>
        <w:tc>
          <w:tcPr>
            <w:tcW w:w="884" w:type="dxa"/>
            <w:noWrap w:val="0"/>
            <w:vAlign w:val="center"/>
          </w:tcPr>
          <w:p w14:paraId="3E1F68D6">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10</w:t>
            </w:r>
          </w:p>
        </w:tc>
        <w:tc>
          <w:tcPr>
            <w:tcW w:w="3533" w:type="dxa"/>
            <w:noWrap w:val="0"/>
            <w:vAlign w:val="center"/>
          </w:tcPr>
          <w:p w14:paraId="539576E2">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合理计8～10分，较合理计6～8分，基本满足项目需要计6分。</w:t>
            </w:r>
          </w:p>
        </w:tc>
      </w:tr>
      <w:tr w14:paraId="2CDDE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9" w:hRule="atLeast"/>
        </w:trPr>
        <w:tc>
          <w:tcPr>
            <w:tcW w:w="937" w:type="dxa"/>
            <w:vMerge w:val="continue"/>
            <w:noWrap w:val="0"/>
            <w:vAlign w:val="top"/>
          </w:tcPr>
          <w:p w14:paraId="39DCBBED">
            <w:pPr>
              <w:spacing w:line="240" w:lineRule="atLeast"/>
              <w:rPr>
                <w:rFonts w:hint="eastAsia" w:ascii="仿宋" w:hAnsi="仿宋" w:eastAsia="仿宋" w:cs="仿宋"/>
                <w:b w:val="0"/>
                <w:bCs w:val="0"/>
                <w:color w:val="auto"/>
                <w:sz w:val="21"/>
                <w:szCs w:val="21"/>
                <w:highlight w:val="none"/>
              </w:rPr>
            </w:pPr>
          </w:p>
        </w:tc>
        <w:tc>
          <w:tcPr>
            <w:tcW w:w="637" w:type="dxa"/>
            <w:vMerge w:val="continue"/>
            <w:noWrap w:val="0"/>
            <w:vAlign w:val="top"/>
          </w:tcPr>
          <w:p w14:paraId="18E7ACC3">
            <w:pPr>
              <w:pStyle w:val="16"/>
              <w:spacing w:line="240" w:lineRule="atLeast"/>
              <w:rPr>
                <w:rFonts w:hint="eastAsia" w:ascii="仿宋" w:hAnsi="仿宋" w:eastAsia="仿宋" w:cs="仿宋"/>
                <w:b w:val="0"/>
                <w:bCs w:val="0"/>
                <w:color w:val="auto"/>
                <w:sz w:val="21"/>
                <w:szCs w:val="21"/>
                <w:highlight w:val="none"/>
              </w:rPr>
            </w:pPr>
          </w:p>
        </w:tc>
        <w:tc>
          <w:tcPr>
            <w:tcW w:w="696" w:type="dxa"/>
            <w:vMerge w:val="continue"/>
            <w:noWrap w:val="0"/>
            <w:vAlign w:val="top"/>
          </w:tcPr>
          <w:p w14:paraId="3500EA81">
            <w:pPr>
              <w:pStyle w:val="16"/>
              <w:spacing w:line="244" w:lineRule="auto"/>
              <w:ind w:left="143" w:leftChars="0" w:right="131" w:rightChars="0"/>
              <w:rPr>
                <w:rFonts w:hint="eastAsia" w:ascii="仿宋" w:hAnsi="仿宋" w:eastAsia="仿宋" w:cs="仿宋"/>
                <w:b w:val="0"/>
                <w:bCs w:val="0"/>
                <w:color w:val="auto"/>
                <w:sz w:val="21"/>
                <w:szCs w:val="21"/>
                <w:highlight w:val="none"/>
              </w:rPr>
            </w:pPr>
          </w:p>
        </w:tc>
        <w:tc>
          <w:tcPr>
            <w:tcW w:w="2671" w:type="dxa"/>
            <w:noWrap w:val="0"/>
            <w:vAlign w:val="center"/>
          </w:tcPr>
          <w:p w14:paraId="5DFE723E">
            <w:pPr>
              <w:spacing w:line="240" w:lineRule="atLeast"/>
              <w:ind w:left="105" w:leftChars="50" w:right="105" w:rightChars="5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勘察设计咨询工作内容及工作方案</w:t>
            </w:r>
          </w:p>
        </w:tc>
        <w:tc>
          <w:tcPr>
            <w:tcW w:w="884" w:type="dxa"/>
            <w:noWrap w:val="0"/>
            <w:vAlign w:val="center"/>
          </w:tcPr>
          <w:p w14:paraId="3CBCD782">
            <w:pPr>
              <w:spacing w:line="240" w:lineRule="atLeast"/>
              <w:ind w:left="105" w:leftChars="50" w:right="105" w:rightChars="50"/>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5</w:t>
            </w:r>
          </w:p>
        </w:tc>
        <w:tc>
          <w:tcPr>
            <w:tcW w:w="3533" w:type="dxa"/>
            <w:noWrap w:val="0"/>
            <w:vAlign w:val="center"/>
          </w:tcPr>
          <w:p w14:paraId="25E196BB">
            <w:pPr>
              <w:spacing w:line="240" w:lineRule="atLeast"/>
              <w:ind w:left="105" w:leftChars="50" w:right="105" w:rightChars="50"/>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kern w:val="2"/>
                <w:sz w:val="21"/>
                <w:szCs w:val="21"/>
                <w:highlight w:val="none"/>
                <w:lang w:val="en-US" w:eastAsia="zh-CN" w:bidi="ar-SA"/>
              </w:rPr>
              <w:t>好计4～5分，较好计3～4分，基本满足项目需要计3分。</w:t>
            </w:r>
          </w:p>
        </w:tc>
      </w:tr>
      <w:tr w14:paraId="1831A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 w:hRule="atLeast"/>
        </w:trPr>
        <w:tc>
          <w:tcPr>
            <w:tcW w:w="937" w:type="dxa"/>
            <w:vMerge w:val="restart"/>
            <w:shd w:val="clear" w:color="auto" w:fill="auto"/>
            <w:noWrap w:val="0"/>
            <w:vAlign w:val="center"/>
          </w:tcPr>
          <w:p w14:paraId="1ED420C6">
            <w:pPr>
              <w:pStyle w:val="16"/>
              <w:spacing w:before="127"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2.2.4</w:t>
            </w:r>
          </w:p>
          <w:p w14:paraId="6BCA7BF7">
            <w:pPr>
              <w:spacing w:line="240" w:lineRule="atLeast"/>
              <w:jc w:val="center"/>
              <w:rPr>
                <w:rFonts w:hint="eastAsia" w:ascii="仿宋" w:hAnsi="仿宋" w:eastAsia="仿宋" w:cs="仿宋"/>
                <w:b w:val="0"/>
                <w:bCs w:val="0"/>
                <w:color w:val="auto"/>
                <w:sz w:val="21"/>
                <w:szCs w:val="21"/>
                <w:highlight w:val="none"/>
                <w:lang w:val="zh-CN" w:eastAsia="zh-CN" w:bidi="zh-CN"/>
              </w:rPr>
            </w:pPr>
            <w:r>
              <w:rPr>
                <w:rFonts w:hint="eastAsia" w:ascii="仿宋" w:hAnsi="仿宋" w:eastAsia="仿宋" w:cs="仿宋"/>
                <w:b w:val="0"/>
                <w:bCs w:val="0"/>
                <w:color w:val="auto"/>
                <w:sz w:val="21"/>
                <w:szCs w:val="21"/>
                <w:highlight w:val="none"/>
              </w:rPr>
              <w:t>（2）</w:t>
            </w:r>
          </w:p>
        </w:tc>
        <w:tc>
          <w:tcPr>
            <w:tcW w:w="637" w:type="dxa"/>
            <w:vMerge w:val="restart"/>
            <w:shd w:val="clear" w:color="auto" w:fill="auto"/>
            <w:noWrap w:val="0"/>
            <w:vAlign w:val="center"/>
          </w:tcPr>
          <w:p w14:paraId="64E2C205">
            <w:pPr>
              <w:spacing w:line="240" w:lineRule="atLeast"/>
              <w:jc w:val="center"/>
              <w:rPr>
                <w:rFonts w:hint="eastAsia" w:ascii="仿宋" w:hAnsi="仿宋" w:eastAsia="仿宋" w:cs="仿宋"/>
                <w:b w:val="0"/>
                <w:bCs w:val="0"/>
                <w:color w:val="auto"/>
                <w:sz w:val="21"/>
                <w:szCs w:val="21"/>
                <w:highlight w:val="none"/>
                <w:lang w:val="zh-CN" w:eastAsia="zh-CN" w:bidi="zh-CN"/>
              </w:rPr>
            </w:pPr>
            <w:r>
              <w:rPr>
                <w:rFonts w:hint="eastAsia" w:ascii="仿宋" w:hAnsi="仿宋" w:eastAsia="仿宋" w:cs="仿宋"/>
                <w:b w:val="0"/>
                <w:bCs w:val="0"/>
                <w:color w:val="auto"/>
                <w:sz w:val="21"/>
                <w:szCs w:val="21"/>
                <w:highlight w:val="none"/>
                <w:lang w:val="en-US" w:eastAsia="zh-CN"/>
              </w:rPr>
              <w:t>主要人员</w:t>
            </w:r>
          </w:p>
        </w:tc>
        <w:tc>
          <w:tcPr>
            <w:tcW w:w="696" w:type="dxa"/>
            <w:vMerge w:val="restart"/>
            <w:shd w:val="clear" w:color="auto" w:fill="auto"/>
            <w:noWrap w:val="0"/>
            <w:vAlign w:val="center"/>
          </w:tcPr>
          <w:p w14:paraId="181D6FBC">
            <w:pPr>
              <w:jc w:val="center"/>
              <w:rPr>
                <w:rFonts w:hint="eastAsia" w:ascii="仿宋" w:hAnsi="仿宋" w:eastAsia="仿宋" w:cs="仿宋"/>
                <w:b w:val="0"/>
                <w:bCs w:val="0"/>
                <w:color w:val="auto"/>
                <w:sz w:val="21"/>
                <w:szCs w:val="21"/>
                <w:highlight w:val="none"/>
                <w:lang w:val="zh-CN" w:eastAsia="zh-CN" w:bidi="zh-CN"/>
              </w:rPr>
            </w:pPr>
            <w:r>
              <w:rPr>
                <w:rFonts w:hint="eastAsia" w:ascii="仿宋" w:hAnsi="仿宋" w:eastAsia="仿宋" w:cs="仿宋"/>
                <w:b w:val="0"/>
                <w:bCs w:val="0"/>
                <w:color w:val="auto"/>
                <w:sz w:val="21"/>
                <w:szCs w:val="21"/>
                <w:highlight w:val="none"/>
                <w:lang w:val="en-US" w:eastAsia="zh-CN"/>
              </w:rPr>
              <w:t>20</w:t>
            </w:r>
            <w:r>
              <w:rPr>
                <w:rFonts w:hint="eastAsia" w:ascii="仿宋" w:hAnsi="仿宋" w:eastAsia="仿宋" w:cs="仿宋"/>
                <w:b w:val="0"/>
                <w:bCs w:val="0"/>
                <w:color w:val="auto"/>
                <w:sz w:val="21"/>
                <w:szCs w:val="21"/>
                <w:highlight w:val="none"/>
              </w:rPr>
              <w:t>分</w:t>
            </w:r>
          </w:p>
        </w:tc>
        <w:tc>
          <w:tcPr>
            <w:tcW w:w="2671" w:type="dxa"/>
            <w:shd w:val="clear" w:color="auto" w:fill="auto"/>
            <w:noWrap w:val="0"/>
            <w:vAlign w:val="center"/>
          </w:tcPr>
          <w:p w14:paraId="06B24B3B">
            <w:pPr>
              <w:jc w:val="center"/>
              <w:rPr>
                <w:rFonts w:hint="eastAsia" w:ascii="仿宋" w:hAnsi="仿宋" w:eastAsia="仿宋" w:cs="仿宋"/>
                <w:b w:val="0"/>
                <w:bCs w:val="0"/>
                <w:color w:val="auto"/>
                <w:sz w:val="21"/>
                <w:szCs w:val="21"/>
                <w:highlight w:val="none"/>
                <w:lang w:val="zh-CN" w:eastAsia="zh-CN" w:bidi="zh-CN"/>
              </w:rPr>
            </w:pPr>
            <w:r>
              <w:rPr>
                <w:rFonts w:hint="eastAsia" w:ascii="仿宋" w:hAnsi="仿宋" w:eastAsia="仿宋" w:cs="仿宋"/>
                <w:color w:val="auto"/>
                <w:sz w:val="21"/>
                <w:szCs w:val="21"/>
                <w:highlight w:val="none"/>
                <w:lang w:val="en-US" w:eastAsia="zh-CN"/>
              </w:rPr>
              <w:t>项目负责人</w:t>
            </w:r>
            <w:r>
              <w:rPr>
                <w:rFonts w:hint="eastAsia" w:ascii="仿宋" w:hAnsi="仿宋" w:eastAsia="仿宋" w:cs="仿宋"/>
                <w:color w:val="auto"/>
                <w:sz w:val="21"/>
                <w:szCs w:val="21"/>
                <w:highlight w:val="none"/>
              </w:rPr>
              <w:t>任职资格与业绩</w:t>
            </w:r>
            <w:r>
              <w:rPr>
                <w:rFonts w:hint="eastAsia" w:ascii="仿宋" w:hAnsi="仿宋" w:eastAsia="仿宋" w:cs="仿宋"/>
                <w:color w:val="auto"/>
                <w:sz w:val="21"/>
                <w:szCs w:val="21"/>
                <w:highlight w:val="none"/>
                <w:lang w:val="en-US" w:eastAsia="zh-CN"/>
              </w:rPr>
              <w:t>（FY-SJ1标段）</w:t>
            </w:r>
          </w:p>
        </w:tc>
        <w:tc>
          <w:tcPr>
            <w:tcW w:w="884" w:type="dxa"/>
            <w:shd w:val="clear" w:color="auto" w:fill="auto"/>
            <w:noWrap w:val="0"/>
            <w:vAlign w:val="center"/>
          </w:tcPr>
          <w:p w14:paraId="71FC56D6">
            <w:pPr>
              <w:jc w:val="center"/>
              <w:rPr>
                <w:rFonts w:hint="eastAsia" w:ascii="仿宋" w:hAnsi="仿宋" w:eastAsia="仿宋" w:cs="仿宋"/>
                <w:b w:val="0"/>
                <w:bCs w:val="0"/>
                <w:color w:val="auto"/>
                <w:sz w:val="21"/>
                <w:szCs w:val="21"/>
                <w:highlight w:val="none"/>
                <w:lang w:val="en-US" w:eastAsia="zh-CN" w:bidi="zh-CN"/>
              </w:rPr>
            </w:pPr>
            <w:r>
              <w:rPr>
                <w:rFonts w:hint="eastAsia" w:ascii="仿宋" w:hAnsi="仿宋" w:eastAsia="仿宋" w:cs="仿宋"/>
                <w:color w:val="auto"/>
                <w:sz w:val="21"/>
                <w:szCs w:val="21"/>
                <w:highlight w:val="none"/>
                <w:lang w:val="en-US" w:eastAsia="zh-CN"/>
              </w:rPr>
              <w:t>20</w:t>
            </w:r>
          </w:p>
        </w:tc>
        <w:tc>
          <w:tcPr>
            <w:tcW w:w="3533" w:type="dxa"/>
            <w:shd w:val="clear" w:color="auto" w:fill="auto"/>
            <w:noWrap w:val="0"/>
            <w:vAlign w:val="center"/>
          </w:tcPr>
          <w:p w14:paraId="4F004761">
            <w:pPr>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通过资格评审即得 12 分</w:t>
            </w:r>
            <w:r>
              <w:rPr>
                <w:rFonts w:hint="eastAsia" w:ascii="仿宋" w:hAnsi="仿宋" w:eastAsia="仿宋" w:cs="仿宋"/>
                <w:color w:val="auto"/>
                <w:sz w:val="21"/>
                <w:szCs w:val="21"/>
                <w:highlight w:val="none"/>
                <w:lang w:eastAsia="zh-CN"/>
              </w:rPr>
              <w:t>。</w:t>
            </w:r>
          </w:p>
          <w:p w14:paraId="5CD1E51F">
            <w:pPr>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满足资格审查条件之外，</w:t>
            </w:r>
            <w:r>
              <w:rPr>
                <w:rFonts w:hint="eastAsia" w:ascii="仿宋" w:hAnsi="仿宋" w:eastAsia="仿宋" w:cs="仿宋"/>
                <w:color w:val="auto"/>
                <w:sz w:val="21"/>
                <w:szCs w:val="21"/>
                <w:highlight w:val="none"/>
                <w:lang w:val="zh-TW"/>
              </w:rPr>
              <w:t>2020年1月1日至投标截止时间（以初步设计或施工图设计批复时间为准）</w:t>
            </w:r>
            <w:r>
              <w:rPr>
                <w:rFonts w:hint="eastAsia" w:ascii="仿宋" w:hAnsi="仿宋" w:eastAsia="仿宋" w:cs="仿宋"/>
                <w:color w:val="auto"/>
                <w:sz w:val="21"/>
                <w:szCs w:val="21"/>
                <w:highlight w:val="none"/>
                <w:lang w:val="zh-TW" w:eastAsia="zh-CN"/>
              </w:rPr>
              <w:t>，</w:t>
            </w:r>
            <w:r>
              <w:rPr>
                <w:rFonts w:hint="eastAsia" w:ascii="仿宋" w:hAnsi="仿宋" w:eastAsia="仿宋" w:cs="仿宋"/>
                <w:color w:val="auto"/>
                <w:sz w:val="21"/>
                <w:szCs w:val="21"/>
                <w:highlight w:val="none"/>
              </w:rPr>
              <w:t>每</w:t>
            </w:r>
            <w:r>
              <w:rPr>
                <w:rFonts w:hint="eastAsia" w:ascii="仿宋" w:hAnsi="仿宋" w:eastAsia="仿宋" w:cs="仿宋"/>
                <w:color w:val="auto"/>
                <w:sz w:val="21"/>
                <w:szCs w:val="21"/>
                <w:highlight w:val="none"/>
                <w:lang w:val="zh-TW"/>
              </w:rPr>
              <w:t>增加1个</w:t>
            </w:r>
            <w:r>
              <w:rPr>
                <w:rFonts w:hint="eastAsia" w:ascii="仿宋" w:hAnsi="仿宋" w:eastAsia="仿宋" w:cs="仿宋"/>
                <w:color w:val="auto"/>
                <w:sz w:val="21"/>
                <w:szCs w:val="21"/>
                <w:highlight w:val="none"/>
                <w:lang w:val="zh-TW" w:eastAsia="zh-CN"/>
              </w:rPr>
              <w:t>新建或改扩建高速公路勘察设计合同段</w:t>
            </w:r>
            <w:r>
              <w:rPr>
                <w:rFonts w:hint="eastAsia" w:ascii="仿宋" w:hAnsi="仿宋" w:eastAsia="仿宋" w:cs="仿宋"/>
                <w:color w:val="auto"/>
                <w:sz w:val="21"/>
                <w:szCs w:val="21"/>
                <w:highlight w:val="none"/>
                <w:lang w:val="zh-TW"/>
              </w:rPr>
              <w:t>项目负责人</w:t>
            </w:r>
            <w:r>
              <w:rPr>
                <w:rFonts w:hint="eastAsia" w:ascii="仿宋" w:hAnsi="仿宋" w:eastAsia="仿宋" w:cs="仿宋"/>
                <w:color w:val="auto"/>
                <w:sz w:val="21"/>
                <w:szCs w:val="21"/>
                <w:highlight w:val="none"/>
              </w:rPr>
              <w:t>任职</w:t>
            </w:r>
            <w:r>
              <w:rPr>
                <w:rFonts w:hint="eastAsia" w:ascii="仿宋" w:hAnsi="仿宋" w:eastAsia="仿宋" w:cs="仿宋"/>
                <w:color w:val="auto"/>
                <w:sz w:val="21"/>
                <w:szCs w:val="21"/>
                <w:highlight w:val="none"/>
                <w:lang w:val="zh-TW"/>
              </w:rPr>
              <w:t>业绩加</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val="zh-TW"/>
              </w:rPr>
              <w:t>分，</w:t>
            </w:r>
            <w:r>
              <w:rPr>
                <w:rFonts w:hint="eastAsia" w:ascii="仿宋" w:hAnsi="仿宋" w:eastAsia="仿宋" w:cs="仿宋"/>
                <w:color w:val="auto"/>
                <w:sz w:val="21"/>
                <w:szCs w:val="21"/>
                <w:highlight w:val="none"/>
                <w:lang w:val="en-US" w:eastAsia="zh-CN"/>
              </w:rPr>
              <w:t>此项</w:t>
            </w:r>
            <w:r>
              <w:rPr>
                <w:rFonts w:hint="eastAsia" w:ascii="仿宋" w:hAnsi="仿宋" w:eastAsia="仿宋" w:cs="仿宋"/>
                <w:color w:val="auto"/>
                <w:sz w:val="21"/>
                <w:szCs w:val="21"/>
                <w:highlight w:val="none"/>
                <w:lang w:val="zh-TW"/>
              </w:rPr>
              <w:t>最</w:t>
            </w:r>
            <w:r>
              <w:rPr>
                <w:rFonts w:hint="eastAsia" w:ascii="仿宋" w:hAnsi="仿宋" w:eastAsia="仿宋" w:cs="仿宋"/>
                <w:color w:val="auto"/>
                <w:sz w:val="21"/>
                <w:szCs w:val="21"/>
                <w:highlight w:val="none"/>
              </w:rPr>
              <w:t>多</w:t>
            </w:r>
            <w:r>
              <w:rPr>
                <w:rFonts w:hint="eastAsia" w:ascii="仿宋" w:hAnsi="仿宋" w:eastAsia="仿宋" w:cs="仿宋"/>
                <w:color w:val="auto"/>
                <w:sz w:val="21"/>
                <w:szCs w:val="21"/>
                <w:highlight w:val="none"/>
                <w:lang w:val="zh-TW"/>
              </w:rPr>
              <w:t>加</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val="zh-TW"/>
              </w:rPr>
              <w:t>分。</w:t>
            </w:r>
          </w:p>
        </w:tc>
      </w:tr>
      <w:tr w14:paraId="5D0A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9" w:hRule="atLeast"/>
        </w:trPr>
        <w:tc>
          <w:tcPr>
            <w:tcW w:w="937" w:type="dxa"/>
            <w:vMerge w:val="continue"/>
            <w:shd w:val="clear" w:color="auto" w:fill="auto"/>
            <w:noWrap w:val="0"/>
            <w:vAlign w:val="center"/>
          </w:tcPr>
          <w:p w14:paraId="1B0A65F9">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shd w:val="clear" w:color="auto" w:fill="auto"/>
            <w:noWrap w:val="0"/>
            <w:vAlign w:val="center"/>
          </w:tcPr>
          <w:p w14:paraId="69F445B7">
            <w:pPr>
              <w:spacing w:line="240" w:lineRule="atLeast"/>
              <w:jc w:val="center"/>
              <w:rPr>
                <w:rFonts w:hint="eastAsia" w:ascii="仿宋" w:hAnsi="仿宋" w:eastAsia="仿宋" w:cs="仿宋"/>
                <w:b w:val="0"/>
                <w:bCs w:val="0"/>
                <w:color w:val="auto"/>
                <w:sz w:val="21"/>
                <w:szCs w:val="21"/>
                <w:highlight w:val="none"/>
                <w:lang w:val="en-US" w:eastAsia="zh-CN"/>
              </w:rPr>
            </w:pPr>
          </w:p>
        </w:tc>
        <w:tc>
          <w:tcPr>
            <w:tcW w:w="696" w:type="dxa"/>
            <w:vMerge w:val="continue"/>
            <w:shd w:val="clear" w:color="auto" w:fill="auto"/>
            <w:noWrap w:val="0"/>
            <w:vAlign w:val="center"/>
          </w:tcPr>
          <w:p w14:paraId="2E7CC5BC">
            <w:pPr>
              <w:jc w:val="center"/>
              <w:rPr>
                <w:rFonts w:hint="eastAsia" w:ascii="仿宋" w:hAnsi="仿宋" w:eastAsia="仿宋" w:cs="仿宋"/>
                <w:b w:val="0"/>
                <w:bCs w:val="0"/>
                <w:color w:val="auto"/>
                <w:sz w:val="21"/>
                <w:szCs w:val="21"/>
                <w:highlight w:val="none"/>
                <w:lang w:val="en-US" w:eastAsia="zh-CN"/>
              </w:rPr>
            </w:pPr>
          </w:p>
        </w:tc>
        <w:tc>
          <w:tcPr>
            <w:tcW w:w="2671" w:type="dxa"/>
            <w:shd w:val="clear" w:color="auto" w:fill="auto"/>
            <w:noWrap w:val="0"/>
            <w:vAlign w:val="center"/>
          </w:tcPr>
          <w:p w14:paraId="4949B8B1">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项目负责人</w:t>
            </w:r>
            <w:r>
              <w:rPr>
                <w:rFonts w:hint="eastAsia" w:ascii="仿宋" w:hAnsi="仿宋" w:eastAsia="仿宋" w:cs="仿宋"/>
                <w:color w:val="auto"/>
                <w:sz w:val="21"/>
                <w:szCs w:val="21"/>
                <w:highlight w:val="none"/>
              </w:rPr>
              <w:t>任职资格与业绩</w:t>
            </w:r>
            <w:r>
              <w:rPr>
                <w:rFonts w:hint="eastAsia" w:ascii="仿宋" w:hAnsi="仿宋" w:eastAsia="仿宋" w:cs="仿宋"/>
                <w:color w:val="auto"/>
                <w:sz w:val="21"/>
                <w:szCs w:val="21"/>
                <w:highlight w:val="none"/>
                <w:lang w:val="en-US" w:eastAsia="zh-CN"/>
              </w:rPr>
              <w:t>（FY-ZX1标段）</w:t>
            </w:r>
          </w:p>
        </w:tc>
        <w:tc>
          <w:tcPr>
            <w:tcW w:w="884" w:type="dxa"/>
            <w:shd w:val="clear" w:color="auto" w:fill="auto"/>
            <w:noWrap w:val="0"/>
            <w:vAlign w:val="center"/>
          </w:tcPr>
          <w:p w14:paraId="53E3F79A">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3533" w:type="dxa"/>
            <w:shd w:val="clear" w:color="auto" w:fill="auto"/>
            <w:noWrap w:val="0"/>
            <w:vAlign w:val="center"/>
          </w:tcPr>
          <w:p w14:paraId="06F393F6">
            <w:pPr>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通过资格评审即得 12 分。</w:t>
            </w:r>
          </w:p>
          <w:p w14:paraId="59288F94">
            <w:pPr>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满足资格审查条件之外</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zh-TW"/>
              </w:rPr>
              <w:t>2020年1月1日至投标截止时间以初步设计或施工图设计批复时间为准）</w:t>
            </w:r>
            <w:r>
              <w:rPr>
                <w:rFonts w:hint="eastAsia" w:ascii="仿宋" w:hAnsi="仿宋" w:eastAsia="仿宋" w:cs="仿宋"/>
                <w:color w:val="auto"/>
                <w:sz w:val="21"/>
                <w:szCs w:val="21"/>
                <w:highlight w:val="none"/>
                <w:lang w:val="zh-TW" w:eastAsia="zh-CN"/>
              </w:rPr>
              <w:t>，</w:t>
            </w:r>
            <w:r>
              <w:rPr>
                <w:rFonts w:hint="eastAsia" w:ascii="仿宋" w:hAnsi="仿宋" w:eastAsia="仿宋" w:cs="仿宋"/>
                <w:color w:val="auto"/>
                <w:sz w:val="21"/>
                <w:szCs w:val="21"/>
                <w:highlight w:val="none"/>
              </w:rPr>
              <w:t>每</w:t>
            </w:r>
            <w:r>
              <w:rPr>
                <w:rFonts w:hint="eastAsia" w:ascii="仿宋" w:hAnsi="仿宋" w:eastAsia="仿宋" w:cs="仿宋"/>
                <w:color w:val="auto"/>
                <w:sz w:val="21"/>
                <w:szCs w:val="21"/>
                <w:highlight w:val="none"/>
                <w:lang w:val="zh-TW"/>
              </w:rPr>
              <w:t>增加1个</w:t>
            </w:r>
            <w:r>
              <w:rPr>
                <w:rFonts w:hint="eastAsia" w:ascii="仿宋" w:hAnsi="仿宋" w:eastAsia="仿宋" w:cs="仿宋"/>
                <w:color w:val="auto"/>
                <w:sz w:val="21"/>
                <w:szCs w:val="21"/>
                <w:highlight w:val="none"/>
                <w:lang w:val="zh-TW" w:eastAsia="zh-CN"/>
              </w:rPr>
              <w:t>新建或改扩建高速公路</w:t>
            </w:r>
            <w:r>
              <w:rPr>
                <w:rFonts w:hint="eastAsia" w:ascii="仿宋" w:hAnsi="仿宋" w:eastAsia="仿宋" w:cs="仿宋"/>
                <w:color w:val="auto"/>
                <w:sz w:val="21"/>
                <w:szCs w:val="21"/>
                <w:highlight w:val="none"/>
              </w:rPr>
              <w:t>勘察设计或设计咨询</w:t>
            </w:r>
            <w:r>
              <w:rPr>
                <w:rFonts w:hint="eastAsia" w:ascii="仿宋" w:hAnsi="仿宋" w:eastAsia="仿宋" w:cs="仿宋"/>
                <w:color w:val="auto"/>
                <w:sz w:val="21"/>
                <w:szCs w:val="21"/>
                <w:highlight w:val="none"/>
                <w:lang w:val="zh-TW" w:eastAsia="zh-CN"/>
              </w:rPr>
              <w:t>合同段</w:t>
            </w:r>
            <w:r>
              <w:rPr>
                <w:rFonts w:hint="eastAsia" w:ascii="仿宋" w:hAnsi="仿宋" w:eastAsia="仿宋" w:cs="仿宋"/>
                <w:color w:val="auto"/>
                <w:sz w:val="21"/>
                <w:szCs w:val="21"/>
                <w:highlight w:val="none"/>
                <w:lang w:val="zh-TW"/>
              </w:rPr>
              <w:t>项目负责人</w:t>
            </w:r>
            <w:r>
              <w:rPr>
                <w:rFonts w:hint="eastAsia" w:ascii="仿宋" w:hAnsi="仿宋" w:eastAsia="仿宋" w:cs="仿宋"/>
                <w:color w:val="auto"/>
                <w:sz w:val="21"/>
                <w:szCs w:val="21"/>
                <w:highlight w:val="none"/>
              </w:rPr>
              <w:t>任职</w:t>
            </w:r>
            <w:r>
              <w:rPr>
                <w:rFonts w:hint="eastAsia" w:ascii="仿宋" w:hAnsi="仿宋" w:eastAsia="仿宋" w:cs="仿宋"/>
                <w:color w:val="auto"/>
                <w:sz w:val="21"/>
                <w:szCs w:val="21"/>
                <w:highlight w:val="none"/>
                <w:lang w:val="zh-TW"/>
              </w:rPr>
              <w:t>业绩加</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val="zh-TW"/>
              </w:rPr>
              <w:t>分</w:t>
            </w:r>
            <w:r>
              <w:rPr>
                <w:rFonts w:hint="eastAsia" w:ascii="仿宋" w:hAnsi="仿宋" w:eastAsia="仿宋" w:cs="仿宋"/>
                <w:color w:val="auto"/>
                <w:sz w:val="21"/>
                <w:szCs w:val="21"/>
                <w:highlight w:val="none"/>
                <w:lang w:val="zh-TW" w:eastAsia="zh-CN"/>
              </w:rPr>
              <w:t>，</w:t>
            </w:r>
            <w:r>
              <w:rPr>
                <w:rFonts w:hint="eastAsia" w:ascii="仿宋" w:hAnsi="仿宋" w:eastAsia="仿宋" w:cs="仿宋"/>
                <w:color w:val="auto"/>
                <w:sz w:val="21"/>
                <w:szCs w:val="21"/>
                <w:highlight w:val="none"/>
                <w:lang w:val="en-US" w:eastAsia="zh-CN"/>
              </w:rPr>
              <w:t>此项</w:t>
            </w:r>
            <w:r>
              <w:rPr>
                <w:rFonts w:hint="eastAsia" w:ascii="仿宋" w:hAnsi="仿宋" w:eastAsia="仿宋" w:cs="仿宋"/>
                <w:color w:val="auto"/>
                <w:sz w:val="21"/>
                <w:szCs w:val="21"/>
                <w:highlight w:val="none"/>
                <w:lang w:val="zh-TW" w:eastAsia="zh-CN"/>
              </w:rPr>
              <w:t>最多加</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val="zh-TW" w:eastAsia="zh-CN"/>
              </w:rPr>
              <w:t>分。</w:t>
            </w:r>
          </w:p>
        </w:tc>
      </w:tr>
      <w:tr w14:paraId="3BF6A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13" w:hRule="atLeast"/>
        </w:trPr>
        <w:tc>
          <w:tcPr>
            <w:tcW w:w="937" w:type="dxa"/>
            <w:noWrap w:val="0"/>
            <w:vAlign w:val="center"/>
          </w:tcPr>
          <w:p w14:paraId="1EC4A74B">
            <w:pPr>
              <w:pStyle w:val="16"/>
              <w:spacing w:line="400" w:lineRule="exact"/>
              <w:ind w:left="119" w:leftChars="0"/>
              <w:rPr>
                <w:rFonts w:hint="eastAsia" w:ascii="仿宋" w:hAnsi="仿宋" w:eastAsia="仿宋" w:cs="仿宋"/>
                <w:b w:val="0"/>
                <w:bCs w:val="0"/>
                <w:color w:val="auto"/>
                <w:sz w:val="21"/>
                <w:szCs w:val="21"/>
                <w:highlight w:val="none"/>
              </w:rPr>
            </w:pPr>
            <w:r>
              <w:rPr>
                <w:rFonts w:hint="eastAsia" w:ascii="仿宋" w:hAnsi="仿宋" w:eastAsia="仿宋" w:cs="仿宋"/>
                <w:sz w:val="21"/>
                <w:szCs w:val="21"/>
                <w:highlight w:val="none"/>
              </w:rPr>
              <w:t>2.2.4（3）</w:t>
            </w:r>
          </w:p>
        </w:tc>
        <w:tc>
          <w:tcPr>
            <w:tcW w:w="637" w:type="dxa"/>
            <w:noWrap w:val="0"/>
            <w:vAlign w:val="center"/>
          </w:tcPr>
          <w:p w14:paraId="632BB5FA">
            <w:pPr>
              <w:pStyle w:val="16"/>
              <w:spacing w:line="240" w:lineRule="atLeast"/>
              <w:jc w:val="center"/>
              <w:rPr>
                <w:rFonts w:hint="eastAsia" w:ascii="仿宋" w:hAnsi="仿宋" w:eastAsia="仿宋" w:cs="仿宋"/>
                <w:b w:val="0"/>
                <w:bCs w:val="0"/>
                <w:color w:val="auto"/>
                <w:sz w:val="21"/>
                <w:szCs w:val="21"/>
                <w:highlight w:val="none"/>
              </w:rPr>
            </w:pPr>
          </w:p>
          <w:p w14:paraId="722D449D">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评</w:t>
            </w:r>
          </w:p>
          <w:p w14:paraId="06A8A53B">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标</w:t>
            </w:r>
          </w:p>
          <w:p w14:paraId="40BA3816">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价</w:t>
            </w:r>
          </w:p>
        </w:tc>
        <w:tc>
          <w:tcPr>
            <w:tcW w:w="696" w:type="dxa"/>
            <w:noWrap w:val="0"/>
            <w:vAlign w:val="center"/>
          </w:tcPr>
          <w:p w14:paraId="45219E0B">
            <w:pPr>
              <w:pStyle w:val="16"/>
              <w:spacing w:line="400" w:lineRule="exact"/>
              <w:ind w:left="220" w:leftChars="0" w:right="186" w:rightChars="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sz w:val="21"/>
                <w:szCs w:val="21"/>
                <w:highlight w:val="none"/>
              </w:rPr>
              <w:t>10 分</w:t>
            </w:r>
          </w:p>
        </w:tc>
        <w:tc>
          <w:tcPr>
            <w:tcW w:w="7088" w:type="dxa"/>
            <w:gridSpan w:val="3"/>
            <w:noWrap w:val="0"/>
            <w:vAlign w:val="center"/>
          </w:tcPr>
          <w:p w14:paraId="078DE605">
            <w:pPr>
              <w:pStyle w:val="16"/>
              <w:keepNext w:val="0"/>
              <w:keepLines w:val="0"/>
              <w:pageBreakBefore w:val="0"/>
              <w:widowControl w:val="0"/>
              <w:kinsoku/>
              <w:wordWrap/>
              <w:overflowPunct/>
              <w:topLinePunct w:val="0"/>
              <w:autoSpaceDE/>
              <w:autoSpaceDN/>
              <w:bidi w:val="0"/>
              <w:adjustRightInd/>
              <w:snapToGrid/>
              <w:spacing w:line="360" w:lineRule="exact"/>
              <w:ind w:left="117"/>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FY-SJ1、FY-ZX1：</w:t>
            </w:r>
          </w:p>
          <w:p w14:paraId="2738E512">
            <w:pPr>
              <w:pStyle w:val="16"/>
              <w:keepNext w:val="0"/>
              <w:keepLines w:val="0"/>
              <w:pageBreakBefore w:val="0"/>
              <w:widowControl w:val="0"/>
              <w:kinsoku/>
              <w:wordWrap/>
              <w:overflowPunct/>
              <w:topLinePunct w:val="0"/>
              <w:autoSpaceDE/>
              <w:autoSpaceDN/>
              <w:bidi w:val="0"/>
              <w:adjustRightInd/>
              <w:snapToGrid/>
              <w:spacing w:line="360" w:lineRule="exact"/>
              <w:ind w:left="117"/>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评标价得分计算公式示例：</w:t>
            </w:r>
          </w:p>
          <w:p w14:paraId="4024EF29">
            <w:pPr>
              <w:pStyle w:val="16"/>
              <w:keepNext w:val="0"/>
              <w:keepLines w:val="0"/>
              <w:pageBreakBefore w:val="0"/>
              <w:widowControl w:val="0"/>
              <w:tabs>
                <w:tab w:val="left" w:pos="647"/>
              </w:tabs>
              <w:kinsoku/>
              <w:wordWrap/>
              <w:overflowPunct/>
              <w:topLinePunct w:val="0"/>
              <w:autoSpaceDE/>
              <w:autoSpaceDN/>
              <w:bidi w:val="0"/>
              <w:adjustRightInd/>
              <w:snapToGrid/>
              <w:spacing w:line="360" w:lineRule="exact"/>
              <w:ind w:left="116"/>
              <w:textAlignment w:val="auto"/>
              <w:rPr>
                <w:rFonts w:hint="eastAsia" w:ascii="仿宋" w:hAnsi="仿宋" w:eastAsia="仿宋" w:cs="仿宋"/>
                <w:sz w:val="21"/>
                <w:szCs w:val="21"/>
                <w:highlight w:val="none"/>
              </w:rPr>
            </w:pPr>
            <w:r>
              <w:rPr>
                <w:rFonts w:hint="eastAsia" w:ascii="仿宋" w:hAnsi="仿宋" w:eastAsia="仿宋" w:cs="仿宋"/>
                <w:spacing w:val="-1"/>
                <w:sz w:val="21"/>
                <w:szCs w:val="21"/>
                <w:highlight w:val="none"/>
              </w:rPr>
              <w:t>（</w:t>
            </w:r>
            <w:r>
              <w:rPr>
                <w:rFonts w:hint="eastAsia" w:ascii="仿宋" w:hAnsi="仿宋" w:eastAsia="仿宋" w:cs="仿宋"/>
                <w:spacing w:val="-1"/>
                <w:sz w:val="21"/>
                <w:szCs w:val="21"/>
                <w:highlight w:val="none"/>
                <w:lang w:val="en-US"/>
              </w:rPr>
              <w:t>1</w:t>
            </w:r>
            <w:r>
              <w:rPr>
                <w:rFonts w:hint="eastAsia" w:ascii="仿宋" w:hAnsi="仿宋" w:eastAsia="仿宋" w:cs="仿宋"/>
                <w:spacing w:val="-1"/>
                <w:sz w:val="21"/>
                <w:szCs w:val="21"/>
                <w:highlight w:val="none"/>
              </w:rPr>
              <w:t>）如果投标人的评标价&gt;评标基准价，则评标价得分</w:t>
            </w:r>
            <w:r>
              <w:rPr>
                <w:rFonts w:hint="eastAsia" w:ascii="仿宋" w:hAnsi="仿宋" w:eastAsia="仿宋" w:cs="仿宋"/>
                <w:position w:val="1"/>
                <w:sz w:val="21"/>
                <w:szCs w:val="21"/>
                <w:highlight w:val="none"/>
              </w:rPr>
              <w:t>=10-偏差率×100×E</w:t>
            </w:r>
            <w:r>
              <w:rPr>
                <w:rFonts w:hint="eastAsia" w:ascii="仿宋" w:hAnsi="仿宋" w:eastAsia="仿宋" w:cs="仿宋"/>
                <w:sz w:val="21"/>
                <w:szCs w:val="21"/>
                <w:highlight w:val="none"/>
              </w:rPr>
              <w:t>1</w:t>
            </w:r>
            <w:r>
              <w:rPr>
                <w:rFonts w:hint="eastAsia" w:ascii="仿宋" w:hAnsi="仿宋" w:eastAsia="仿宋" w:cs="仿宋"/>
                <w:position w:val="1"/>
                <w:sz w:val="21"/>
                <w:szCs w:val="21"/>
                <w:highlight w:val="none"/>
              </w:rPr>
              <w:t>；</w:t>
            </w:r>
          </w:p>
          <w:p w14:paraId="20E5564C">
            <w:pPr>
              <w:pStyle w:val="16"/>
              <w:keepNext w:val="0"/>
              <w:keepLines w:val="0"/>
              <w:pageBreakBefore w:val="0"/>
              <w:widowControl w:val="0"/>
              <w:tabs>
                <w:tab w:val="left" w:pos="647"/>
              </w:tabs>
              <w:kinsoku/>
              <w:wordWrap/>
              <w:overflowPunct/>
              <w:topLinePunct w:val="0"/>
              <w:autoSpaceDE/>
              <w:autoSpaceDN/>
              <w:bidi w:val="0"/>
              <w:adjustRightInd/>
              <w:snapToGrid/>
              <w:spacing w:line="360" w:lineRule="exact"/>
              <w:ind w:left="116"/>
              <w:textAlignment w:val="auto"/>
              <w:rPr>
                <w:rFonts w:hint="eastAsia" w:ascii="仿宋" w:hAnsi="仿宋" w:eastAsia="仿宋" w:cs="仿宋"/>
                <w:sz w:val="21"/>
                <w:szCs w:val="21"/>
                <w:highlight w:val="none"/>
              </w:rPr>
            </w:pPr>
            <w:r>
              <w:rPr>
                <w:rFonts w:hint="eastAsia" w:ascii="仿宋" w:hAnsi="仿宋" w:eastAsia="仿宋" w:cs="仿宋"/>
                <w:spacing w:val="-6"/>
                <w:sz w:val="21"/>
                <w:szCs w:val="21"/>
                <w:highlight w:val="none"/>
              </w:rPr>
              <w:t>（</w:t>
            </w:r>
            <w:r>
              <w:rPr>
                <w:rFonts w:hint="eastAsia" w:ascii="仿宋" w:hAnsi="仿宋" w:eastAsia="仿宋" w:cs="仿宋"/>
                <w:spacing w:val="-6"/>
                <w:sz w:val="21"/>
                <w:szCs w:val="21"/>
                <w:highlight w:val="none"/>
                <w:lang w:val="en-US"/>
              </w:rPr>
              <w:t>2</w:t>
            </w:r>
            <w:r>
              <w:rPr>
                <w:rFonts w:hint="eastAsia" w:ascii="仿宋" w:hAnsi="仿宋" w:eastAsia="仿宋" w:cs="仿宋"/>
                <w:spacing w:val="-6"/>
                <w:sz w:val="21"/>
                <w:szCs w:val="21"/>
                <w:highlight w:val="none"/>
              </w:rPr>
              <w:t>）如果投标人的评标价≤评标基准价，则评标价得分</w:t>
            </w:r>
            <w:r>
              <w:rPr>
                <w:rFonts w:hint="eastAsia" w:ascii="仿宋" w:hAnsi="仿宋" w:eastAsia="仿宋" w:cs="仿宋"/>
                <w:position w:val="1"/>
                <w:sz w:val="21"/>
                <w:szCs w:val="21"/>
                <w:highlight w:val="none"/>
              </w:rPr>
              <w:t>=10+偏差率×100×E</w:t>
            </w:r>
            <w:r>
              <w:rPr>
                <w:rFonts w:hint="eastAsia" w:ascii="仿宋" w:hAnsi="仿宋" w:eastAsia="仿宋" w:cs="仿宋"/>
                <w:sz w:val="21"/>
                <w:szCs w:val="21"/>
                <w:highlight w:val="none"/>
              </w:rPr>
              <w:t>2</w:t>
            </w:r>
            <w:r>
              <w:rPr>
                <w:rFonts w:hint="eastAsia" w:ascii="仿宋" w:hAnsi="仿宋" w:eastAsia="仿宋" w:cs="仿宋"/>
                <w:position w:val="1"/>
                <w:sz w:val="21"/>
                <w:szCs w:val="21"/>
                <w:highlight w:val="none"/>
              </w:rPr>
              <w:t>。</w:t>
            </w:r>
          </w:p>
          <w:p w14:paraId="0D2CB89E">
            <w:pPr>
              <w:pStyle w:val="16"/>
              <w:keepNext w:val="0"/>
              <w:keepLines w:val="0"/>
              <w:pageBreakBefore w:val="0"/>
              <w:widowControl w:val="0"/>
              <w:kinsoku/>
              <w:wordWrap/>
              <w:overflowPunct/>
              <w:topLinePunct w:val="0"/>
              <w:autoSpaceDE/>
              <w:autoSpaceDN/>
              <w:bidi w:val="0"/>
              <w:adjustRightInd/>
              <w:snapToGrid/>
              <w:spacing w:line="360" w:lineRule="exact"/>
              <w:ind w:left="117" w:right="68"/>
              <w:textAlignment w:val="auto"/>
              <w:rPr>
                <w:rFonts w:hint="eastAsia" w:ascii="仿宋" w:hAnsi="仿宋" w:eastAsia="仿宋" w:cs="仿宋"/>
                <w:sz w:val="21"/>
                <w:szCs w:val="21"/>
                <w:highlight w:val="none"/>
              </w:rPr>
            </w:pPr>
            <w:r>
              <w:rPr>
                <w:rFonts w:hint="eastAsia" w:ascii="仿宋" w:hAnsi="仿宋" w:eastAsia="仿宋" w:cs="仿宋"/>
                <w:position w:val="1"/>
                <w:sz w:val="21"/>
                <w:szCs w:val="21"/>
                <w:highlight w:val="none"/>
              </w:rPr>
              <w:t>其中：E</w:t>
            </w:r>
            <w:r>
              <w:rPr>
                <w:rFonts w:hint="eastAsia" w:ascii="仿宋" w:hAnsi="仿宋" w:eastAsia="仿宋" w:cs="仿宋"/>
                <w:sz w:val="21"/>
                <w:szCs w:val="21"/>
                <w:highlight w:val="none"/>
              </w:rPr>
              <w:t>1</w:t>
            </w:r>
            <w:r>
              <w:rPr>
                <w:rFonts w:hint="eastAsia" w:ascii="仿宋" w:hAnsi="仿宋" w:eastAsia="仿宋" w:cs="仿宋"/>
                <w:position w:val="1"/>
                <w:sz w:val="21"/>
                <w:szCs w:val="21"/>
                <w:highlight w:val="none"/>
              </w:rPr>
              <w:t>=</w:t>
            </w:r>
            <w:r>
              <w:rPr>
                <w:rFonts w:hint="eastAsia" w:ascii="仿宋" w:hAnsi="仿宋" w:eastAsia="仿宋" w:cs="仿宋"/>
                <w:position w:val="1"/>
                <w:sz w:val="21"/>
                <w:szCs w:val="21"/>
                <w:highlight w:val="none"/>
                <w:lang w:val="en-US" w:eastAsia="zh-CN"/>
              </w:rPr>
              <w:t>0.2</w:t>
            </w:r>
            <w:r>
              <w:rPr>
                <w:rFonts w:hint="eastAsia" w:ascii="仿宋" w:hAnsi="仿宋" w:eastAsia="仿宋" w:cs="仿宋"/>
                <w:position w:val="1"/>
                <w:sz w:val="21"/>
                <w:szCs w:val="21"/>
                <w:highlight w:val="none"/>
              </w:rPr>
              <w:t>，是评标价每高于评标基准价一个百分点的扣分值；E</w:t>
            </w:r>
            <w:r>
              <w:rPr>
                <w:rFonts w:hint="eastAsia" w:ascii="仿宋" w:hAnsi="仿宋" w:eastAsia="仿宋" w:cs="仿宋"/>
                <w:sz w:val="21"/>
                <w:szCs w:val="21"/>
                <w:highlight w:val="none"/>
              </w:rPr>
              <w:t>2</w:t>
            </w:r>
            <w:r>
              <w:rPr>
                <w:rFonts w:hint="eastAsia" w:ascii="仿宋" w:hAnsi="仿宋" w:eastAsia="仿宋" w:cs="仿宋"/>
                <w:position w:val="1"/>
                <w:sz w:val="21"/>
                <w:szCs w:val="21"/>
                <w:highlight w:val="none"/>
              </w:rPr>
              <w:t>=</w:t>
            </w:r>
            <w:r>
              <w:rPr>
                <w:rFonts w:hint="eastAsia" w:ascii="仿宋" w:hAnsi="仿宋" w:eastAsia="仿宋" w:cs="仿宋"/>
                <w:position w:val="1"/>
                <w:sz w:val="21"/>
                <w:szCs w:val="21"/>
                <w:highlight w:val="none"/>
                <w:lang w:val="en-US" w:eastAsia="zh-CN"/>
              </w:rPr>
              <w:t>0.1</w:t>
            </w:r>
            <w:r>
              <w:rPr>
                <w:rFonts w:hint="eastAsia" w:ascii="仿宋" w:hAnsi="仿宋" w:eastAsia="仿宋" w:cs="仿宋"/>
                <w:position w:val="1"/>
                <w:sz w:val="21"/>
                <w:szCs w:val="21"/>
                <w:highlight w:val="none"/>
              </w:rPr>
              <w:t>，是评标价每低于评标基准价一个百分</w:t>
            </w:r>
            <w:r>
              <w:rPr>
                <w:rFonts w:hint="eastAsia" w:ascii="仿宋" w:hAnsi="仿宋" w:eastAsia="仿宋" w:cs="仿宋"/>
                <w:sz w:val="21"/>
                <w:szCs w:val="21"/>
                <w:highlight w:val="none"/>
              </w:rPr>
              <w:t>点的扣分值；</w:t>
            </w:r>
          </w:p>
          <w:p w14:paraId="4A9E20E8">
            <w:pPr>
              <w:pStyle w:val="16"/>
              <w:keepNext w:val="0"/>
              <w:keepLines w:val="0"/>
              <w:pageBreakBefore w:val="0"/>
              <w:widowControl w:val="0"/>
              <w:kinsoku/>
              <w:wordWrap/>
              <w:overflowPunct/>
              <w:topLinePunct w:val="0"/>
              <w:autoSpaceDE/>
              <w:autoSpaceDN/>
              <w:bidi w:val="0"/>
              <w:adjustRightInd/>
              <w:snapToGrid/>
              <w:spacing w:line="360" w:lineRule="exact"/>
              <w:ind w:left="117"/>
              <w:textAlignment w:val="auto"/>
              <w:rPr>
                <w:rFonts w:hint="eastAsia" w:ascii="仿宋" w:hAnsi="仿宋" w:eastAsia="仿宋" w:cs="仿宋"/>
                <w:b w:val="0"/>
                <w:bCs w:val="0"/>
                <w:color w:val="auto"/>
                <w:sz w:val="21"/>
                <w:szCs w:val="21"/>
                <w:highlight w:val="none"/>
                <w:lang w:val="en-US" w:eastAsia="zh-CN" w:bidi="ar-SA"/>
              </w:rPr>
            </w:pPr>
            <w:r>
              <w:rPr>
                <w:rFonts w:hint="eastAsia" w:ascii="仿宋" w:hAnsi="仿宋" w:eastAsia="仿宋" w:cs="仿宋"/>
                <w:spacing w:val="-13"/>
                <w:sz w:val="21"/>
                <w:szCs w:val="21"/>
                <w:highlight w:val="none"/>
              </w:rPr>
              <w:t>评标价得分分值保留小数点后两位，小数点后第三位“四</w:t>
            </w:r>
            <w:r>
              <w:rPr>
                <w:rFonts w:hint="eastAsia" w:ascii="仿宋" w:hAnsi="仿宋" w:eastAsia="仿宋" w:cs="仿宋"/>
                <w:sz w:val="21"/>
                <w:szCs w:val="21"/>
                <w:highlight w:val="none"/>
              </w:rPr>
              <w:t>舍五入”；评标价得分最低为 0 分。</w:t>
            </w:r>
          </w:p>
        </w:tc>
      </w:tr>
      <w:tr w14:paraId="3F55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7" w:hRule="atLeast"/>
        </w:trPr>
        <w:tc>
          <w:tcPr>
            <w:tcW w:w="937" w:type="dxa"/>
            <w:vMerge w:val="restart"/>
            <w:noWrap w:val="0"/>
            <w:vAlign w:val="center"/>
          </w:tcPr>
          <w:p w14:paraId="45C3EEF9">
            <w:pPr>
              <w:pStyle w:val="16"/>
              <w:spacing w:before="127"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2.2.4</w:t>
            </w:r>
          </w:p>
          <w:p w14:paraId="6A46D3CC">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rPr>
              <w:t>4</w:t>
            </w:r>
            <w:r>
              <w:rPr>
                <w:rFonts w:hint="eastAsia" w:ascii="仿宋" w:hAnsi="仿宋" w:eastAsia="仿宋" w:cs="仿宋"/>
                <w:b w:val="0"/>
                <w:bCs w:val="0"/>
                <w:color w:val="auto"/>
                <w:sz w:val="21"/>
                <w:szCs w:val="21"/>
                <w:highlight w:val="none"/>
              </w:rPr>
              <w:t>）</w:t>
            </w:r>
          </w:p>
        </w:tc>
        <w:tc>
          <w:tcPr>
            <w:tcW w:w="637" w:type="dxa"/>
            <w:vMerge w:val="restart"/>
            <w:noWrap w:val="0"/>
            <w:vAlign w:val="center"/>
          </w:tcPr>
          <w:p w14:paraId="52F4BBAE">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其</w:t>
            </w:r>
          </w:p>
          <w:p w14:paraId="3961CD30">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他</w:t>
            </w:r>
          </w:p>
          <w:p w14:paraId="11720F61">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因</w:t>
            </w:r>
          </w:p>
          <w:p w14:paraId="5CE9416A">
            <w:pPr>
              <w:spacing w:line="240" w:lineRule="atLeast"/>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素</w:t>
            </w:r>
          </w:p>
        </w:tc>
        <w:tc>
          <w:tcPr>
            <w:tcW w:w="696" w:type="dxa"/>
            <w:vMerge w:val="restart"/>
            <w:noWrap w:val="0"/>
            <w:vAlign w:val="center"/>
          </w:tcPr>
          <w:p w14:paraId="15485E66">
            <w:pPr>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业</w:t>
            </w:r>
          </w:p>
          <w:p w14:paraId="271A0EBC">
            <w:pPr>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绩</w:t>
            </w:r>
          </w:p>
          <w:p w14:paraId="4769A35B">
            <w:pPr>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20分</w:t>
            </w:r>
          </w:p>
        </w:tc>
        <w:tc>
          <w:tcPr>
            <w:tcW w:w="2671" w:type="dxa"/>
            <w:noWrap w:val="0"/>
            <w:vAlign w:val="center"/>
          </w:tcPr>
          <w:p w14:paraId="3560CC1C">
            <w:pPr>
              <w:pStyle w:val="16"/>
              <w:spacing w:line="240" w:lineRule="atLeast"/>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FY-SJ1标段</w:t>
            </w:r>
          </w:p>
        </w:tc>
        <w:tc>
          <w:tcPr>
            <w:tcW w:w="4417" w:type="dxa"/>
            <w:gridSpan w:val="2"/>
            <w:noWrap w:val="0"/>
            <w:vAlign w:val="center"/>
          </w:tcPr>
          <w:p w14:paraId="2FB05CF2">
            <w:pPr>
              <w:pStyle w:val="16"/>
              <w:spacing w:line="240" w:lineRule="atLeast"/>
              <w:ind w:left="105" w:leftChars="50" w:right="105" w:rightChars="50"/>
              <w:jc w:val="both"/>
              <w:rPr>
                <w:rFonts w:hint="eastAsia" w:ascii="仿宋" w:hAnsi="仿宋" w:eastAsia="仿宋" w:cs="仿宋"/>
                <w:b w:val="0"/>
                <w:bCs w:val="0"/>
                <w:color w:val="auto"/>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bidi="ar-SA"/>
              </w:rPr>
              <w:t>通过资格评审即得 12 分，满足资格审查条件之外，</w:t>
            </w:r>
            <w:r>
              <w:rPr>
                <w:rFonts w:hint="eastAsia" w:ascii="仿宋" w:hAnsi="仿宋" w:eastAsia="仿宋" w:cs="仿宋"/>
                <w:b w:val="0"/>
                <w:bCs w:val="0"/>
                <w:color w:val="auto"/>
                <w:sz w:val="21"/>
                <w:szCs w:val="21"/>
                <w:highlight w:val="none"/>
                <w:lang w:val="zh-TW" w:eastAsia="zh-CN" w:bidi="ar-SA"/>
              </w:rPr>
              <w:t>2020年1月1日至投标截止时间，以初步设计或施工图设计批复时间为准），每增加1个新建或改扩建高速公路勘察设计合同段业绩加</w:t>
            </w:r>
            <w:r>
              <w:rPr>
                <w:rFonts w:hint="eastAsia" w:ascii="仿宋" w:hAnsi="仿宋" w:eastAsia="仿宋" w:cs="仿宋"/>
                <w:b w:val="0"/>
                <w:bCs w:val="0"/>
                <w:color w:val="auto"/>
                <w:sz w:val="21"/>
                <w:szCs w:val="21"/>
                <w:highlight w:val="none"/>
                <w:lang w:val="en-US" w:eastAsia="zh-CN" w:bidi="ar-SA"/>
              </w:rPr>
              <w:t>4</w:t>
            </w:r>
            <w:r>
              <w:rPr>
                <w:rFonts w:hint="eastAsia" w:ascii="仿宋" w:hAnsi="仿宋" w:eastAsia="仿宋" w:cs="仿宋"/>
                <w:b w:val="0"/>
                <w:bCs w:val="0"/>
                <w:color w:val="auto"/>
                <w:sz w:val="21"/>
                <w:szCs w:val="21"/>
                <w:highlight w:val="none"/>
                <w:lang w:val="zh-TW" w:eastAsia="zh-CN" w:bidi="ar-SA"/>
              </w:rPr>
              <w:t>分，最</w:t>
            </w:r>
            <w:r>
              <w:rPr>
                <w:rFonts w:hint="eastAsia" w:ascii="仿宋" w:hAnsi="仿宋" w:eastAsia="仿宋" w:cs="仿宋"/>
                <w:b w:val="0"/>
                <w:bCs w:val="0"/>
                <w:color w:val="auto"/>
                <w:sz w:val="21"/>
                <w:szCs w:val="21"/>
                <w:highlight w:val="none"/>
                <w:lang w:val="en-US" w:eastAsia="zh-CN" w:bidi="ar-SA"/>
              </w:rPr>
              <w:t>多</w:t>
            </w:r>
            <w:r>
              <w:rPr>
                <w:rFonts w:hint="eastAsia" w:ascii="仿宋" w:hAnsi="仿宋" w:eastAsia="仿宋" w:cs="仿宋"/>
                <w:b w:val="0"/>
                <w:bCs w:val="0"/>
                <w:color w:val="auto"/>
                <w:sz w:val="21"/>
                <w:szCs w:val="21"/>
                <w:highlight w:val="none"/>
                <w:lang w:val="zh-TW" w:eastAsia="zh-CN" w:bidi="ar-SA"/>
              </w:rPr>
              <w:t>加</w:t>
            </w:r>
            <w:r>
              <w:rPr>
                <w:rFonts w:hint="eastAsia" w:ascii="仿宋" w:hAnsi="仿宋" w:eastAsia="仿宋" w:cs="仿宋"/>
                <w:b w:val="0"/>
                <w:bCs w:val="0"/>
                <w:color w:val="auto"/>
                <w:sz w:val="21"/>
                <w:szCs w:val="21"/>
                <w:highlight w:val="none"/>
                <w:lang w:val="en-US" w:eastAsia="zh-CN" w:bidi="ar-SA"/>
              </w:rPr>
              <w:t>8</w:t>
            </w:r>
            <w:r>
              <w:rPr>
                <w:rFonts w:hint="eastAsia" w:ascii="仿宋" w:hAnsi="仿宋" w:eastAsia="仿宋" w:cs="仿宋"/>
                <w:b w:val="0"/>
                <w:bCs w:val="0"/>
                <w:color w:val="auto"/>
                <w:sz w:val="21"/>
                <w:szCs w:val="21"/>
                <w:highlight w:val="none"/>
                <w:lang w:val="zh-TW" w:eastAsia="zh-CN" w:bidi="ar-SA"/>
              </w:rPr>
              <w:t>分</w:t>
            </w:r>
            <w:r>
              <w:rPr>
                <w:rFonts w:hint="eastAsia" w:ascii="仿宋" w:hAnsi="仿宋" w:eastAsia="仿宋" w:cs="仿宋"/>
                <w:b w:val="0"/>
                <w:bCs w:val="0"/>
                <w:color w:val="auto"/>
                <w:sz w:val="21"/>
                <w:szCs w:val="21"/>
                <w:highlight w:val="none"/>
                <w:lang w:val="en-US" w:eastAsia="zh-CN" w:bidi="ar-SA"/>
              </w:rPr>
              <w:t>。</w:t>
            </w:r>
          </w:p>
        </w:tc>
      </w:tr>
      <w:tr w14:paraId="75FB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37" w:hRule="atLeast"/>
        </w:trPr>
        <w:tc>
          <w:tcPr>
            <w:tcW w:w="937" w:type="dxa"/>
            <w:vMerge w:val="continue"/>
            <w:noWrap w:val="0"/>
            <w:vAlign w:val="center"/>
          </w:tcPr>
          <w:p w14:paraId="7D437F0B">
            <w:pPr>
              <w:spacing w:line="240" w:lineRule="atLeast"/>
              <w:jc w:val="center"/>
              <w:rPr>
                <w:rFonts w:hint="eastAsia" w:ascii="仿宋" w:hAnsi="仿宋" w:eastAsia="仿宋" w:cs="仿宋"/>
                <w:b w:val="0"/>
                <w:bCs w:val="0"/>
                <w:color w:val="auto"/>
                <w:sz w:val="21"/>
                <w:szCs w:val="21"/>
                <w:highlight w:val="none"/>
              </w:rPr>
            </w:pPr>
          </w:p>
        </w:tc>
        <w:tc>
          <w:tcPr>
            <w:tcW w:w="637" w:type="dxa"/>
            <w:vMerge w:val="continue"/>
            <w:noWrap w:val="0"/>
            <w:vAlign w:val="center"/>
          </w:tcPr>
          <w:p w14:paraId="3559153E">
            <w:pPr>
              <w:spacing w:line="240" w:lineRule="atLeast"/>
              <w:jc w:val="center"/>
              <w:rPr>
                <w:rFonts w:hint="eastAsia" w:ascii="仿宋" w:hAnsi="仿宋" w:eastAsia="仿宋" w:cs="仿宋"/>
                <w:b w:val="0"/>
                <w:bCs w:val="0"/>
                <w:color w:val="auto"/>
                <w:sz w:val="21"/>
                <w:szCs w:val="21"/>
                <w:highlight w:val="none"/>
              </w:rPr>
            </w:pPr>
          </w:p>
        </w:tc>
        <w:tc>
          <w:tcPr>
            <w:tcW w:w="696" w:type="dxa"/>
            <w:vMerge w:val="continue"/>
            <w:noWrap w:val="0"/>
            <w:vAlign w:val="center"/>
          </w:tcPr>
          <w:p w14:paraId="2F88CC6D">
            <w:pPr>
              <w:jc w:val="center"/>
              <w:rPr>
                <w:rFonts w:hint="eastAsia" w:ascii="仿宋" w:hAnsi="仿宋" w:eastAsia="仿宋" w:cs="仿宋"/>
                <w:b w:val="0"/>
                <w:bCs w:val="0"/>
                <w:color w:val="auto"/>
                <w:sz w:val="21"/>
                <w:szCs w:val="21"/>
                <w:highlight w:val="none"/>
                <w:lang w:val="en-US" w:eastAsia="zh-CN"/>
              </w:rPr>
            </w:pPr>
          </w:p>
        </w:tc>
        <w:tc>
          <w:tcPr>
            <w:tcW w:w="2671" w:type="dxa"/>
            <w:noWrap w:val="0"/>
            <w:vAlign w:val="center"/>
          </w:tcPr>
          <w:p w14:paraId="55116BD6">
            <w:pPr>
              <w:pStyle w:val="16"/>
              <w:spacing w:line="240" w:lineRule="atLeast"/>
              <w:jc w:val="center"/>
              <w:rPr>
                <w:rFonts w:hint="eastAsia" w:ascii="仿宋" w:hAnsi="仿宋" w:eastAsia="仿宋" w:cs="仿宋"/>
                <w:b w:val="0"/>
                <w:bCs w:val="0"/>
                <w:color w:val="auto"/>
                <w:sz w:val="21"/>
                <w:szCs w:val="21"/>
                <w:highlight w:val="none"/>
                <w:lang w:val="en-US"/>
              </w:rPr>
            </w:pPr>
            <w:r>
              <w:rPr>
                <w:rFonts w:hint="eastAsia" w:ascii="仿宋" w:hAnsi="仿宋" w:eastAsia="仿宋" w:cs="仿宋"/>
                <w:color w:val="auto"/>
                <w:sz w:val="21"/>
                <w:szCs w:val="21"/>
                <w:highlight w:val="none"/>
                <w:lang w:val="en-US" w:eastAsia="zh-CN"/>
              </w:rPr>
              <w:t>FY-ZX1标段</w:t>
            </w:r>
          </w:p>
        </w:tc>
        <w:tc>
          <w:tcPr>
            <w:tcW w:w="4417" w:type="dxa"/>
            <w:gridSpan w:val="2"/>
            <w:noWrap w:val="0"/>
            <w:vAlign w:val="center"/>
          </w:tcPr>
          <w:p w14:paraId="449AD42E">
            <w:pPr>
              <w:pStyle w:val="16"/>
              <w:spacing w:line="240" w:lineRule="atLeast"/>
              <w:ind w:left="105" w:leftChars="50" w:right="105" w:rightChars="50"/>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通过资格评审即得 12 分，满足资格审查条件之外，2020 年 1 月 1 日至投标截止时间以初步设计或施工图设计批复时间为准），每增加 1 个新建或改扩建高速公路勘察设计或设计咨询合同段业绩加 4 分，此项最多加 8 分。</w:t>
            </w:r>
          </w:p>
        </w:tc>
      </w:tr>
      <w:tr w14:paraId="4B98C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4" w:hRule="atLeast"/>
        </w:trPr>
        <w:tc>
          <w:tcPr>
            <w:tcW w:w="937" w:type="dxa"/>
            <w:vMerge w:val="continue"/>
            <w:noWrap w:val="0"/>
            <w:vAlign w:val="center"/>
          </w:tcPr>
          <w:p w14:paraId="4114AD22">
            <w:pPr>
              <w:pStyle w:val="16"/>
              <w:spacing w:before="127"/>
              <w:ind w:left="124"/>
              <w:jc w:val="center"/>
              <w:rPr>
                <w:rFonts w:hint="eastAsia" w:ascii="仿宋" w:hAnsi="仿宋" w:eastAsia="仿宋" w:cs="仿宋"/>
                <w:b w:val="0"/>
                <w:bCs w:val="0"/>
                <w:color w:val="auto"/>
                <w:sz w:val="21"/>
                <w:szCs w:val="21"/>
                <w:highlight w:val="none"/>
              </w:rPr>
            </w:pPr>
          </w:p>
        </w:tc>
        <w:tc>
          <w:tcPr>
            <w:tcW w:w="637" w:type="dxa"/>
            <w:vMerge w:val="continue"/>
            <w:noWrap w:val="0"/>
            <w:vAlign w:val="center"/>
          </w:tcPr>
          <w:p w14:paraId="6A2A9175">
            <w:pPr>
              <w:jc w:val="center"/>
              <w:rPr>
                <w:rFonts w:hint="eastAsia" w:ascii="仿宋" w:hAnsi="仿宋" w:eastAsia="仿宋" w:cs="仿宋"/>
                <w:b w:val="0"/>
                <w:bCs w:val="0"/>
                <w:color w:val="auto"/>
                <w:sz w:val="21"/>
                <w:szCs w:val="21"/>
                <w:highlight w:val="none"/>
              </w:rPr>
            </w:pPr>
          </w:p>
        </w:tc>
        <w:tc>
          <w:tcPr>
            <w:tcW w:w="696" w:type="dxa"/>
            <w:shd w:val="clear" w:color="auto" w:fill="auto"/>
            <w:noWrap w:val="0"/>
            <w:vAlign w:val="center"/>
          </w:tcPr>
          <w:p w14:paraId="2432C981">
            <w:pPr>
              <w:spacing w:line="240" w:lineRule="atLeast"/>
              <w:jc w:val="center"/>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sz w:val="21"/>
                <w:szCs w:val="21"/>
                <w:highlight w:val="none"/>
              </w:rPr>
              <w:t>信誉</w:t>
            </w:r>
          </w:p>
        </w:tc>
        <w:tc>
          <w:tcPr>
            <w:tcW w:w="2671" w:type="dxa"/>
            <w:shd w:val="clear" w:color="auto" w:fill="auto"/>
            <w:noWrap w:val="0"/>
            <w:vAlign w:val="center"/>
          </w:tcPr>
          <w:p w14:paraId="65738156">
            <w:pPr>
              <w:jc w:val="center"/>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sz w:val="21"/>
                <w:szCs w:val="21"/>
                <w:highlight w:val="none"/>
              </w:rPr>
              <w:t>5</w:t>
            </w:r>
            <w:r>
              <w:rPr>
                <w:rFonts w:hint="eastAsia" w:ascii="仿宋" w:hAnsi="仿宋" w:eastAsia="仿宋" w:cs="仿宋"/>
                <w:b w:val="0"/>
                <w:bCs w:val="0"/>
                <w:color w:val="auto"/>
                <w:sz w:val="21"/>
                <w:szCs w:val="21"/>
                <w:highlight w:val="none"/>
                <w:lang w:val="en-US" w:eastAsia="zh-CN"/>
              </w:rPr>
              <w:t>分</w:t>
            </w:r>
          </w:p>
        </w:tc>
        <w:tc>
          <w:tcPr>
            <w:tcW w:w="4417" w:type="dxa"/>
            <w:gridSpan w:val="2"/>
            <w:noWrap w:val="0"/>
            <w:vAlign w:val="center"/>
          </w:tcPr>
          <w:p w14:paraId="0F4E47B3">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FY-SJ1：</w:t>
            </w:r>
          </w:p>
          <w:p w14:paraId="6A19858F">
            <w:pPr>
              <w:ind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根据陕西省交通运输厅《关于陕西省 2024 年度公路建设市场从业企业信用评价结果应用的通知》（陕交函〔2025〕639 号）文件规定：</w:t>
            </w:r>
          </w:p>
          <w:p w14:paraId="578419A5">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1.按照公路设计企业的信用评价等级进行评分，信用评价等级为AA 级的设计企业得 5 分；信用评价等级为 A 级的设计企业得 4.5</w:t>
            </w:r>
          </w:p>
          <w:p w14:paraId="5914FFE9">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分；信用评价等级为 B 级的高速公路设计企业得 4 分；信用评价等级为 C 级的高速公路设计企业得 3 分。</w:t>
            </w:r>
          </w:p>
          <w:p w14:paraId="2398354D">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2、对具有省厅 2023 年度信用评价等级而无2024 年度信用评价等级的企业，其 2023 年度信用评价等级延续 1 年。</w:t>
            </w:r>
          </w:p>
          <w:p w14:paraId="58411D6A">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3、初次进入陕西省的从业企业，按照全国综合信用评价等级确定。延续省厅上一年信用评价结果后仍无信用评价结果的，按照全国综合评价结果对待。无全国综合评价结果的企业，且无不良信用行为，可按 A 级对待。</w:t>
            </w:r>
          </w:p>
          <w:p w14:paraId="270DBF0C">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4.联合体投标的，信用评价等级以牵头人为准。</w:t>
            </w:r>
          </w:p>
          <w:p w14:paraId="4513BDBA">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FY-ZX1 标段：</w:t>
            </w:r>
          </w:p>
          <w:p w14:paraId="0D0C106D">
            <w:pPr>
              <w:ind w:left="105" w:leftChars="50" w:right="105" w:rightChars="50"/>
              <w:jc w:val="both"/>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具备公路专业工程咨询单位甲级资信证书得 5 分；具备公路专业工程咨询单位乙级资信证书得 3 分。</w:t>
            </w:r>
          </w:p>
        </w:tc>
      </w:tr>
      <w:tr w14:paraId="62BE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1" w:hRule="atLeast"/>
        </w:trPr>
        <w:tc>
          <w:tcPr>
            <w:tcW w:w="9358" w:type="dxa"/>
            <w:gridSpan w:val="6"/>
            <w:noWrap w:val="0"/>
            <w:vAlign w:val="center"/>
          </w:tcPr>
          <w:p w14:paraId="0D4D2296">
            <w:pPr>
              <w:pStyle w:val="16"/>
              <w:spacing w:line="320" w:lineRule="atLeast"/>
              <w:ind w:left="105" w:leftChars="50" w:firstLine="199" w:firstLineChars="100"/>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w w:val="95"/>
                <w:sz w:val="21"/>
                <w:szCs w:val="21"/>
                <w:highlight w:val="none"/>
              </w:rPr>
              <w:t>需要补充的其他内容：</w:t>
            </w:r>
            <w:r>
              <w:rPr>
                <w:rFonts w:hint="eastAsia" w:ascii="仿宋" w:hAnsi="仿宋" w:eastAsia="仿宋" w:cs="仿宋"/>
                <w:b w:val="0"/>
                <w:bCs w:val="0"/>
                <w:color w:val="auto"/>
                <w:w w:val="95"/>
                <w:sz w:val="21"/>
                <w:szCs w:val="21"/>
                <w:highlight w:val="none"/>
                <w:lang w:val="en-US" w:eastAsia="zh-CN"/>
              </w:rPr>
              <w:t>技术建议书专家打分保留一位小数。</w:t>
            </w:r>
          </w:p>
        </w:tc>
      </w:tr>
    </w:tbl>
    <w:p w14:paraId="40CBC84B">
      <w:pPr>
        <w:rPr>
          <w:rFonts w:hint="default"/>
          <w:highlight w:val="none"/>
          <w:lang w:val="en-US" w:eastAsia="zh-CN"/>
        </w:rPr>
      </w:pPr>
    </w:p>
    <w:p w14:paraId="4533A954">
      <w:pPr>
        <w:pStyle w:val="3"/>
        <w:rPr>
          <w:rFonts w:hint="default"/>
          <w:highlight w:val="none"/>
          <w:lang w:val="en-US" w:eastAsia="zh-CN"/>
        </w:rPr>
      </w:pPr>
    </w:p>
    <w:p w14:paraId="214F7D41">
      <w:pPr>
        <w:rPr>
          <w:rFonts w:hint="default"/>
          <w:highlight w:val="none"/>
          <w:lang w:val="en-US" w:eastAsia="zh-CN"/>
        </w:rPr>
      </w:pPr>
    </w:p>
    <w:p w14:paraId="31FB58A1">
      <w:pPr>
        <w:rPr>
          <w:rFonts w:hint="default"/>
          <w:highlight w:val="none"/>
          <w:lang w:val="en-US" w:eastAsia="zh-CN"/>
        </w:rPr>
      </w:pPr>
    </w:p>
    <w:p w14:paraId="6D3F0953">
      <w:pPr>
        <w:rPr>
          <w:rFonts w:hint="default"/>
          <w:highlight w:val="none"/>
          <w:lang w:val="en-US" w:eastAsia="zh-CN"/>
        </w:rPr>
      </w:pPr>
    </w:p>
    <w:p w14:paraId="03F84732">
      <w:pPr>
        <w:rPr>
          <w:rFonts w:hint="default"/>
          <w:highlight w:val="none"/>
          <w:lang w:val="en-US" w:eastAsia="zh-CN"/>
        </w:rPr>
      </w:pPr>
    </w:p>
    <w:p w14:paraId="283D34E5">
      <w:pPr>
        <w:rPr>
          <w:rFonts w:hint="default"/>
          <w:highlight w:val="none"/>
          <w:lang w:val="en-US" w:eastAsia="zh-CN"/>
        </w:rPr>
      </w:pPr>
    </w:p>
    <w:p w14:paraId="04EC4377">
      <w:pPr>
        <w:rPr>
          <w:rFonts w:hint="default"/>
          <w:highlight w:val="none"/>
          <w:lang w:val="en-US" w:eastAsia="zh-CN"/>
        </w:rPr>
      </w:pPr>
    </w:p>
    <w:p w14:paraId="5C14CFFF">
      <w:pPr>
        <w:rPr>
          <w:rFonts w:hint="default"/>
          <w:highlight w:val="none"/>
          <w:lang w:val="en-US" w:eastAsia="zh-CN"/>
        </w:rPr>
      </w:pPr>
    </w:p>
    <w:p w14:paraId="1C2E815B">
      <w:pPr>
        <w:rPr>
          <w:rFonts w:hint="default"/>
          <w:highlight w:val="none"/>
          <w:lang w:val="en-US" w:eastAsia="zh-CN"/>
        </w:rPr>
      </w:pPr>
    </w:p>
    <w:p w14:paraId="420103AA">
      <w:pPr>
        <w:rPr>
          <w:rFonts w:hint="default"/>
          <w:highlight w:val="none"/>
          <w:lang w:val="en-US" w:eastAsia="zh-CN"/>
        </w:rPr>
      </w:pPr>
    </w:p>
    <w:p w14:paraId="52C792B4">
      <w:pPr>
        <w:rPr>
          <w:rFonts w:hint="default"/>
          <w:highlight w:val="none"/>
          <w:lang w:val="en-US" w:eastAsia="zh-CN"/>
        </w:rPr>
      </w:pPr>
    </w:p>
    <w:p w14:paraId="46054151">
      <w:pPr>
        <w:rPr>
          <w:rFonts w:hint="default"/>
          <w:highlight w:val="none"/>
          <w:lang w:val="en-US" w:eastAsia="zh-CN"/>
        </w:rPr>
      </w:pPr>
    </w:p>
    <w:p w14:paraId="3F577FDA">
      <w:pPr>
        <w:rPr>
          <w:rFonts w:hint="default"/>
          <w:highlight w:val="none"/>
          <w:lang w:val="en-US" w:eastAsia="zh-CN"/>
        </w:rPr>
      </w:pPr>
    </w:p>
    <w:p w14:paraId="477812BE">
      <w:pPr>
        <w:rPr>
          <w:rFonts w:hint="default"/>
          <w:highlight w:val="none"/>
          <w:lang w:val="en-US" w:eastAsia="zh-CN"/>
        </w:rPr>
      </w:pPr>
    </w:p>
    <w:p w14:paraId="289D28DC">
      <w:pPr>
        <w:rPr>
          <w:rFonts w:hint="default"/>
          <w:highlight w:val="none"/>
          <w:lang w:val="en-US" w:eastAsia="zh-CN"/>
        </w:rPr>
      </w:pPr>
    </w:p>
    <w:p w14:paraId="5258A3E6">
      <w:pPr>
        <w:rPr>
          <w:rFonts w:hint="default"/>
          <w:highlight w:val="none"/>
          <w:lang w:val="en-US" w:eastAsia="zh-CN"/>
        </w:rPr>
      </w:pPr>
    </w:p>
    <w:p w14:paraId="1B13294D">
      <w:pPr>
        <w:pStyle w:val="11"/>
        <w:shd w:val="clear" w:color="auto" w:fill="auto"/>
        <w:tabs>
          <w:tab w:val="left" w:leader="underscore" w:pos="3528"/>
          <w:tab w:val="left" w:leader="underscore" w:pos="7357"/>
        </w:tabs>
        <w:spacing w:before="0" w:after="0" w:line="360" w:lineRule="auto"/>
        <w:rPr>
          <w:rFonts w:hint="eastAsia" w:ascii="宋体" w:hAnsi="宋体" w:eastAsia="宋体" w:cs="宋体"/>
          <w:kern w:val="0"/>
          <w:sz w:val="52"/>
          <w:szCs w:val="52"/>
          <w:highlight w:val="none"/>
          <w:lang w:val="en-US" w:eastAsia="zh-CN"/>
        </w:rPr>
      </w:pPr>
    </w:p>
    <w:p w14:paraId="4DC1EE8E">
      <w:pPr>
        <w:pStyle w:val="11"/>
        <w:shd w:val="clear" w:color="auto" w:fill="auto"/>
        <w:tabs>
          <w:tab w:val="left" w:leader="underscore" w:pos="3528"/>
          <w:tab w:val="left" w:leader="underscore" w:pos="7357"/>
        </w:tabs>
        <w:spacing w:before="0" w:after="0" w:line="360" w:lineRule="auto"/>
        <w:rPr>
          <w:rFonts w:hint="eastAsia" w:ascii="宋体" w:hAnsi="宋体" w:eastAsia="宋体" w:cs="宋体"/>
          <w:kern w:val="0"/>
          <w:sz w:val="52"/>
          <w:szCs w:val="52"/>
          <w:highlight w:val="none"/>
          <w:lang w:val="en-US" w:eastAsia="zh-CN"/>
        </w:rPr>
      </w:pPr>
    </w:p>
    <w:p w14:paraId="525ABE79">
      <w:pPr>
        <w:pStyle w:val="11"/>
        <w:shd w:val="clear" w:color="auto" w:fill="auto"/>
        <w:tabs>
          <w:tab w:val="left" w:leader="underscore" w:pos="3528"/>
          <w:tab w:val="left" w:leader="underscore" w:pos="7357"/>
        </w:tabs>
        <w:spacing w:before="0" w:after="0" w:line="360" w:lineRule="auto"/>
        <w:jc w:val="both"/>
        <w:rPr>
          <w:rFonts w:hint="eastAsia" w:ascii="宋体" w:hAnsi="宋体" w:eastAsia="宋体" w:cs="宋体"/>
          <w:kern w:val="0"/>
          <w:sz w:val="52"/>
          <w:szCs w:val="52"/>
          <w:highlight w:val="none"/>
          <w:lang w:val="en-US" w:eastAsia="zh-CN"/>
        </w:rPr>
      </w:pPr>
    </w:p>
    <w:p w14:paraId="7F91A060">
      <w:pPr>
        <w:pStyle w:val="11"/>
        <w:shd w:val="clear" w:color="auto" w:fill="auto"/>
        <w:tabs>
          <w:tab w:val="left" w:leader="underscore" w:pos="3528"/>
          <w:tab w:val="left" w:leader="underscore" w:pos="7357"/>
        </w:tabs>
        <w:spacing w:before="0" w:after="0" w:line="360" w:lineRule="auto"/>
        <w:jc w:val="both"/>
        <w:rPr>
          <w:rFonts w:hint="eastAsia" w:ascii="宋体" w:hAnsi="宋体" w:eastAsia="宋体" w:cs="宋体"/>
          <w:kern w:val="0"/>
          <w:sz w:val="52"/>
          <w:szCs w:val="52"/>
          <w:highlight w:val="none"/>
          <w:lang w:val="en-US" w:eastAsia="zh-CN"/>
        </w:rPr>
      </w:pPr>
    </w:p>
    <w:p w14:paraId="22876E97">
      <w:pPr>
        <w:pStyle w:val="11"/>
        <w:shd w:val="clear" w:color="auto" w:fill="auto"/>
        <w:tabs>
          <w:tab w:val="left" w:leader="underscore" w:pos="3528"/>
          <w:tab w:val="left" w:leader="underscore" w:pos="7357"/>
        </w:tabs>
        <w:spacing w:before="0" w:after="0" w:line="360" w:lineRule="auto"/>
        <w:jc w:val="both"/>
        <w:rPr>
          <w:rFonts w:hint="eastAsia" w:ascii="宋体" w:hAnsi="宋体" w:eastAsia="宋体" w:cs="宋体"/>
          <w:kern w:val="0"/>
          <w:sz w:val="52"/>
          <w:szCs w:val="52"/>
          <w:highlight w:val="none"/>
          <w:lang w:val="en-US" w:eastAsia="zh-CN"/>
        </w:rPr>
      </w:pPr>
    </w:p>
    <w:p w14:paraId="111BE385">
      <w:pPr>
        <w:pStyle w:val="11"/>
        <w:shd w:val="clear" w:color="auto" w:fill="auto"/>
        <w:tabs>
          <w:tab w:val="left" w:leader="underscore" w:pos="3528"/>
          <w:tab w:val="left" w:leader="underscore" w:pos="7357"/>
        </w:tabs>
        <w:spacing w:before="0" w:after="0" w:line="360" w:lineRule="auto"/>
        <w:rPr>
          <w:rFonts w:hint="eastAsia" w:ascii="宋体" w:hAnsi="宋体" w:eastAsia="宋体" w:cs="宋体"/>
          <w:kern w:val="0"/>
          <w:sz w:val="52"/>
          <w:szCs w:val="52"/>
          <w:highlight w:val="none"/>
          <w:lang w:val="en-US" w:eastAsia="zh-CN"/>
        </w:rPr>
      </w:pPr>
    </w:p>
    <w:p w14:paraId="402C563F">
      <w:pPr>
        <w:pStyle w:val="11"/>
        <w:shd w:val="clear" w:color="auto" w:fill="auto"/>
        <w:tabs>
          <w:tab w:val="left" w:leader="underscore" w:pos="3528"/>
          <w:tab w:val="left" w:leader="underscore" w:pos="7357"/>
        </w:tabs>
        <w:spacing w:before="0" w:after="0" w:line="360" w:lineRule="auto"/>
        <w:rPr>
          <w:rFonts w:hint="eastAsia" w:ascii="宋体" w:hAnsi="宋体" w:eastAsia="宋体" w:cs="宋体"/>
          <w:kern w:val="0"/>
          <w:sz w:val="52"/>
          <w:szCs w:val="52"/>
          <w:highlight w:val="none"/>
          <w:lang w:val="en-US" w:eastAsia="zh-CN"/>
        </w:rPr>
      </w:pPr>
    </w:p>
    <w:p w14:paraId="595DE50A">
      <w:pPr>
        <w:pStyle w:val="11"/>
        <w:shd w:val="clear" w:color="auto" w:fill="auto"/>
        <w:tabs>
          <w:tab w:val="left" w:leader="underscore" w:pos="3528"/>
          <w:tab w:val="left" w:leader="underscore" w:pos="7357"/>
        </w:tabs>
        <w:spacing w:before="0" w:after="0" w:line="360" w:lineRule="auto"/>
        <w:rPr>
          <w:rFonts w:hint="eastAsia" w:ascii="宋体" w:hAnsi="宋体" w:eastAsia="宋体" w:cs="宋体"/>
          <w:kern w:val="0"/>
          <w:sz w:val="36"/>
          <w:szCs w:val="36"/>
          <w:highlight w:val="none"/>
          <w:lang w:val="en-US" w:eastAsia="zh-CN"/>
        </w:rPr>
      </w:pPr>
      <w:r>
        <w:rPr>
          <w:rFonts w:hint="eastAsia" w:ascii="宋体" w:hAnsi="宋体" w:eastAsia="宋体" w:cs="宋体"/>
          <w:kern w:val="0"/>
          <w:sz w:val="52"/>
          <w:szCs w:val="52"/>
          <w:highlight w:val="none"/>
          <w:lang w:val="en-US" w:eastAsia="zh-CN"/>
        </w:rPr>
        <w:t>评标办法</w:t>
      </w:r>
    </w:p>
    <w:p w14:paraId="5D96E6CE">
      <w:pPr>
        <w:pStyle w:val="11"/>
        <w:shd w:val="clear" w:color="auto" w:fill="auto"/>
        <w:tabs>
          <w:tab w:val="left" w:leader="underscore" w:pos="3528"/>
          <w:tab w:val="left" w:leader="underscore" w:pos="7357"/>
        </w:tabs>
        <w:spacing w:before="0" w:after="0" w:line="360" w:lineRule="auto"/>
        <w:ind w:firstLine="640" w:firstLineChars="200"/>
        <w:jc w:val="center"/>
        <w:rPr>
          <w:rFonts w:hint="eastAsia" w:ascii="宋体" w:hAnsi="宋体" w:eastAsia="宋体" w:cs="宋体"/>
          <w:kern w:val="0"/>
          <w:sz w:val="32"/>
          <w:szCs w:val="32"/>
          <w:highlight w:val="none"/>
        </w:rPr>
      </w:pPr>
      <w:r>
        <w:rPr>
          <w:rFonts w:hint="eastAsia" w:ascii="宋体" w:hAnsi="宋体" w:eastAsia="宋体" w:cs="宋体"/>
          <w:kern w:val="0"/>
          <w:sz w:val="32"/>
          <w:szCs w:val="32"/>
          <w:highlight w:val="none"/>
          <w:lang w:val="en-US" w:eastAsia="zh-CN"/>
        </w:rPr>
        <w:t>评标办法</w:t>
      </w:r>
      <w:r>
        <w:rPr>
          <w:rFonts w:hint="eastAsia" w:ascii="宋体" w:hAnsi="宋体" w:eastAsia="宋体" w:cs="宋体"/>
          <w:kern w:val="0"/>
          <w:sz w:val="32"/>
          <w:szCs w:val="32"/>
          <w:highlight w:val="none"/>
        </w:rPr>
        <w:t>正文详见中华人民共和国交通运输部</w:t>
      </w:r>
    </w:p>
    <w:p w14:paraId="140EDD02">
      <w:pPr>
        <w:jc w:val="center"/>
        <w:rPr>
          <w:rFonts w:hint="eastAsia" w:ascii="宋体" w:hAnsi="宋体" w:eastAsia="宋体" w:cs="宋体"/>
          <w:kern w:val="0"/>
          <w:sz w:val="32"/>
          <w:szCs w:val="32"/>
          <w:highlight w:val="none"/>
        </w:rPr>
      </w:pPr>
      <w:r>
        <w:rPr>
          <w:rFonts w:hint="eastAsia" w:ascii="宋体" w:hAnsi="宋体" w:eastAsia="宋体" w:cs="宋体"/>
          <w:kern w:val="0"/>
          <w:sz w:val="32"/>
          <w:szCs w:val="32"/>
          <w:highlight w:val="none"/>
        </w:rPr>
        <w:t>《公路工程标准</w:t>
      </w:r>
      <w:r>
        <w:rPr>
          <w:rFonts w:hint="eastAsia" w:ascii="宋体" w:hAnsi="宋体" w:eastAsia="宋体" w:cs="宋体"/>
          <w:kern w:val="0"/>
          <w:sz w:val="32"/>
          <w:szCs w:val="32"/>
          <w:highlight w:val="none"/>
          <w:lang w:val="en-US" w:eastAsia="zh-CN"/>
        </w:rPr>
        <w:t>勘察设计</w:t>
      </w:r>
      <w:r>
        <w:rPr>
          <w:rFonts w:hint="eastAsia" w:ascii="宋体" w:hAnsi="宋体" w:eastAsia="宋体" w:cs="宋体"/>
          <w:kern w:val="0"/>
          <w:sz w:val="32"/>
          <w:szCs w:val="32"/>
          <w:highlight w:val="none"/>
        </w:rPr>
        <w:t>招标文件（2018年版）》相应内容</w:t>
      </w:r>
    </w:p>
    <w:p w14:paraId="500BC6F8">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0190D127">
      <w:pPr>
        <w:pStyle w:val="11"/>
        <w:keepNext w:val="0"/>
        <w:keepLines w:val="0"/>
        <w:pageBreakBefore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360" w:lineRule="auto"/>
        <w:jc w:val="both"/>
        <w:textAlignment w:val="auto"/>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4.联系方式</w:t>
      </w:r>
    </w:p>
    <w:p w14:paraId="4E98073E">
      <w:pPr>
        <w:shd w:val="clear"/>
        <w:spacing w:line="400" w:lineRule="exact"/>
        <w:ind w:firstLine="324" w:firstLineChars="135"/>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招标人：</w:t>
      </w:r>
      <w:r>
        <w:rPr>
          <w:rFonts w:hint="eastAsia" w:cs="宋体"/>
          <w:kern w:val="0"/>
          <w:sz w:val="24"/>
          <w:szCs w:val="24"/>
          <w:highlight w:val="none"/>
          <w:lang w:eastAsia="zh-CN"/>
        </w:rPr>
        <w:t>陕西交通控股集团有限公司</w:t>
      </w:r>
    </w:p>
    <w:p w14:paraId="2F62E3E8">
      <w:pPr>
        <w:shd w:val="clear"/>
        <w:spacing w:line="400" w:lineRule="exact"/>
        <w:ind w:firstLine="324" w:firstLineChars="13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地址：西安市</w:t>
      </w:r>
      <w:r>
        <w:rPr>
          <w:rFonts w:hint="eastAsia" w:cs="宋体"/>
          <w:kern w:val="0"/>
          <w:sz w:val="24"/>
          <w:szCs w:val="24"/>
          <w:highlight w:val="none"/>
          <w:lang w:val="en-US" w:eastAsia="zh-CN"/>
        </w:rPr>
        <w:t>太白南路9</w:t>
      </w:r>
      <w:r>
        <w:rPr>
          <w:rFonts w:hint="eastAsia" w:ascii="宋体" w:hAnsi="宋体" w:eastAsia="宋体" w:cs="宋体"/>
          <w:kern w:val="0"/>
          <w:sz w:val="24"/>
          <w:szCs w:val="24"/>
          <w:highlight w:val="none"/>
        </w:rPr>
        <w:t>号</w:t>
      </w:r>
    </w:p>
    <w:p w14:paraId="06AC2BCE">
      <w:pPr>
        <w:shd w:val="clear"/>
        <w:spacing w:line="400" w:lineRule="exact"/>
        <w:ind w:firstLine="324" w:firstLineChars="13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邮编：710065</w:t>
      </w:r>
    </w:p>
    <w:p w14:paraId="5801A66E">
      <w:pPr>
        <w:shd w:val="clear"/>
        <w:spacing w:line="400" w:lineRule="exact"/>
        <w:ind w:firstLine="324" w:firstLineChars="135"/>
        <w:rPr>
          <w:rFonts w:hint="default" w:ascii="宋体" w:hAnsi="宋体" w:eastAsia="宋体" w:cs="宋体"/>
          <w:kern w:val="0"/>
          <w:sz w:val="24"/>
          <w:szCs w:val="24"/>
          <w:highlight w:val="none"/>
          <w:lang w:val="en-US"/>
        </w:rPr>
      </w:pPr>
      <w:r>
        <w:rPr>
          <w:rFonts w:hint="eastAsia" w:ascii="宋体" w:hAnsi="宋体" w:eastAsia="宋体" w:cs="宋体"/>
          <w:kern w:val="0"/>
          <w:sz w:val="24"/>
          <w:szCs w:val="24"/>
          <w:highlight w:val="none"/>
        </w:rPr>
        <w:t>联系人：</w:t>
      </w:r>
      <w:r>
        <w:rPr>
          <w:rFonts w:hint="eastAsia" w:ascii="宋体" w:hAnsi="宋体" w:eastAsia="宋体" w:cs="宋体"/>
          <w:kern w:val="0"/>
          <w:sz w:val="24"/>
          <w:szCs w:val="24"/>
          <w:highlight w:val="none"/>
          <w:lang w:val="en-US" w:eastAsia="zh-CN"/>
        </w:rPr>
        <w:t>仵先生</w:t>
      </w:r>
    </w:p>
    <w:p w14:paraId="4884FC2F">
      <w:pPr>
        <w:shd w:val="clear"/>
        <w:spacing w:line="400" w:lineRule="exact"/>
        <w:ind w:firstLine="324" w:firstLineChars="135"/>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电话：</w:t>
      </w:r>
      <w:r>
        <w:rPr>
          <w:rFonts w:hint="eastAsia" w:ascii="宋体" w:hAnsi="宋体" w:eastAsia="宋体"/>
          <w:kern w:val="0"/>
          <w:sz w:val="24"/>
          <w:szCs w:val="24"/>
          <w:highlight w:val="none"/>
          <w:lang w:val="en-US" w:eastAsia="zh-CN"/>
        </w:rPr>
        <w:t>029-</w:t>
      </w:r>
      <w:r>
        <w:rPr>
          <w:rFonts w:hint="eastAsia" w:ascii="宋体" w:hAnsi="宋体" w:eastAsia="宋体"/>
          <w:kern w:val="0"/>
          <w:sz w:val="24"/>
          <w:szCs w:val="24"/>
          <w:highlight w:val="none"/>
        </w:rPr>
        <w:t>88869458</w:t>
      </w:r>
    </w:p>
    <w:p w14:paraId="531B20A8">
      <w:pPr>
        <w:shd w:val="clear"/>
        <w:spacing w:line="400" w:lineRule="exact"/>
        <w:ind w:firstLine="324" w:firstLineChars="135"/>
        <w:rPr>
          <w:rFonts w:hint="eastAsia" w:ascii="宋体" w:hAnsi="宋体" w:eastAsia="宋体" w:cs="宋体"/>
          <w:kern w:val="0"/>
          <w:sz w:val="24"/>
          <w:szCs w:val="24"/>
          <w:highlight w:val="none"/>
        </w:rPr>
      </w:pPr>
    </w:p>
    <w:p w14:paraId="6C402CFD">
      <w:pPr>
        <w:shd w:val="clear"/>
        <w:spacing w:line="400" w:lineRule="exact"/>
        <w:ind w:firstLine="324" w:firstLineChars="135"/>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招标代理机构：陕西省交通工程咨询有限公司</w:t>
      </w:r>
    </w:p>
    <w:p w14:paraId="50B0E33F">
      <w:pPr>
        <w:shd w:val="clear"/>
        <w:spacing w:line="400" w:lineRule="exact"/>
        <w:ind w:firstLine="324" w:firstLineChars="135"/>
        <w:rPr>
          <w:rFonts w:hint="default"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地址：西安市莲湖区药王洞18号7楼</w:t>
      </w:r>
    </w:p>
    <w:p w14:paraId="55251686">
      <w:pPr>
        <w:shd w:val="clear"/>
        <w:spacing w:line="400" w:lineRule="exact"/>
        <w:ind w:firstLine="324" w:firstLineChars="135"/>
        <w:rPr>
          <w:rFonts w:hint="default"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邮编：710003</w:t>
      </w:r>
    </w:p>
    <w:p w14:paraId="2D39E905">
      <w:pPr>
        <w:shd w:val="clear"/>
        <w:spacing w:line="400" w:lineRule="exact"/>
        <w:ind w:firstLine="324" w:firstLineChars="135"/>
        <w:rPr>
          <w:rFonts w:hint="eastAsia"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联系人：白先生</w:t>
      </w:r>
    </w:p>
    <w:p w14:paraId="7D7CB49D">
      <w:pPr>
        <w:shd w:val="clear"/>
        <w:spacing w:line="400" w:lineRule="exact"/>
        <w:ind w:firstLine="324" w:firstLineChars="135"/>
        <w:rPr>
          <w:rFonts w:hint="default" w:ascii="宋体" w:hAnsi="宋体" w:eastAsia="宋体" w:cs="宋体"/>
          <w:kern w:val="2"/>
          <w:sz w:val="24"/>
          <w:szCs w:val="22"/>
          <w:highlight w:val="none"/>
          <w:lang w:val="en-US" w:eastAsia="zh-CN" w:bidi="ar-SA"/>
        </w:rPr>
      </w:pPr>
      <w:r>
        <w:rPr>
          <w:rFonts w:hint="eastAsia" w:ascii="宋体" w:hAnsi="宋体" w:eastAsia="宋体" w:cs="宋体"/>
          <w:kern w:val="2"/>
          <w:sz w:val="24"/>
          <w:szCs w:val="22"/>
          <w:highlight w:val="none"/>
          <w:lang w:val="en-US" w:eastAsia="zh-CN" w:bidi="ar-SA"/>
        </w:rPr>
        <w:t>电话：029-87320090</w:t>
      </w:r>
    </w:p>
    <w:p w14:paraId="2516EB80">
      <w:pPr>
        <w:rPr>
          <w:rFonts w:hint="eastAsia"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br w:type="page"/>
      </w:r>
    </w:p>
    <w:p w14:paraId="1580ACA8">
      <w:pPr>
        <w:spacing w:before="91" w:line="219" w:lineRule="auto"/>
        <w:ind w:left="123"/>
        <w:rPr>
          <w:rFonts w:hint="eastAsia"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t>附件2：招标文件购买信息登记表</w:t>
      </w:r>
    </w:p>
    <w:p w14:paraId="7C812C2B">
      <w:pPr>
        <w:widowControl/>
        <w:shd w:val="clear"/>
        <w:spacing w:line="360" w:lineRule="auto"/>
        <w:jc w:val="left"/>
        <w:rPr>
          <w:rFonts w:hint="eastAsia" w:ascii="宋体" w:hAnsi="宋体" w:eastAsia="宋体" w:cs="宋体"/>
          <w:b/>
          <w:kern w:val="0"/>
          <w:sz w:val="24"/>
          <w:szCs w:val="24"/>
          <w:highlight w:val="none"/>
          <w:lang w:val="en-US" w:eastAsia="zh-CN"/>
        </w:rPr>
      </w:pPr>
    </w:p>
    <w:p w14:paraId="74E07D06">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宋体" w:hAnsi="宋体" w:eastAsia="宋体" w:cs="宋体"/>
          <w:b/>
          <w:bCs/>
          <w:kern w:val="0"/>
          <w:sz w:val="44"/>
          <w:szCs w:val="44"/>
          <w:highlight w:val="none"/>
        </w:rPr>
      </w:pPr>
      <w:r>
        <w:rPr>
          <w:rFonts w:hint="eastAsia" w:ascii="宋体" w:hAnsi="宋体" w:eastAsia="宋体" w:cs="宋体"/>
          <w:b/>
          <w:bCs/>
          <w:kern w:val="0"/>
          <w:sz w:val="44"/>
          <w:szCs w:val="44"/>
          <w:highlight w:val="none"/>
        </w:rPr>
        <w:t>购买招标文件登记表</w:t>
      </w:r>
    </w:p>
    <w:tbl>
      <w:tblPr>
        <w:tblStyle w:val="8"/>
        <w:tblW w:w="858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52"/>
        <w:gridCol w:w="5231"/>
      </w:tblGrid>
      <w:tr w14:paraId="52F65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5800C988">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5231" w:type="dxa"/>
            <w:vAlign w:val="center"/>
          </w:tcPr>
          <w:p w14:paraId="4950B00A">
            <w:pPr>
              <w:pStyle w:val="11"/>
              <w:keepNext w:val="0"/>
              <w:keepLines w:val="0"/>
              <w:pageBreakBefore w:val="0"/>
              <w:widowControl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280" w:lineRule="exact"/>
              <w:ind w:left="0" w:right="0"/>
              <w:jc w:val="center"/>
              <w:textAlignment w:val="auto"/>
              <w:rPr>
                <w:rFonts w:hint="eastAsia" w:ascii="宋体" w:hAnsi="宋体" w:eastAsia="宋体" w:cs="宋体"/>
                <w:sz w:val="24"/>
                <w:szCs w:val="24"/>
                <w:highlight w:val="none"/>
                <w:lang w:val="en-US" w:eastAsia="zh-CN" w:bidi="ar-SA"/>
              </w:rPr>
            </w:pPr>
          </w:p>
        </w:tc>
      </w:tr>
      <w:tr w14:paraId="0FC23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18CA2FF0">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标段编号</w:t>
            </w:r>
          </w:p>
        </w:tc>
        <w:tc>
          <w:tcPr>
            <w:tcW w:w="5231" w:type="dxa"/>
            <w:vAlign w:val="center"/>
          </w:tcPr>
          <w:p w14:paraId="4317900C">
            <w:pPr>
              <w:pStyle w:val="11"/>
              <w:keepNext w:val="0"/>
              <w:keepLines w:val="0"/>
              <w:pageBreakBefore w:val="0"/>
              <w:widowControl w:val="0"/>
              <w:shd w:val="clear" w:color="auto" w:fill="auto"/>
              <w:tabs>
                <w:tab w:val="left" w:leader="underscore" w:pos="3528"/>
                <w:tab w:val="left" w:leader="underscore" w:pos="7357"/>
              </w:tabs>
              <w:kinsoku/>
              <w:wordWrap/>
              <w:overflowPunct/>
              <w:topLinePunct w:val="0"/>
              <w:autoSpaceDE/>
              <w:autoSpaceDN/>
              <w:bidi w:val="0"/>
              <w:adjustRightInd/>
              <w:snapToGrid/>
              <w:spacing w:before="0" w:after="0" w:line="280" w:lineRule="exact"/>
              <w:ind w:left="0" w:right="0"/>
              <w:jc w:val="center"/>
              <w:textAlignment w:val="auto"/>
              <w:rPr>
                <w:rFonts w:hint="eastAsia" w:ascii="宋体" w:hAnsi="宋体" w:eastAsia="宋体" w:cs="宋体"/>
                <w:sz w:val="24"/>
                <w:szCs w:val="24"/>
                <w:highlight w:val="none"/>
                <w:lang w:val="en-US" w:eastAsia="zh-CN" w:bidi="ar-SA"/>
              </w:rPr>
            </w:pPr>
          </w:p>
        </w:tc>
      </w:tr>
      <w:tr w14:paraId="28DF6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0A05D0EE">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52BC66ED">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单位名称</w:t>
            </w:r>
          </w:p>
        </w:tc>
        <w:tc>
          <w:tcPr>
            <w:tcW w:w="5231" w:type="dxa"/>
            <w:vAlign w:val="center"/>
          </w:tcPr>
          <w:p w14:paraId="279E0A29">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60D13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0FEF8264">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300BD239">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tc>
        <w:tc>
          <w:tcPr>
            <w:tcW w:w="5231" w:type="dxa"/>
            <w:vAlign w:val="center"/>
          </w:tcPr>
          <w:p w14:paraId="2A06DD44">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0F08B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4" w:hRule="atLeast"/>
          <w:jc w:val="center"/>
        </w:trPr>
        <w:tc>
          <w:tcPr>
            <w:tcW w:w="3352" w:type="dxa"/>
            <w:vAlign w:val="center"/>
          </w:tcPr>
          <w:p w14:paraId="3216238B">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47F66176">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购买（招标文件）时间</w:t>
            </w:r>
          </w:p>
        </w:tc>
        <w:tc>
          <w:tcPr>
            <w:tcW w:w="5231" w:type="dxa"/>
            <w:vAlign w:val="center"/>
          </w:tcPr>
          <w:p w14:paraId="61F42B40">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06A7C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7A34ABC4">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60D0FFE8">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经办人</w:t>
            </w:r>
          </w:p>
        </w:tc>
        <w:tc>
          <w:tcPr>
            <w:tcW w:w="5231" w:type="dxa"/>
            <w:vAlign w:val="center"/>
          </w:tcPr>
          <w:p w14:paraId="5F0A22C0">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5882FF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432A755B">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5231" w:type="dxa"/>
            <w:vAlign w:val="center"/>
          </w:tcPr>
          <w:p w14:paraId="5377C919">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4D024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jc w:val="center"/>
        </w:trPr>
        <w:tc>
          <w:tcPr>
            <w:tcW w:w="3352" w:type="dxa"/>
            <w:vAlign w:val="center"/>
          </w:tcPr>
          <w:p w14:paraId="1541B4FE">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2E7E6F05">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电子邮箱</w:t>
            </w:r>
          </w:p>
        </w:tc>
        <w:tc>
          <w:tcPr>
            <w:tcW w:w="5231" w:type="dxa"/>
            <w:vAlign w:val="center"/>
          </w:tcPr>
          <w:p w14:paraId="2D6251F3">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r w14:paraId="498BB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2" w:hRule="atLeast"/>
          <w:jc w:val="center"/>
        </w:trPr>
        <w:tc>
          <w:tcPr>
            <w:tcW w:w="3352" w:type="dxa"/>
            <w:vAlign w:val="center"/>
          </w:tcPr>
          <w:p w14:paraId="18D41471">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p w14:paraId="03AC24CB">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c>
          <w:tcPr>
            <w:tcW w:w="5231" w:type="dxa"/>
            <w:vAlign w:val="center"/>
          </w:tcPr>
          <w:p w14:paraId="68BA8EA4">
            <w:pPr>
              <w:pStyle w:val="16"/>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hint="eastAsia" w:ascii="宋体" w:hAnsi="宋体" w:eastAsia="宋体" w:cs="宋体"/>
                <w:sz w:val="24"/>
                <w:szCs w:val="24"/>
                <w:highlight w:val="none"/>
              </w:rPr>
            </w:pPr>
          </w:p>
        </w:tc>
      </w:tr>
    </w:tbl>
    <w:p w14:paraId="37AC5058">
      <w:pPr>
        <w:widowControl/>
        <w:shd w:val="clear"/>
        <w:spacing w:line="360" w:lineRule="auto"/>
        <w:jc w:val="left"/>
        <w:rPr>
          <w:rFonts w:hint="default" w:ascii="宋体" w:hAnsi="宋体" w:eastAsia="宋体" w:cs="宋体"/>
          <w:b/>
          <w:kern w:val="0"/>
          <w:sz w:val="24"/>
          <w:szCs w:val="24"/>
          <w:highlight w:val="none"/>
          <w:lang w:val="en-US" w:eastAsia="zh-CN"/>
        </w:rPr>
      </w:pPr>
    </w:p>
    <w:p w14:paraId="50658369">
      <w:pPr>
        <w:rPr>
          <w:highlight w:val="none"/>
        </w:rPr>
        <w:sectPr>
          <w:headerReference r:id="rId3" w:type="default"/>
          <w:footerReference r:id="rId4" w:type="default"/>
          <w:pgSz w:w="11906" w:h="16838"/>
          <w:pgMar w:top="1440" w:right="1800" w:bottom="1440" w:left="1800" w:header="851" w:footer="850" w:gutter="0"/>
          <w:pgNumType w:fmt="decimal"/>
          <w:cols w:space="425" w:num="1"/>
          <w:docGrid w:type="lines" w:linePitch="312" w:charSpace="0"/>
        </w:sectPr>
      </w:pPr>
    </w:p>
    <w:p w14:paraId="07F943C9">
      <w:pPr>
        <w:spacing w:before="91" w:line="219" w:lineRule="auto"/>
        <w:ind w:left="123"/>
        <w:rPr>
          <w:rFonts w:hint="eastAsia"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t>附件3：联合体购买招标文件授权书格式</w:t>
      </w:r>
    </w:p>
    <w:tbl>
      <w:tblPr>
        <w:tblStyle w:val="19"/>
        <w:tblW w:w="9017"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17"/>
      </w:tblGrid>
      <w:tr w14:paraId="281263A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352" w:hRule="atLeast"/>
        </w:trPr>
        <w:tc>
          <w:tcPr>
            <w:tcW w:w="9017" w:type="dxa"/>
            <w:vAlign w:val="top"/>
          </w:tcPr>
          <w:p w14:paraId="6053E597">
            <w:pPr>
              <w:pStyle w:val="18"/>
              <w:keepNext w:val="0"/>
              <w:keepLines w:val="0"/>
              <w:pageBreakBefore w:val="0"/>
              <w:widowControl/>
              <w:kinsoku w:val="0"/>
              <w:wordWrap/>
              <w:overflowPunct/>
              <w:topLinePunct w:val="0"/>
              <w:autoSpaceDE w:val="0"/>
              <w:autoSpaceDN w:val="0"/>
              <w:bidi w:val="0"/>
              <w:adjustRightInd w:val="0"/>
              <w:snapToGrid w:val="0"/>
              <w:spacing w:before="115" w:line="219" w:lineRule="auto"/>
              <w:ind w:left="0"/>
              <w:jc w:val="center"/>
              <w:textAlignment w:val="baseline"/>
              <w:rPr>
                <w:rFonts w:hint="eastAsia"/>
                <w:spacing w:val="0"/>
                <w:sz w:val="32"/>
                <w:szCs w:val="32"/>
                <w:highlight w:val="none"/>
                <w:lang w:val="en-US" w:eastAsia="zh-CN"/>
                <w14:textOutline w14:w="4358" w14:cap="sq" w14:cmpd="sng">
                  <w14:solidFill>
                    <w14:srgbClr w14:val="000000"/>
                  </w14:solidFill>
                  <w14:prstDash w14:val="solid"/>
                  <w14:bevel/>
                </w14:textOutline>
              </w:rPr>
            </w:pPr>
            <w:r>
              <w:rPr>
                <w:rFonts w:hint="eastAsia"/>
                <w:spacing w:val="0"/>
                <w:sz w:val="32"/>
                <w:szCs w:val="32"/>
                <w:highlight w:val="none"/>
                <w:lang w:val="en-US" w:eastAsia="zh-CN"/>
                <w14:textOutline w14:w="4358" w14:cap="sq" w14:cmpd="sng">
                  <w14:solidFill>
                    <w14:srgbClr w14:val="000000"/>
                  </w14:solidFill>
                  <w14:prstDash w14:val="solid"/>
                  <w14:bevel/>
                </w14:textOutline>
              </w:rPr>
              <w:t>G70福银线（西安至陕鄂界段）安全韧性提升工程</w:t>
            </w:r>
          </w:p>
          <w:p w14:paraId="1A4260AF">
            <w:pPr>
              <w:pStyle w:val="18"/>
              <w:keepNext w:val="0"/>
              <w:keepLines w:val="0"/>
              <w:pageBreakBefore w:val="0"/>
              <w:widowControl/>
              <w:kinsoku w:val="0"/>
              <w:wordWrap/>
              <w:overflowPunct/>
              <w:topLinePunct w:val="0"/>
              <w:autoSpaceDE w:val="0"/>
              <w:autoSpaceDN w:val="0"/>
              <w:bidi w:val="0"/>
              <w:adjustRightInd w:val="0"/>
              <w:snapToGrid w:val="0"/>
              <w:spacing w:before="115" w:line="219" w:lineRule="auto"/>
              <w:ind w:left="0"/>
              <w:jc w:val="center"/>
              <w:textAlignment w:val="baseline"/>
              <w:rPr>
                <w:spacing w:val="0"/>
                <w:sz w:val="32"/>
                <w:szCs w:val="32"/>
                <w:highlight w:val="none"/>
                <w14:textOutline w14:w="4358" w14:cap="sq" w14:cmpd="sng">
                  <w14:solidFill>
                    <w14:srgbClr w14:val="000000"/>
                  </w14:solidFill>
                  <w14:prstDash w14:val="solid"/>
                  <w14:bevel/>
                </w14:textOutline>
              </w:rPr>
            </w:pPr>
            <w:r>
              <w:rPr>
                <w:rFonts w:hint="eastAsia"/>
                <w:spacing w:val="0"/>
                <w:sz w:val="32"/>
                <w:szCs w:val="32"/>
                <w:highlight w:val="none"/>
                <w:lang w:val="en-US" w:eastAsia="zh-CN"/>
                <w14:textOutline w14:w="4358" w14:cap="sq" w14:cmpd="sng">
                  <w14:solidFill>
                    <w14:srgbClr w14:val="000000"/>
                  </w14:solidFill>
                  <w14:prstDash w14:val="solid"/>
                  <w14:bevel/>
                </w14:textOutline>
              </w:rPr>
              <w:t>两阶段勘察设计和设计咨询</w:t>
            </w:r>
            <w:r>
              <w:rPr>
                <w:spacing w:val="0"/>
                <w:sz w:val="32"/>
                <w:szCs w:val="32"/>
                <w:highlight w:val="none"/>
                <w14:textOutline w14:w="4358" w14:cap="sq" w14:cmpd="sng">
                  <w14:solidFill>
                    <w14:srgbClr w14:val="000000"/>
                  </w14:solidFill>
                  <w14:prstDash w14:val="solid"/>
                  <w14:bevel/>
                </w14:textOutline>
              </w:rPr>
              <w:t>招标</w:t>
            </w:r>
          </w:p>
          <w:p w14:paraId="6C601453">
            <w:pPr>
              <w:pStyle w:val="18"/>
              <w:keepNext w:val="0"/>
              <w:keepLines w:val="0"/>
              <w:pageBreakBefore w:val="0"/>
              <w:widowControl/>
              <w:kinsoku w:val="0"/>
              <w:wordWrap/>
              <w:overflowPunct/>
              <w:topLinePunct w:val="0"/>
              <w:autoSpaceDE w:val="0"/>
              <w:autoSpaceDN w:val="0"/>
              <w:bidi w:val="0"/>
              <w:adjustRightInd w:val="0"/>
              <w:snapToGrid w:val="0"/>
              <w:spacing w:before="115" w:line="219" w:lineRule="auto"/>
              <w:ind w:left="0"/>
              <w:jc w:val="center"/>
              <w:textAlignment w:val="baseline"/>
              <w:rPr>
                <w:spacing w:val="0"/>
                <w:sz w:val="32"/>
                <w:szCs w:val="32"/>
                <w:highlight w:val="none"/>
              </w:rPr>
            </w:pPr>
            <w:r>
              <w:rPr>
                <w:rFonts w:hint="eastAsia"/>
                <w:spacing w:val="0"/>
                <w:sz w:val="32"/>
                <w:szCs w:val="32"/>
                <w:highlight w:val="none"/>
                <w:lang w:val="en-US" w:eastAsia="zh-CN"/>
                <w14:textOutline w14:w="4358" w14:cap="sq" w14:cmpd="sng">
                  <w14:solidFill>
                    <w14:srgbClr w14:val="000000"/>
                  </w14:solidFill>
                  <w14:prstDash w14:val="solid"/>
                  <w14:bevel/>
                </w14:textOutline>
              </w:rPr>
              <w:t>联合体</w:t>
            </w:r>
            <w:r>
              <w:rPr>
                <w:spacing w:val="0"/>
                <w:sz w:val="32"/>
                <w:szCs w:val="32"/>
                <w:highlight w:val="none"/>
                <w14:textOutline w14:w="4358" w14:cap="sq" w14:cmpd="sng">
                  <w14:solidFill>
                    <w14:srgbClr w14:val="000000"/>
                  </w14:solidFill>
                  <w14:prstDash w14:val="solid"/>
                  <w14:bevel/>
                </w14:textOutline>
              </w:rPr>
              <w:t>购买招标文件授权书</w:t>
            </w:r>
          </w:p>
          <w:p w14:paraId="27D58EE7">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p>
          <w:p w14:paraId="0D354688">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0" w:firstLineChars="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u w:val="single"/>
                <w:lang w:val="en-US" w:eastAsia="zh-CN"/>
              </w:rPr>
              <w:t xml:space="preserve">    陕西省交通工程咨询有限公司</w:t>
            </w:r>
            <w:r>
              <w:rPr>
                <w:rFonts w:hint="eastAsia" w:ascii="宋体" w:hAnsi="宋体" w:eastAsia="宋体" w:cs="宋体"/>
                <w:spacing w:val="0"/>
                <w:sz w:val="24"/>
                <w:szCs w:val="24"/>
                <w:highlight w:val="none"/>
                <w:lang w:val="en-US" w:eastAsia="zh-CN"/>
              </w:rPr>
              <w:t>：</w:t>
            </w:r>
          </w:p>
          <w:p w14:paraId="284CAD26">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u w:val="single"/>
                <w:lang w:val="en-US" w:eastAsia="zh-CN"/>
              </w:rPr>
              <w:t>（联合体组成单位）</w:t>
            </w:r>
            <w:r>
              <w:rPr>
                <w:rFonts w:hint="eastAsia" w:hAnsi="宋体" w:cs="宋体"/>
                <w:spacing w:val="0"/>
                <w:sz w:val="24"/>
                <w:szCs w:val="24"/>
                <w:highlight w:val="none"/>
                <w:u w:val="single"/>
                <w:lang w:val="en-US" w:eastAsia="zh-CN"/>
              </w:rPr>
              <w:t xml:space="preserve">     自愿</w:t>
            </w:r>
            <w:r>
              <w:rPr>
                <w:rFonts w:hint="eastAsia" w:ascii="宋体" w:hAnsi="宋体" w:eastAsia="宋体" w:cs="宋体"/>
                <w:spacing w:val="0"/>
                <w:sz w:val="24"/>
                <w:szCs w:val="24"/>
                <w:highlight w:val="none"/>
                <w:lang w:val="en-US" w:eastAsia="zh-CN"/>
              </w:rPr>
              <w:t>组成联合体，拟参与G70福银线（西安至陕鄂界段）安全韧性提升工程两阶段勘察设计和设计咨询</w:t>
            </w:r>
            <w:r>
              <w:rPr>
                <w:rFonts w:hint="eastAsia" w:ascii="宋体" w:hAnsi="宋体" w:eastAsia="宋体" w:cs="宋体"/>
                <w:spacing w:val="0"/>
                <w:sz w:val="24"/>
                <w:szCs w:val="24"/>
                <w:highlight w:val="none"/>
                <w:u w:val="single"/>
                <w:lang w:val="en-US" w:eastAsia="zh-CN"/>
              </w:rPr>
              <w:t xml:space="preserve">      </w:t>
            </w:r>
            <w:r>
              <w:rPr>
                <w:rFonts w:hint="eastAsia" w:ascii="宋体" w:hAnsi="宋体" w:eastAsia="宋体" w:cs="宋体"/>
                <w:spacing w:val="0"/>
                <w:sz w:val="24"/>
                <w:szCs w:val="24"/>
                <w:highlight w:val="none"/>
                <w:lang w:val="en-US" w:eastAsia="zh-CN"/>
              </w:rPr>
              <w:t>标段投标，其中</w:t>
            </w:r>
            <w:r>
              <w:rPr>
                <w:rFonts w:hint="eastAsia" w:ascii="宋体" w:hAnsi="宋体" w:eastAsia="宋体" w:cs="宋体"/>
                <w:spacing w:val="0"/>
                <w:sz w:val="24"/>
                <w:szCs w:val="24"/>
                <w:highlight w:val="none"/>
                <w:u w:val="single"/>
                <w:lang w:val="en-US" w:eastAsia="zh-CN"/>
              </w:rPr>
              <w:t xml:space="preserve">（牵头单位名称）     </w:t>
            </w:r>
            <w:r>
              <w:rPr>
                <w:rFonts w:hint="eastAsia" w:ascii="宋体" w:hAnsi="宋体" w:eastAsia="宋体" w:cs="宋体"/>
                <w:spacing w:val="0"/>
                <w:sz w:val="24"/>
                <w:szCs w:val="24"/>
                <w:highlight w:val="none"/>
                <w:lang w:val="en-US" w:eastAsia="zh-CN"/>
              </w:rPr>
              <w:t xml:space="preserve">为联合体牵头单位。联合体授权联合体牵头单位工作人员 </w:t>
            </w:r>
            <w:r>
              <w:rPr>
                <w:rFonts w:hint="eastAsia" w:ascii="宋体" w:hAnsi="宋体" w:eastAsia="宋体" w:cs="宋体"/>
                <w:spacing w:val="0"/>
                <w:sz w:val="24"/>
                <w:szCs w:val="24"/>
                <w:highlight w:val="none"/>
                <w:u w:val="single"/>
                <w:lang w:val="en-US" w:eastAsia="zh-CN"/>
              </w:rPr>
              <w:t>(购买招标文件人员姓名)</w:t>
            </w:r>
            <w:r>
              <w:rPr>
                <w:rFonts w:hint="eastAsia" w:hAnsi="宋体" w:cs="宋体"/>
                <w:spacing w:val="0"/>
                <w:sz w:val="24"/>
                <w:szCs w:val="24"/>
                <w:highlight w:val="none"/>
                <w:u w:val="single"/>
                <w:lang w:val="en-US" w:eastAsia="zh-CN"/>
              </w:rPr>
              <w:t xml:space="preserve">    </w:t>
            </w:r>
            <w:r>
              <w:rPr>
                <w:rFonts w:hint="eastAsia" w:ascii="宋体" w:hAnsi="宋体" w:eastAsia="宋体" w:cs="宋体"/>
                <w:spacing w:val="0"/>
                <w:sz w:val="24"/>
                <w:szCs w:val="24"/>
                <w:highlight w:val="none"/>
                <w:lang w:val="en-US" w:eastAsia="zh-CN"/>
              </w:rPr>
              <w:t>购买招标文件，授权期限 7 天。</w:t>
            </w:r>
          </w:p>
          <w:p w14:paraId="0B1435A7">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p>
          <w:p w14:paraId="025C1B2D">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牵头单位名称：</w:t>
            </w:r>
            <w:r>
              <w:rPr>
                <w:rFonts w:hint="eastAsia" w:ascii="宋体" w:hAnsi="宋体" w:eastAsia="宋体" w:cs="宋体"/>
                <w:spacing w:val="0"/>
                <w:sz w:val="24"/>
                <w:szCs w:val="24"/>
                <w:highlight w:val="none"/>
                <w:u w:val="single"/>
                <w:lang w:val="en-US" w:eastAsia="zh-CN"/>
              </w:rPr>
              <w:t xml:space="preserve">                                （盖单位章）</w:t>
            </w:r>
          </w:p>
          <w:p w14:paraId="45023BE7">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u w:val="single"/>
                <w:lang w:val="en-US" w:eastAsia="zh-CN"/>
              </w:rPr>
            </w:pPr>
            <w:r>
              <w:rPr>
                <w:rFonts w:hint="eastAsia" w:ascii="宋体" w:hAnsi="宋体" w:eastAsia="宋体" w:cs="宋体"/>
                <w:spacing w:val="0"/>
                <w:sz w:val="24"/>
                <w:szCs w:val="24"/>
                <w:highlight w:val="none"/>
                <w:lang w:val="en-US" w:eastAsia="zh-CN"/>
              </w:rPr>
              <w:t>法定代表人</w:t>
            </w:r>
            <w:r>
              <w:rPr>
                <w:rFonts w:hint="eastAsia" w:ascii="宋体" w:hAnsi="宋体" w:eastAsia="宋体" w:cs="宋体"/>
                <w:spacing w:val="0"/>
                <w:sz w:val="24"/>
                <w:szCs w:val="24"/>
                <w:highlight w:val="none"/>
                <w:u w:val="single"/>
                <w:lang w:val="en-US" w:eastAsia="zh-CN"/>
              </w:rPr>
              <w:t>：                                      （签字）</w:t>
            </w:r>
          </w:p>
          <w:p w14:paraId="7A3937F9">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u w:val="single"/>
                <w:lang w:val="en-US" w:eastAsia="zh-CN"/>
              </w:rPr>
            </w:pPr>
            <w:r>
              <w:rPr>
                <w:rFonts w:hint="eastAsia" w:ascii="宋体" w:hAnsi="宋体" w:eastAsia="宋体" w:cs="宋体"/>
                <w:spacing w:val="0"/>
                <w:sz w:val="24"/>
                <w:szCs w:val="24"/>
                <w:highlight w:val="none"/>
                <w:u w:val="none"/>
                <w:lang w:val="en-US" w:eastAsia="zh-CN"/>
              </w:rPr>
              <w:t>具备的资质：</w:t>
            </w:r>
            <w:r>
              <w:rPr>
                <w:rFonts w:hint="eastAsia" w:ascii="宋体" w:hAnsi="宋体" w:eastAsia="宋体" w:cs="宋体"/>
                <w:spacing w:val="0"/>
                <w:sz w:val="24"/>
                <w:szCs w:val="24"/>
                <w:highlight w:val="none"/>
                <w:u w:val="single"/>
                <w:lang w:val="en-US" w:eastAsia="zh-CN"/>
              </w:rPr>
              <w:t xml:space="preserve">                                              </w:t>
            </w:r>
          </w:p>
          <w:p w14:paraId="2EB3D09C">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default"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u w:val="none"/>
                <w:lang w:val="en-US" w:eastAsia="zh-CN"/>
              </w:rPr>
              <w:t>承担的段落：</w:t>
            </w:r>
            <w:r>
              <w:rPr>
                <w:rFonts w:hint="eastAsia" w:ascii="宋体" w:hAnsi="宋体" w:eastAsia="宋体" w:cs="宋体"/>
                <w:spacing w:val="0"/>
                <w:sz w:val="24"/>
                <w:szCs w:val="24"/>
                <w:highlight w:val="none"/>
                <w:u w:val="single"/>
                <w:lang w:val="en-US" w:eastAsia="zh-CN"/>
              </w:rPr>
              <w:t xml:space="preserve">                                              </w:t>
            </w:r>
            <w:r>
              <w:rPr>
                <w:rFonts w:hint="eastAsia" w:ascii="宋体" w:hAnsi="宋体" w:eastAsia="宋体" w:cs="宋体"/>
                <w:spacing w:val="0"/>
                <w:sz w:val="24"/>
                <w:szCs w:val="24"/>
                <w:highlight w:val="none"/>
                <w:u w:val="none"/>
                <w:lang w:val="en-US" w:eastAsia="zh-CN"/>
              </w:rPr>
              <w:t xml:space="preserve">                       </w:t>
            </w:r>
          </w:p>
          <w:p w14:paraId="06B4D648">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hAnsi="宋体" w:cs="宋体"/>
                <w:spacing w:val="0"/>
                <w:sz w:val="24"/>
                <w:szCs w:val="24"/>
                <w:highlight w:val="none"/>
                <w:lang w:val="en-US" w:eastAsia="zh-CN"/>
              </w:rPr>
            </w:pPr>
          </w:p>
          <w:p w14:paraId="5A015C24">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u w:val="single"/>
                <w:lang w:val="en-US" w:eastAsia="zh-CN"/>
              </w:rPr>
            </w:pPr>
            <w:r>
              <w:rPr>
                <w:rFonts w:hint="eastAsia" w:hAnsi="宋体" w:cs="宋体"/>
                <w:spacing w:val="0"/>
                <w:sz w:val="24"/>
                <w:szCs w:val="24"/>
                <w:highlight w:val="none"/>
                <w:lang w:val="en-US" w:eastAsia="zh-CN"/>
              </w:rPr>
              <w:t>成员</w:t>
            </w:r>
            <w:r>
              <w:rPr>
                <w:rFonts w:hint="eastAsia" w:ascii="宋体" w:hAnsi="宋体" w:eastAsia="宋体" w:cs="宋体"/>
                <w:spacing w:val="0"/>
                <w:sz w:val="24"/>
                <w:szCs w:val="24"/>
                <w:highlight w:val="none"/>
                <w:lang w:val="en-US" w:eastAsia="zh-CN"/>
              </w:rPr>
              <w:t>单位名称</w:t>
            </w:r>
            <w:r>
              <w:rPr>
                <w:rFonts w:hint="eastAsia" w:ascii="宋体" w:hAnsi="宋体" w:eastAsia="宋体" w:cs="宋体"/>
                <w:spacing w:val="0"/>
                <w:sz w:val="24"/>
                <w:szCs w:val="24"/>
                <w:highlight w:val="none"/>
                <w:u w:val="single"/>
                <w:lang w:val="en-US" w:eastAsia="zh-CN"/>
              </w:rPr>
              <w:t>：                                （盖单位章）</w:t>
            </w:r>
          </w:p>
          <w:p w14:paraId="1DEAA571">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法定代表人：</w:t>
            </w:r>
            <w:r>
              <w:rPr>
                <w:rFonts w:hint="eastAsia" w:ascii="宋体" w:hAnsi="宋体" w:eastAsia="宋体" w:cs="宋体"/>
                <w:spacing w:val="0"/>
                <w:sz w:val="24"/>
                <w:szCs w:val="24"/>
                <w:highlight w:val="none"/>
                <w:u w:val="single"/>
                <w:lang w:val="en-US" w:eastAsia="zh-CN"/>
              </w:rPr>
              <w:t xml:space="preserve">                                      （签字）</w:t>
            </w:r>
          </w:p>
          <w:p w14:paraId="3082617B">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default" w:ascii="宋体" w:hAnsi="宋体" w:eastAsia="宋体" w:cs="宋体"/>
                <w:spacing w:val="0"/>
                <w:sz w:val="24"/>
                <w:szCs w:val="24"/>
                <w:highlight w:val="none"/>
                <w:u w:val="single"/>
                <w:lang w:val="en-US" w:eastAsia="zh-CN"/>
              </w:rPr>
            </w:pPr>
            <w:r>
              <w:rPr>
                <w:rFonts w:hint="eastAsia" w:ascii="宋体" w:hAnsi="宋体" w:eastAsia="宋体" w:cs="宋体"/>
                <w:spacing w:val="0"/>
                <w:sz w:val="24"/>
                <w:szCs w:val="24"/>
                <w:highlight w:val="none"/>
                <w:u w:val="none"/>
                <w:lang w:val="en-US" w:eastAsia="zh-CN"/>
              </w:rPr>
              <w:t>具备的资质：</w:t>
            </w:r>
            <w:r>
              <w:rPr>
                <w:rFonts w:hint="eastAsia" w:ascii="宋体" w:hAnsi="宋体" w:eastAsia="宋体" w:cs="宋体"/>
                <w:spacing w:val="0"/>
                <w:sz w:val="24"/>
                <w:szCs w:val="24"/>
                <w:highlight w:val="none"/>
                <w:u w:val="single"/>
                <w:lang w:val="en-US" w:eastAsia="zh-CN"/>
              </w:rPr>
              <w:t xml:space="preserve">                                              </w:t>
            </w:r>
          </w:p>
          <w:p w14:paraId="7369B84A">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u w:val="none"/>
                <w:lang w:val="en-US" w:eastAsia="zh-CN"/>
              </w:rPr>
              <w:t>承担的段落：</w:t>
            </w:r>
            <w:r>
              <w:rPr>
                <w:rFonts w:hint="eastAsia" w:ascii="宋体" w:hAnsi="宋体" w:eastAsia="宋体" w:cs="宋体"/>
                <w:spacing w:val="0"/>
                <w:sz w:val="24"/>
                <w:szCs w:val="24"/>
                <w:highlight w:val="none"/>
                <w:u w:val="single"/>
                <w:lang w:val="en-US" w:eastAsia="zh-CN"/>
              </w:rPr>
              <w:t xml:space="preserve">                                              </w:t>
            </w:r>
          </w:p>
          <w:p w14:paraId="7E7C9D10">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hAnsi="宋体" w:cs="宋体"/>
                <w:spacing w:val="0"/>
                <w:sz w:val="24"/>
                <w:szCs w:val="24"/>
                <w:highlight w:val="none"/>
                <w:lang w:val="en-US" w:eastAsia="zh-CN"/>
              </w:rPr>
            </w:pPr>
          </w:p>
          <w:p w14:paraId="1C63F73D">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u w:val="single"/>
                <w:lang w:val="en-US" w:eastAsia="zh-CN"/>
              </w:rPr>
            </w:pPr>
            <w:r>
              <w:rPr>
                <w:rFonts w:hint="eastAsia" w:hAnsi="宋体" w:cs="宋体"/>
                <w:spacing w:val="0"/>
                <w:sz w:val="24"/>
                <w:szCs w:val="24"/>
                <w:highlight w:val="none"/>
                <w:lang w:val="en-US" w:eastAsia="zh-CN"/>
              </w:rPr>
              <w:t>成员</w:t>
            </w:r>
            <w:r>
              <w:rPr>
                <w:rFonts w:hint="eastAsia" w:ascii="宋体" w:hAnsi="宋体" w:eastAsia="宋体" w:cs="宋体"/>
                <w:spacing w:val="0"/>
                <w:sz w:val="24"/>
                <w:szCs w:val="24"/>
                <w:highlight w:val="none"/>
                <w:lang w:val="en-US" w:eastAsia="zh-CN"/>
              </w:rPr>
              <w:t>单位名称</w:t>
            </w:r>
            <w:r>
              <w:rPr>
                <w:rFonts w:hint="eastAsia" w:ascii="宋体" w:hAnsi="宋体" w:eastAsia="宋体" w:cs="宋体"/>
                <w:spacing w:val="0"/>
                <w:sz w:val="24"/>
                <w:szCs w:val="24"/>
                <w:highlight w:val="none"/>
                <w:u w:val="single"/>
                <w:lang w:val="en-US" w:eastAsia="zh-CN"/>
              </w:rPr>
              <w:t>：                                （盖单位章）</w:t>
            </w:r>
          </w:p>
          <w:p w14:paraId="69C4F11F">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lang w:val="en-US" w:eastAsia="zh-CN"/>
              </w:rPr>
              <w:t>法定代表人：</w:t>
            </w:r>
            <w:r>
              <w:rPr>
                <w:rFonts w:hint="eastAsia" w:ascii="宋体" w:hAnsi="宋体" w:eastAsia="宋体" w:cs="宋体"/>
                <w:spacing w:val="0"/>
                <w:sz w:val="24"/>
                <w:szCs w:val="24"/>
                <w:highlight w:val="none"/>
                <w:u w:val="single"/>
                <w:lang w:val="en-US" w:eastAsia="zh-CN"/>
              </w:rPr>
              <w:t xml:space="preserve">                                      （签字）</w:t>
            </w:r>
          </w:p>
          <w:p w14:paraId="65087374">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default" w:ascii="宋体" w:hAnsi="宋体" w:eastAsia="宋体" w:cs="宋体"/>
                <w:spacing w:val="0"/>
                <w:sz w:val="24"/>
                <w:szCs w:val="24"/>
                <w:highlight w:val="none"/>
                <w:u w:val="single"/>
                <w:lang w:val="en-US" w:eastAsia="zh-CN"/>
              </w:rPr>
            </w:pPr>
            <w:r>
              <w:rPr>
                <w:rFonts w:hint="eastAsia" w:ascii="宋体" w:hAnsi="宋体" w:eastAsia="宋体" w:cs="宋体"/>
                <w:spacing w:val="0"/>
                <w:sz w:val="24"/>
                <w:szCs w:val="24"/>
                <w:highlight w:val="none"/>
                <w:u w:val="none"/>
                <w:lang w:val="en-US" w:eastAsia="zh-CN"/>
              </w:rPr>
              <w:t>具备的资质：</w:t>
            </w:r>
            <w:r>
              <w:rPr>
                <w:rFonts w:hint="eastAsia" w:ascii="宋体" w:hAnsi="宋体" w:eastAsia="宋体" w:cs="宋体"/>
                <w:spacing w:val="0"/>
                <w:sz w:val="24"/>
                <w:szCs w:val="24"/>
                <w:highlight w:val="none"/>
                <w:u w:val="single"/>
                <w:lang w:val="en-US" w:eastAsia="zh-CN"/>
              </w:rPr>
              <w:t xml:space="preserve">                                              </w:t>
            </w:r>
          </w:p>
          <w:p w14:paraId="615FACFC">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rFonts w:hint="eastAsia" w:ascii="宋体" w:hAnsi="宋体" w:eastAsia="宋体" w:cs="宋体"/>
                <w:spacing w:val="0"/>
                <w:sz w:val="24"/>
                <w:szCs w:val="24"/>
                <w:highlight w:val="none"/>
                <w:lang w:val="en-US" w:eastAsia="zh-CN"/>
              </w:rPr>
            </w:pPr>
            <w:r>
              <w:rPr>
                <w:rFonts w:hint="eastAsia" w:ascii="宋体" w:hAnsi="宋体" w:eastAsia="宋体" w:cs="宋体"/>
                <w:spacing w:val="0"/>
                <w:sz w:val="24"/>
                <w:szCs w:val="24"/>
                <w:highlight w:val="none"/>
                <w:u w:val="none"/>
                <w:lang w:val="en-US" w:eastAsia="zh-CN"/>
              </w:rPr>
              <w:t>承担的段落：</w:t>
            </w:r>
            <w:r>
              <w:rPr>
                <w:rFonts w:hint="eastAsia" w:ascii="宋体" w:hAnsi="宋体" w:eastAsia="宋体" w:cs="宋体"/>
                <w:spacing w:val="0"/>
                <w:sz w:val="24"/>
                <w:szCs w:val="24"/>
                <w:highlight w:val="none"/>
                <w:u w:val="single"/>
                <w:lang w:val="en-US" w:eastAsia="zh-CN"/>
              </w:rPr>
              <w:t xml:space="preserve">                                              </w:t>
            </w:r>
          </w:p>
          <w:p w14:paraId="0C63396B">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360" w:firstLineChars="200"/>
              <w:textAlignment w:val="baseline"/>
              <w:rPr>
                <w:rFonts w:hint="eastAsia" w:ascii="宋体" w:hAnsi="宋体" w:eastAsia="宋体" w:cs="宋体"/>
                <w:spacing w:val="0"/>
                <w:sz w:val="18"/>
                <w:szCs w:val="18"/>
                <w:highlight w:val="none"/>
                <w:lang w:val="en-US" w:eastAsia="zh-CN"/>
              </w:rPr>
            </w:pPr>
            <w:r>
              <w:rPr>
                <w:rFonts w:hint="eastAsia" w:ascii="宋体" w:hAnsi="宋体" w:eastAsia="宋体" w:cs="宋体"/>
                <w:spacing w:val="0"/>
                <w:sz w:val="18"/>
                <w:szCs w:val="18"/>
                <w:highlight w:val="none"/>
                <w:lang w:val="en-US" w:eastAsia="zh-CN"/>
              </w:rPr>
              <w:t>注：本高速公路韧性提升工程的不同设计段落划分如下：蓝田县席家河至 商州区林岔河段（K1632+285～ K1581+207）、商州区林岔河经麻池河立交至商州枢纽立交段（K1581+207～ K1568+264）、商州区麻池河立交至山阳县陈家湾村（K1568+264～ K1518+027）、山阳县陈家湾村至山阳县漫川关镇段（K1518+027～K1474+000）。</w:t>
            </w:r>
            <w:r>
              <w:rPr>
                <w:rFonts w:hint="eastAsia" w:ascii="宋体" w:hAnsi="宋体" w:eastAsia="宋体" w:cs="宋体"/>
                <w:spacing w:val="0"/>
                <w:sz w:val="18"/>
                <w:szCs w:val="18"/>
                <w:highlight w:val="none"/>
                <w:lang w:val="en-US" w:eastAsia="zh-CN"/>
              </w:rPr>
              <w:tab/>
            </w:r>
          </w:p>
          <w:p w14:paraId="51735439">
            <w:pPr>
              <w:keepNext w:val="0"/>
              <w:keepLines w:val="0"/>
              <w:pageBreakBefore w:val="0"/>
              <w:widowControl/>
              <w:kinsoku w:val="0"/>
              <w:wordWrap/>
              <w:overflowPunct/>
              <w:topLinePunct w:val="0"/>
              <w:autoSpaceDE w:val="0"/>
              <w:autoSpaceDN w:val="0"/>
              <w:bidi w:val="0"/>
              <w:adjustRightInd w:val="0"/>
              <w:snapToGrid w:val="0"/>
              <w:spacing w:line="420" w:lineRule="exact"/>
              <w:ind w:left="0" w:right="0" w:firstLine="480" w:firstLineChars="200"/>
              <w:textAlignment w:val="baseline"/>
              <w:rPr>
                <w:spacing w:val="0"/>
                <w:highlight w:val="none"/>
              </w:rPr>
            </w:pPr>
            <w:r>
              <w:rPr>
                <w:rFonts w:hint="eastAsia" w:ascii="宋体" w:hAnsi="宋体" w:eastAsia="宋体" w:cs="宋体"/>
                <w:spacing w:val="0"/>
                <w:sz w:val="24"/>
                <w:szCs w:val="24"/>
                <w:highlight w:val="none"/>
                <w:lang w:val="en-US" w:eastAsia="zh-CN"/>
              </w:rPr>
              <w:t xml:space="preserve"> 年     月      日</w:t>
            </w:r>
          </w:p>
        </w:tc>
      </w:tr>
    </w:tbl>
    <w:p w14:paraId="494B1B1A">
      <w:pPr>
        <w:numPr>
          <w:ilvl w:val="0"/>
          <w:numId w:val="0"/>
        </w:numPr>
      </w:pPr>
    </w:p>
    <w:sectPr>
      <w:footerReference r:id="rId5" w:type="default"/>
      <w:pgSz w:w="11906" w:h="16838"/>
      <w:pgMar w:top="1440" w:right="1406" w:bottom="1440" w:left="1406"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BB52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E83AF1">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E83AF1">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657E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7E659">
                          <w:pPr>
                            <w:pStyle w:val="6"/>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607E659">
                    <w:pPr>
                      <w:pStyle w:val="6"/>
                    </w:pPr>
                    <w:r>
                      <w:fldChar w:fldCharType="begin"/>
                    </w:r>
                    <w:r>
                      <w:instrText xml:space="preserve"> PAGE  \* MERGEFORMAT </w:instrText>
                    </w:r>
                    <w:r>
                      <w:fldChar w:fldCharType="separate"/>
                    </w:r>
                    <w:r>
                      <w:t>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87E9C">
    <w:pPr>
      <w:pStyle w:val="7"/>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13BFA"/>
    <w:multiLevelType w:val="singleLevel"/>
    <w:tmpl w:val="02413BF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mMWNlYWMzNzUyZjJjYzY1YzljYzdmNTM0Y2IxMzcifQ=="/>
  </w:docVars>
  <w:rsids>
    <w:rsidRoot w:val="00000000"/>
    <w:rsid w:val="00983348"/>
    <w:rsid w:val="01DC1F93"/>
    <w:rsid w:val="0594137F"/>
    <w:rsid w:val="0BDE2C52"/>
    <w:rsid w:val="0CF16D72"/>
    <w:rsid w:val="0F7B0322"/>
    <w:rsid w:val="10172B14"/>
    <w:rsid w:val="10BF67B1"/>
    <w:rsid w:val="11976F5D"/>
    <w:rsid w:val="11CE134A"/>
    <w:rsid w:val="1F3D58D3"/>
    <w:rsid w:val="21323727"/>
    <w:rsid w:val="28300CC1"/>
    <w:rsid w:val="287F2125"/>
    <w:rsid w:val="3219179E"/>
    <w:rsid w:val="33F92481"/>
    <w:rsid w:val="38BB2C7F"/>
    <w:rsid w:val="38DE28ED"/>
    <w:rsid w:val="39835EF8"/>
    <w:rsid w:val="4CF23EB5"/>
    <w:rsid w:val="4CFE651C"/>
    <w:rsid w:val="4FD5108C"/>
    <w:rsid w:val="4FE13ED5"/>
    <w:rsid w:val="51FF27E5"/>
    <w:rsid w:val="5B39136A"/>
    <w:rsid w:val="5FEB2206"/>
    <w:rsid w:val="620D6DAC"/>
    <w:rsid w:val="66760D56"/>
    <w:rsid w:val="683472E6"/>
    <w:rsid w:val="6D567859"/>
    <w:rsid w:val="73BD02D6"/>
    <w:rsid w:val="762F05C5"/>
    <w:rsid w:val="7A142AF0"/>
    <w:rsid w:val="7BCB31C0"/>
    <w:rsid w:val="7D042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1"/>
    <w:pPr>
      <w:spacing w:before="54"/>
      <w:ind w:right="59"/>
      <w:jc w:val="center"/>
      <w:outlineLvl w:val="3"/>
    </w:pPr>
    <w:rPr>
      <w:b/>
      <w:bCs/>
      <w:sz w:val="32"/>
      <w:szCs w:val="32"/>
    </w:rPr>
  </w:style>
  <w:style w:type="character" w:default="1" w:styleId="10">
    <w:name w:val="Default Paragraph Font"/>
    <w:autoRedefine/>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rPr>
      <w:rFonts w:ascii="Arial" w:hAnsi="Arial" w:eastAsia="黑体"/>
      <w:sz w:val="20"/>
    </w:rPr>
  </w:style>
  <w:style w:type="paragraph" w:styleId="4">
    <w:name w:val="toa heading"/>
    <w:basedOn w:val="1"/>
    <w:next w:val="1"/>
    <w:qFormat/>
    <w:uiPriority w:val="0"/>
    <w:rPr>
      <w:rFonts w:ascii="Arial" w:hAnsi="Arial"/>
      <w:sz w:val="24"/>
    </w:rPr>
  </w:style>
  <w:style w:type="paragraph" w:styleId="5">
    <w:name w:val="Body Text"/>
    <w:basedOn w:val="1"/>
    <w:semiHidden/>
    <w:qFormat/>
    <w:uiPriority w:val="0"/>
    <w:rPr>
      <w:rFonts w:ascii="Arial" w:hAnsi="Arial" w:eastAsia="Arial" w:cs="Arial"/>
      <w:sz w:val="21"/>
      <w:szCs w:val="21"/>
      <w:lang w:val="en-US" w:eastAsia="en-US" w:bidi="ar-SA"/>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正文文本5"/>
    <w:basedOn w:val="1"/>
    <w:autoRedefine/>
    <w:qFormat/>
    <w:uiPriority w:val="0"/>
    <w:pPr>
      <w:shd w:val="clear" w:color="auto" w:fill="FFFFFF"/>
      <w:spacing w:before="120" w:after="240" w:line="0" w:lineRule="atLeast"/>
      <w:jc w:val="center"/>
    </w:pPr>
    <w:rPr>
      <w:rFonts w:ascii="黑体" w:hAnsi="黑体" w:eastAsia="黑体" w:cs="黑体"/>
    </w:rPr>
  </w:style>
  <w:style w:type="paragraph" w:customStyle="1" w:styleId="12">
    <w:name w:val="正文文本11"/>
    <w:basedOn w:val="1"/>
    <w:link w:val="14"/>
    <w:autoRedefine/>
    <w:qFormat/>
    <w:uiPriority w:val="0"/>
    <w:pPr>
      <w:shd w:val="clear" w:color="auto" w:fill="FFFFFF"/>
      <w:spacing w:before="120" w:after="300" w:line="0" w:lineRule="atLeast"/>
      <w:jc w:val="center"/>
    </w:pPr>
    <w:rPr>
      <w:rFonts w:ascii="宋体" w:hAnsi="宋体" w:eastAsia="宋体" w:cs="宋体"/>
      <w:sz w:val="23"/>
      <w:szCs w:val="23"/>
    </w:rPr>
  </w:style>
  <w:style w:type="character" w:customStyle="1" w:styleId="13">
    <w:name w:val="正文文本 + 12.5 pt"/>
    <w:basedOn w:val="14"/>
    <w:autoRedefine/>
    <w:qFormat/>
    <w:uiPriority w:val="0"/>
    <w:rPr>
      <w:rFonts w:ascii="宋体" w:hAnsi="宋体" w:eastAsia="宋体" w:cs="宋体"/>
      <w:i/>
      <w:iCs/>
      <w:color w:val="000000"/>
      <w:spacing w:val="-20"/>
      <w:w w:val="100"/>
      <w:position w:val="0"/>
      <w:sz w:val="25"/>
      <w:szCs w:val="25"/>
      <w:shd w:val="clear" w:color="auto" w:fill="FFFFFF"/>
    </w:rPr>
  </w:style>
  <w:style w:type="character" w:customStyle="1" w:styleId="14">
    <w:name w:val="正文文本_"/>
    <w:basedOn w:val="10"/>
    <w:link w:val="12"/>
    <w:autoRedefine/>
    <w:qFormat/>
    <w:uiPriority w:val="0"/>
    <w:rPr>
      <w:rFonts w:ascii="宋体" w:hAnsi="宋体" w:eastAsia="宋体" w:cs="宋体"/>
      <w:sz w:val="23"/>
      <w:szCs w:val="23"/>
    </w:rPr>
  </w:style>
  <w:style w:type="character" w:customStyle="1" w:styleId="15">
    <w:name w:val="正文文本 + MS Gothic"/>
    <w:basedOn w:val="14"/>
    <w:autoRedefine/>
    <w:qFormat/>
    <w:uiPriority w:val="0"/>
    <w:rPr>
      <w:rFonts w:ascii="MS Gothic" w:hAnsi="MS Gothic" w:eastAsia="MS Gothic" w:cs="MS Gothic"/>
      <w:color w:val="000000"/>
      <w:spacing w:val="0"/>
      <w:w w:val="100"/>
      <w:position w:val="0"/>
      <w:sz w:val="15"/>
      <w:szCs w:val="15"/>
      <w:shd w:val="clear" w:color="auto" w:fill="FFFFFF"/>
      <w:lang w:val="en-US"/>
    </w:rPr>
  </w:style>
  <w:style w:type="paragraph" w:customStyle="1" w:styleId="16">
    <w:name w:val="Table Paragraph"/>
    <w:basedOn w:val="1"/>
    <w:autoRedefine/>
    <w:qFormat/>
    <w:uiPriority w:val="1"/>
  </w:style>
  <w:style w:type="paragraph" w:customStyle="1" w:styleId="17">
    <w:name w:val="列出段落2"/>
    <w:basedOn w:val="1"/>
    <w:qFormat/>
    <w:uiPriority w:val="0"/>
    <w:pPr>
      <w:spacing w:line="440" w:lineRule="exact"/>
      <w:ind w:firstLine="520" w:firstLineChars="200"/>
    </w:pPr>
    <w:rPr>
      <w:rFonts w:hAnsi="Calibri"/>
      <w:sz w:val="26"/>
      <w:szCs w:val="26"/>
    </w:rPr>
  </w:style>
  <w:style w:type="paragraph" w:customStyle="1" w:styleId="18">
    <w:name w:val="Table Text"/>
    <w:basedOn w:val="1"/>
    <w:autoRedefine/>
    <w:semiHidden/>
    <w:qFormat/>
    <w:uiPriority w:val="0"/>
    <w:rPr>
      <w:rFonts w:ascii="宋体" w:hAnsi="宋体" w:eastAsia="宋体" w:cs="宋体"/>
      <w:sz w:val="24"/>
      <w:szCs w:val="24"/>
      <w:lang w:val="en-US" w:eastAsia="en-US" w:bidi="ar-SA"/>
    </w:rPr>
  </w:style>
  <w:style w:type="table" w:customStyle="1" w:styleId="19">
    <w:name w:val="Table Normal"/>
    <w:autoRedefine/>
    <w:semiHidden/>
    <w:unhideWhenUsed/>
    <w:qFormat/>
    <w:uiPriority w:val="0"/>
    <w:tblPr>
      <w:tblCellMar>
        <w:top w:w="0" w:type="dxa"/>
        <w:left w:w="0" w:type="dxa"/>
        <w:bottom w:w="0" w:type="dxa"/>
        <w:right w:w="0" w:type="dxa"/>
      </w:tblCellMar>
    </w:tbl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7022</Words>
  <Characters>7645</Characters>
  <Lines>0</Lines>
  <Paragraphs>0</Paragraphs>
  <TotalTime>0</TotalTime>
  <ScaleCrop>false</ScaleCrop>
  <LinksUpToDate>false</LinksUpToDate>
  <CharactersWithSpaces>8411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2024-04-09T08:02:00Z</dcterms:created>
  <dc:creator>0</dc:creator>
  <cp:lastModifiedBy>交通咨询</cp:lastModifiedBy>
  <dcterms:modified xsi:type="dcterms:W3CDTF">2025-07-04T06:40:33Z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D8D126F9788343738A92199AC80264D7_13</vt:lpwstr>
  </property>
  <property fmtid="{D5CDD505-2E9C-101B-9397-08002B2CF9AE}" pid="4" name="KSOTemplateDocerSaveRecord">
    <vt:lpwstr>eyJoZGlkIjoiYTZmMWNlYWMzNzUyZjJjYzY1YzljYzdmNTM0Y2IxMzciLCJ1c2VySWQiOiI0MjIxNjk3NDAifQ==</vt:lpwstr>
  </property>
</Properties>
</file>