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bookmarkStart w:id="0" w:name="OLE_LINK8"/>
      <w:bookmarkStart w:id="1" w:name="_Hlk511297852"/>
      <w:r>
        <w:rPr>
          <w:rFonts w:hint="eastAsia" w:ascii="华文中宋" w:hAnsi="华文中宋" w:eastAsia="华文中宋" w:cs="黑体"/>
          <w:b/>
          <w:kern w:val="0"/>
          <w:sz w:val="36"/>
          <w:szCs w:val="36"/>
          <w:highlight w:val="none"/>
          <w:lang w:val="en-US" w:eastAsia="zh-CN" w:bidi="ar-SA"/>
        </w:rPr>
        <w:t>延安至黄陵公路扩容工程</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r>
        <w:rPr>
          <w:rFonts w:hint="eastAsia" w:ascii="华文中宋" w:hAnsi="华文中宋" w:eastAsia="华文中宋" w:cs="黑体"/>
          <w:b/>
          <w:kern w:val="0"/>
          <w:sz w:val="36"/>
          <w:szCs w:val="36"/>
          <w:highlight w:val="none"/>
          <w:lang w:val="en-US" w:eastAsia="zh-CN" w:bidi="ar-SA"/>
        </w:rPr>
        <w:t>交通安全设施完善工程</w:t>
      </w:r>
      <w:bookmarkEnd w:id="0"/>
      <w:r>
        <w:rPr>
          <w:rFonts w:hint="eastAsia" w:ascii="华文中宋" w:hAnsi="华文中宋" w:eastAsia="华文中宋" w:cs="黑体"/>
          <w:b/>
          <w:kern w:val="0"/>
          <w:sz w:val="36"/>
          <w:szCs w:val="36"/>
          <w:highlight w:val="none"/>
          <w:lang w:val="en-US" w:eastAsia="zh-CN" w:bidi="ar-SA"/>
        </w:rPr>
        <w:t>施工招标</w:t>
      </w:r>
      <w:bookmarkEnd w:id="1"/>
      <w:r>
        <w:rPr>
          <w:rFonts w:hint="eastAsia" w:ascii="华文中宋" w:hAnsi="华文中宋" w:eastAsia="华文中宋" w:cs="黑体"/>
          <w:b/>
          <w:kern w:val="0"/>
          <w:sz w:val="36"/>
          <w:szCs w:val="36"/>
          <w:highlight w:val="none"/>
          <w:lang w:val="en-US" w:eastAsia="zh-CN" w:bidi="ar-SA"/>
        </w:rPr>
        <w:t>招标文件</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华文中宋" w:hAnsi="华文中宋" w:eastAsia="华文中宋" w:cs="黑体"/>
          <w:b/>
          <w:kern w:val="0"/>
          <w:sz w:val="36"/>
          <w:szCs w:val="36"/>
          <w:highlight w:val="none"/>
          <w:lang w:val="en-US" w:eastAsia="zh-CN" w:bidi="ar-SA"/>
        </w:rPr>
      </w:pPr>
      <w:r>
        <w:rPr>
          <w:rFonts w:hint="eastAsia" w:ascii="华文中宋" w:hAnsi="华文中宋" w:eastAsia="华文中宋" w:cs="黑体"/>
          <w:b/>
          <w:kern w:val="0"/>
          <w:sz w:val="36"/>
          <w:szCs w:val="36"/>
          <w:highlight w:val="none"/>
          <w:lang w:val="en-US" w:eastAsia="zh-CN" w:bidi="ar-SA"/>
        </w:rPr>
        <w:t>关键内容公示</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562" w:firstLineChars="200"/>
        <w:textAlignment w:val="auto"/>
        <w:outlineLvl w:val="9"/>
        <w:rPr>
          <w:rFonts w:hint="default" w:ascii="宋体" w:hAnsi="宋体" w:eastAsia="宋体" w:cs="黑体"/>
          <w:b/>
          <w:color w:val="auto"/>
          <w:kern w:val="0"/>
          <w:sz w:val="28"/>
          <w:szCs w:val="28"/>
          <w:highlight w:val="none"/>
          <w:lang w:val="en-US" w:eastAsia="zh-CN" w:bidi="ar-SA"/>
        </w:rPr>
      </w:pPr>
      <w:r>
        <w:rPr>
          <w:rFonts w:hint="eastAsia" w:ascii="宋体" w:hAnsi="宋体" w:eastAsia="宋体"/>
          <w:b/>
          <w:kern w:val="0"/>
          <w:sz w:val="28"/>
          <w:szCs w:val="28"/>
          <w:highlight w:val="none"/>
          <w:lang w:val="en-US" w:eastAsia="zh-CN"/>
        </w:rPr>
        <w:t>一、</w:t>
      </w:r>
      <w:r>
        <w:rPr>
          <w:rFonts w:ascii="宋体" w:hAnsi="宋体" w:eastAsia="宋体" w:cs="黑体"/>
          <w:b/>
          <w:color w:val="auto"/>
          <w:kern w:val="0"/>
          <w:sz w:val="28"/>
          <w:szCs w:val="28"/>
          <w:highlight w:val="none"/>
          <w:lang w:val="en-US" w:eastAsia="zh-CN" w:bidi="ar-SA"/>
        </w:rPr>
        <w:t>项目概况</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ind w:left="62" w:firstLine="480" w:firstLineChars="200"/>
        <w:jc w:val="both"/>
        <w:textAlignment w:val="auto"/>
        <w:rPr>
          <w:rFonts w:hint="default" w:ascii="宋体" w:hAnsi="宋体" w:eastAsia="宋体"/>
          <w:color w:val="000000" w:themeColor="text1"/>
          <w:kern w:val="0"/>
          <w:sz w:val="24"/>
          <w:szCs w:val="24"/>
          <w:highlight w:val="none"/>
          <w:lang w:val="en-US" w:eastAsia="zh-CN"/>
          <w14:textFill>
            <w14:solidFill>
              <w14:schemeClr w14:val="tx1"/>
            </w14:solidFill>
          </w14:textFill>
        </w:rPr>
      </w:pPr>
      <w:bookmarkStart w:id="2" w:name="OLE_LINK5"/>
      <w:bookmarkStart w:id="3" w:name="OLE_LINK11"/>
      <w:r>
        <w:rPr>
          <w:rFonts w:hint="eastAsia" w:ascii="宋体" w:hAnsi="宋体" w:eastAsia="宋体"/>
          <w:color w:val="000000" w:themeColor="text1"/>
          <w:kern w:val="0"/>
          <w:sz w:val="24"/>
          <w:szCs w:val="24"/>
          <w:highlight w:val="none"/>
          <w:lang w:val="en-US" w:eastAsia="zh-CN"/>
          <w14:textFill>
            <w14:solidFill>
              <w14:schemeClr w14:val="tx1"/>
            </w14:solidFill>
          </w14:textFill>
        </w:rPr>
        <w:t>延安至黄陵公路扩容工程</w:t>
      </w:r>
      <w:bookmarkEnd w:id="2"/>
      <w:r>
        <w:rPr>
          <w:rFonts w:hint="eastAsia" w:ascii="宋体" w:hAnsi="宋体" w:eastAsia="宋体"/>
          <w:color w:val="000000" w:themeColor="text1"/>
          <w:kern w:val="0"/>
          <w:sz w:val="24"/>
          <w:szCs w:val="24"/>
          <w:highlight w:val="none"/>
          <w:lang w:val="en-US" w:eastAsia="zh-CN"/>
          <w14:textFill>
            <w14:solidFill>
              <w14:schemeClr w14:val="tx1"/>
            </w14:solidFill>
          </w14:textFill>
        </w:rPr>
        <w:t>是国家高速公路网包头至茂名线（G65）在陕西境内的重要组成路段，起于铜川市宜君县崖头庄，与铜黄高速公路相接，终点止于延安市安塞县沿河湾镇南侧，与包茂高速和延延高速以枢纽立交相接，路线全长154.479公里，建设里程150.628公里。全线按照双向六车道高速公路标准建设，设计时速100公里/小时，现已建成通车。</w:t>
      </w:r>
      <w:bookmarkEnd w:id="3"/>
      <w:r>
        <w:rPr>
          <w:rFonts w:hint="eastAsia" w:ascii="宋体" w:hAnsi="宋体" w:eastAsia="宋体"/>
          <w:color w:val="000000" w:themeColor="text1"/>
          <w:kern w:val="0"/>
          <w:sz w:val="24"/>
          <w:szCs w:val="24"/>
          <w:highlight w:val="none"/>
          <w:lang w:val="en-US" w:eastAsia="zh-CN"/>
          <w14:textFill>
            <w14:solidFill>
              <w14:schemeClr w14:val="tx1"/>
            </w14:solidFill>
          </w14:textFill>
        </w:rPr>
        <w:t>本次招标标段估算投资约3700万元。</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157" w:beforeLines="50" w:after="0" w:line="500" w:lineRule="exact"/>
        <w:ind w:firstLine="562" w:firstLineChars="200"/>
        <w:jc w:val="both"/>
        <w:textAlignment w:val="auto"/>
        <w:rPr>
          <w:rFonts w:ascii="宋体" w:hAnsi="宋体" w:eastAsia="宋体"/>
          <w:b/>
          <w:kern w:val="0"/>
          <w:sz w:val="28"/>
          <w:szCs w:val="28"/>
        </w:rPr>
      </w:pPr>
      <w:r>
        <w:rPr>
          <w:rFonts w:hint="eastAsia" w:ascii="宋体" w:hAnsi="宋体" w:eastAsia="宋体"/>
          <w:b/>
          <w:kern w:val="0"/>
          <w:sz w:val="28"/>
          <w:szCs w:val="28"/>
          <w:lang w:val="en-US" w:eastAsia="zh-CN"/>
        </w:rPr>
        <w:t>二、</w:t>
      </w:r>
      <w:r>
        <w:rPr>
          <w:rFonts w:ascii="宋体" w:hAnsi="宋体" w:eastAsia="宋体"/>
          <w:b/>
          <w:kern w:val="0"/>
          <w:sz w:val="28"/>
          <w:szCs w:val="28"/>
        </w:rPr>
        <w:t>投标人资格要求</w:t>
      </w:r>
    </w:p>
    <w:p>
      <w:pPr>
        <w:pStyle w:val="9"/>
        <w:keepNext w:val="0"/>
        <w:keepLines w:val="0"/>
        <w:pageBreakBefore w:val="0"/>
        <w:widowControl w:val="0"/>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ind w:left="62" w:firstLine="480" w:firstLineChars="200"/>
        <w:jc w:val="both"/>
        <w:textAlignment w:val="auto"/>
        <w:rPr>
          <w:rFonts w:hint="eastAsia" w:ascii="宋体" w:hAnsi="宋体" w:eastAsia="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olor w:val="000000" w:themeColor="text1"/>
          <w:kern w:val="0"/>
          <w:sz w:val="24"/>
          <w:szCs w:val="24"/>
          <w:highlight w:val="none"/>
          <w:lang w:val="en-US" w:eastAsia="zh-CN"/>
          <w14:textFill>
            <w14:solidFill>
              <w14:schemeClr w14:val="tx1"/>
            </w14:solidFill>
          </w14:textFill>
        </w:rPr>
        <w:t>1.本次招标投标人须具备独立法人资格，且资质、业绩、人员、设备、资金等方面具有承担本项目施工的能力，具体要求如下。</w:t>
      </w: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资质最低要求</w:t>
      </w:r>
    </w:p>
    <w:tbl>
      <w:tblPr>
        <w:tblStyle w:val="5"/>
        <w:tblW w:w="8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4"/>
        <w:gridCol w:w="6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82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标段</w:t>
            </w:r>
          </w:p>
        </w:tc>
        <w:tc>
          <w:tcPr>
            <w:tcW w:w="625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 质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8" w:hRule="atLeast"/>
          <w:jc w:val="center"/>
        </w:trPr>
        <w:tc>
          <w:tcPr>
            <w:tcW w:w="182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bookmarkStart w:id="4" w:name="OLE_LINK7"/>
            <w:r>
              <w:rPr>
                <w:rFonts w:hint="eastAsia" w:ascii="宋体" w:hAnsi="宋体" w:eastAsia="宋体" w:cs="宋体"/>
                <w:color w:val="000000" w:themeColor="text1"/>
                <w:kern w:val="0"/>
                <w:sz w:val="21"/>
                <w:szCs w:val="21"/>
                <w:lang w:val="en-US" w:eastAsia="zh-CN"/>
                <w14:textFill>
                  <w14:solidFill>
                    <w14:schemeClr w14:val="tx1"/>
                  </w14:solidFill>
                </w14:textFill>
              </w:rPr>
              <w:t>YH-J01</w:t>
            </w:r>
            <w:bookmarkEnd w:id="4"/>
          </w:p>
        </w:tc>
        <w:tc>
          <w:tcPr>
            <w:tcW w:w="6259" w:type="dxa"/>
            <w:tcBorders>
              <w:top w:val="single" w:color="auto" w:sz="4" w:space="0"/>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1.具有独立法人资格；</w:t>
            </w:r>
          </w:p>
          <w:p>
            <w:pPr>
              <w:widowControl/>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2.具备有效的企业安全生产许可证；</w:t>
            </w:r>
          </w:p>
          <w:p>
            <w:pPr>
              <w:widowControl/>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3.具备公路交通工程专业（交通安全设施分项）承包一级资质；</w:t>
            </w:r>
          </w:p>
          <w:p>
            <w:pPr>
              <w:widowControl/>
              <w:jc w:val="left"/>
              <w:rPr>
                <w:rFonts w:hint="eastAsia" w:ascii="宋体" w:hAnsi="宋体" w:eastAsia="宋体" w:cs="宋体"/>
                <w:color w:val="auto"/>
                <w:kern w:val="0"/>
                <w:szCs w:val="21"/>
                <w:highlight w:val="none"/>
              </w:rPr>
            </w:pPr>
            <w:r>
              <w:rPr>
                <w:rFonts w:hint="eastAsia" w:ascii="宋体" w:hAnsi="宋体" w:eastAsia="宋体" w:cs="宋体"/>
                <w:color w:val="000000" w:themeColor="text1"/>
                <w:kern w:val="0"/>
                <w:sz w:val="21"/>
                <w:szCs w:val="21"/>
                <w:lang w:val="en-US" w:eastAsia="zh-CN"/>
                <w14:textFill>
                  <w14:solidFill>
                    <w14:schemeClr w14:val="tx1"/>
                  </w14:solidFill>
                </w14:textFill>
              </w:rPr>
              <w:t>4.企业法定代表人持有省级交通运输主管部门核发有效的A类安全生产考核合格证。</w:t>
            </w: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0" w:line="500" w:lineRule="exact"/>
        <w:ind w:left="505" w:left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业绩最低要求</w:t>
      </w:r>
    </w:p>
    <w:tbl>
      <w:tblPr>
        <w:tblStyle w:val="5"/>
        <w:tblW w:w="8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6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77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标段</w:t>
            </w:r>
          </w:p>
        </w:tc>
        <w:tc>
          <w:tcPr>
            <w:tcW w:w="624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业 绩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77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bookmarkStart w:id="5" w:name="OLE_LINK1"/>
            <w:r>
              <w:rPr>
                <w:rFonts w:hint="eastAsia" w:ascii="宋体" w:hAnsi="宋体" w:eastAsia="宋体" w:cs="宋体"/>
                <w:color w:val="000000" w:themeColor="text1"/>
                <w:kern w:val="0"/>
                <w:sz w:val="21"/>
                <w:szCs w:val="21"/>
                <w:lang w:val="en-US" w:eastAsia="zh-CN"/>
                <w14:textFill>
                  <w14:solidFill>
                    <w14:schemeClr w14:val="tx1"/>
                  </w14:solidFill>
                </w14:textFill>
              </w:rPr>
              <w:t>YH-J01</w:t>
            </w:r>
            <w:bookmarkEnd w:id="5"/>
          </w:p>
        </w:tc>
        <w:tc>
          <w:tcPr>
            <w:tcW w:w="6246" w:type="dxa"/>
            <w:tcBorders>
              <w:top w:val="single" w:color="auto" w:sz="4" w:space="0"/>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2018年1月1日至投标截止时间，独立完成过2个新建或改扩建高速公路的交通安全设施施工合同段，且合同金额累计不小于6000万元。每个合同段施工内容应同时包括以下工程内容：标线、护栏。</w:t>
            </w: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（3）财务最低要求</w:t>
      </w:r>
    </w:p>
    <w:tbl>
      <w:tblPr>
        <w:tblStyle w:val="5"/>
        <w:tblW w:w="8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7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11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标段</w:t>
            </w:r>
          </w:p>
        </w:tc>
        <w:tc>
          <w:tcPr>
            <w:tcW w:w="707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财 务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1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bookmarkStart w:id="6" w:name="OLE_LINK2"/>
            <w:r>
              <w:rPr>
                <w:rFonts w:hint="eastAsia" w:ascii="宋体" w:hAnsi="宋体" w:eastAsia="宋体" w:cs="宋体"/>
                <w:color w:val="000000" w:themeColor="text1"/>
                <w:kern w:val="0"/>
                <w:sz w:val="21"/>
                <w:szCs w:val="21"/>
                <w:lang w:val="en-US" w:eastAsia="zh-CN"/>
                <w14:textFill>
                  <w14:solidFill>
                    <w14:schemeClr w14:val="tx1"/>
                  </w14:solidFill>
                </w14:textFill>
              </w:rPr>
              <w:t>YH-J01</w:t>
            </w:r>
            <w:bookmarkEnd w:id="6"/>
          </w:p>
        </w:tc>
        <w:tc>
          <w:tcPr>
            <w:tcW w:w="707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2020年、2021年、2022年每年的企业资产负债率均小于等于80%。</w:t>
            </w: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lang w:val="en-US" w:eastAsia="zh-CN"/>
        </w:rPr>
      </w:pPr>
    </w:p>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（4）信誉最低要求</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7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标段</w:t>
            </w:r>
          </w:p>
        </w:tc>
        <w:tc>
          <w:tcPr>
            <w:tcW w:w="72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信 誉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68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 xml:space="preserve">    </w:t>
            </w:r>
            <w:bookmarkStart w:id="7" w:name="OLE_LINK3"/>
            <w:r>
              <w:rPr>
                <w:rFonts w:hint="eastAsia" w:ascii="宋体" w:hAnsi="宋体" w:eastAsia="宋体" w:cs="宋体"/>
                <w:color w:val="000000" w:themeColor="text1"/>
                <w:kern w:val="0"/>
                <w:sz w:val="21"/>
                <w:szCs w:val="21"/>
                <w:lang w:val="en-US" w:eastAsia="zh-CN"/>
                <w14:textFill>
                  <w14:solidFill>
                    <w14:schemeClr w14:val="tx1"/>
                  </w14:solidFill>
                </w14:textFill>
              </w:rPr>
              <w:t>YH-J01</w:t>
            </w:r>
            <w:bookmarkEnd w:id="7"/>
          </w:p>
        </w:tc>
        <w:tc>
          <w:tcPr>
            <w:tcW w:w="7293" w:type="dxa"/>
            <w:tcBorders>
              <w:top w:val="single" w:color="auto" w:sz="4" w:space="0"/>
              <w:left w:val="single" w:color="auto" w:sz="4" w:space="0"/>
              <w:right w:val="single" w:color="auto" w:sz="4" w:space="0"/>
            </w:tcBorders>
            <w:vAlign w:val="center"/>
          </w:tcPr>
          <w:p>
            <w:pPr>
              <w:widowControl/>
              <w:jc w:val="left"/>
              <w:rPr>
                <w:rFonts w:hint="eastAsia" w:ascii="宋体" w:hAnsi="宋体" w:eastAsia="宋体" w:cs="宋体"/>
                <w:color w:val="000000" w:themeColor="text1"/>
                <w:kern w:val="0"/>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val="en-US" w:eastAsia="zh-CN"/>
                <w14:textFill>
                  <w14:solidFill>
                    <w14:schemeClr w14:val="tx1"/>
                  </w14:solidFill>
                </w14:textFill>
              </w:rPr>
              <w:t>未被交通运输部或陕西省交通运输厅公路养护市场信用评价列为等级D级且处于有效期内。</w:t>
            </w:r>
          </w:p>
        </w:tc>
      </w:tr>
    </w:tbl>
    <w:p>
      <w:pPr>
        <w:pStyle w:val="9"/>
        <w:keepNext w:val="0"/>
        <w:keepLines w:val="0"/>
        <w:pageBreakBefore w:val="0"/>
        <w:widowControl w:val="0"/>
        <w:numPr>
          <w:ilvl w:val="0"/>
          <w:numId w:val="0"/>
        </w:numPr>
        <w:shd w:val="clear" w:color="auto" w:fill="auto"/>
        <w:tabs>
          <w:tab w:val="left" w:leader="underscore" w:pos="3528"/>
          <w:tab w:val="left" w:leader="underscore" w:pos="7357"/>
        </w:tabs>
        <w:kinsoku/>
        <w:wordWrap/>
        <w:overflowPunct/>
        <w:topLinePunct w:val="0"/>
        <w:autoSpaceDE/>
        <w:autoSpaceDN/>
        <w:bidi w:val="0"/>
        <w:adjustRightInd/>
        <w:snapToGrid/>
        <w:spacing w:before="0" w:after="157" w:afterLines="50" w:line="500" w:lineRule="exact"/>
        <w:ind w:left="504"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（5）项目经理和项目总工要求</w:t>
      </w:r>
    </w:p>
    <w:tbl>
      <w:tblPr>
        <w:tblStyle w:val="5"/>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566"/>
        <w:gridCol w:w="1020"/>
        <w:gridCol w:w="3937"/>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607"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标段</w:t>
            </w:r>
          </w:p>
        </w:tc>
        <w:tc>
          <w:tcPr>
            <w:tcW w:w="566"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人员</w:t>
            </w:r>
          </w:p>
        </w:tc>
        <w:tc>
          <w:tcPr>
            <w:tcW w:w="1020"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数量</w:t>
            </w:r>
          </w:p>
        </w:tc>
        <w:tc>
          <w:tcPr>
            <w:tcW w:w="3937"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资 格 要 求</w:t>
            </w:r>
          </w:p>
        </w:tc>
        <w:tc>
          <w:tcPr>
            <w:tcW w:w="1829"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在岗要求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1607" w:type="dxa"/>
            <w:vMerge w:val="restart"/>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YH-J01</w:t>
            </w:r>
          </w:p>
        </w:tc>
        <w:tc>
          <w:tcPr>
            <w:tcW w:w="566"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项目经理</w:t>
            </w:r>
          </w:p>
        </w:tc>
        <w:tc>
          <w:tcPr>
            <w:tcW w:w="1020"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1人</w:t>
            </w:r>
          </w:p>
        </w:tc>
        <w:tc>
          <w:tcPr>
            <w:tcW w:w="3937" w:type="dxa"/>
            <w:vAlign w:val="center"/>
          </w:tcPr>
          <w:p>
            <w:pPr>
              <w:widowControl/>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具有公路工程相关专业中级或以上职称，持有公路工程专业一级建造师证书，且注册单位须为投标人，2018年1月1日至投标截止时间（以交工验收时间为准），担任过1个及以上新建或改扩建高速公路的交通安全设施施工合同段项目经理，持有省级或以上交通运输主管部门核发的有效的安全考核合格证书（B级）。</w:t>
            </w:r>
          </w:p>
        </w:tc>
        <w:tc>
          <w:tcPr>
            <w:tcW w:w="1829" w:type="dxa"/>
            <w:vMerge w:val="restart"/>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无在岗项目（指目前未在其他项目上任职，或虽在其他项目上任职但本项目中标后能够从该项目撤离）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1607" w:type="dxa"/>
            <w:vMerge w:val="continue"/>
            <w:vAlign w:val="center"/>
          </w:tcPr>
          <w:p>
            <w:pPr>
              <w:widowControl/>
              <w:jc w:val="center"/>
              <w:rPr>
                <w:rFonts w:hint="eastAsia" w:ascii="宋体" w:hAnsi="宋体" w:eastAsia="宋体" w:cs="宋体"/>
                <w:color w:val="auto"/>
                <w:kern w:val="0"/>
                <w:szCs w:val="21"/>
                <w:highlight w:val="none"/>
                <w:lang w:val="en-US" w:eastAsia="zh-CN"/>
              </w:rPr>
            </w:pPr>
          </w:p>
        </w:tc>
        <w:tc>
          <w:tcPr>
            <w:tcW w:w="566"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项目总工</w:t>
            </w:r>
          </w:p>
        </w:tc>
        <w:tc>
          <w:tcPr>
            <w:tcW w:w="1020"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1人</w:t>
            </w:r>
          </w:p>
        </w:tc>
        <w:tc>
          <w:tcPr>
            <w:tcW w:w="3937" w:type="dxa"/>
            <w:vAlign w:val="center"/>
          </w:tcPr>
          <w:p>
            <w:pPr>
              <w:widowControl/>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000000" w:themeColor="text1"/>
                <w:kern w:val="0"/>
                <w:sz w:val="21"/>
                <w:szCs w:val="21"/>
                <w:lang w:val="en-US" w:eastAsia="zh-CN"/>
                <w14:textFill>
                  <w14:solidFill>
                    <w14:schemeClr w14:val="tx1"/>
                  </w14:solidFill>
                </w14:textFill>
              </w:rPr>
              <w:t>具有公路工程相关专业高级或以上技术职称，2018年1月1日至投标截止时间（以交工验收时间为准），担任过1个及以上新建或改扩建高速公路的交通安全设施施工合同段项目总工，持有省级或以上交通运输主管部门核发的有效的安全考核合格证书（B级）。</w:t>
            </w:r>
          </w:p>
        </w:tc>
        <w:tc>
          <w:tcPr>
            <w:tcW w:w="1829" w:type="dxa"/>
            <w:vMerge w:val="continue"/>
            <w:vAlign w:val="center"/>
          </w:tcPr>
          <w:p>
            <w:pPr>
              <w:widowControl/>
              <w:jc w:val="center"/>
              <w:rPr>
                <w:rFonts w:hint="eastAsia" w:ascii="宋体" w:hAnsi="宋体" w:eastAsia="宋体" w:cs="宋体"/>
                <w:color w:val="auto"/>
                <w:kern w:val="0"/>
                <w:szCs w:val="21"/>
                <w:highlight w:val="none"/>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说明：业绩的完成和时间要求以交工验收为准。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（6）拟投入的其他管理人员和技术人员，在投标时不需填报，但须按招标文件规定做出相关承诺。人员最低要求在招标文件提供的合同附件中明确，具体</w:t>
      </w:r>
      <w:bookmarkStart w:id="14" w:name="_GoBack"/>
      <w:bookmarkEnd w:id="14"/>
      <w:r>
        <w:rPr>
          <w:rFonts w:hint="eastAsia" w:ascii="宋体" w:hAnsi="宋体" w:eastAsia="宋体" w:cs="黑体"/>
          <w:color w:val="auto"/>
          <w:kern w:val="0"/>
          <w:sz w:val="24"/>
          <w:szCs w:val="24"/>
          <w:highlight w:val="none"/>
          <w:lang w:val="en-US" w:eastAsia="zh-CN" w:bidi="ar-SA"/>
        </w:rPr>
        <w:t>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7）拟投入的主要机械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2.投标人应进入交通运输部“全国公路建设市场信用信息管理系统”中的公路工程施工资质企业名录，且投标人名称和资质与该名录中的相应企业名称和资质完全一致。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3.本次招标不接受联合体投标。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4.投标人按标段进行投标。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5.与招标人存在利害关系可能影响招标公正性的单位，不得参加投标。单位负责人为同一人或者存在控股、管理关系的不同单位不得同时参加同一标段的投标，否则相关投标均无效。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6.在“信用中国”网站中被列入失信被执行人名单的投标人，不得参加投标。</w:t>
      </w:r>
    </w:p>
    <w:p>
      <w:pPr>
        <w:keepNext w:val="0"/>
        <w:keepLines w:val="0"/>
        <w:pageBreakBefore w:val="0"/>
        <w:widowControl w:val="0"/>
        <w:kinsoku/>
        <w:wordWrap/>
        <w:overflowPunct/>
        <w:topLinePunct w:val="0"/>
        <w:autoSpaceDE/>
        <w:autoSpaceDN/>
        <w:bidi w:val="0"/>
        <w:adjustRightInd/>
        <w:snapToGrid/>
        <w:spacing w:line="500" w:lineRule="exact"/>
        <w:ind w:left="479" w:leftChars="228" w:firstLine="0" w:firstLineChars="0"/>
        <w:textAlignment w:val="auto"/>
        <w:rPr>
          <w:rFonts w:hint="eastAsia" w:ascii="宋体" w:hAnsi="宋体" w:eastAsia="宋体" w:cs="黑体"/>
          <w:b/>
          <w:kern w:val="0"/>
          <w:sz w:val="28"/>
          <w:szCs w:val="28"/>
          <w:lang w:val="en-US" w:eastAsia="zh-CN" w:bidi="ar-SA"/>
        </w:rPr>
      </w:pPr>
      <w:r>
        <w:rPr>
          <w:rFonts w:hint="eastAsia" w:ascii="宋体" w:hAnsi="宋体" w:eastAsia="宋体" w:cs="黑体"/>
          <w:b/>
          <w:kern w:val="0"/>
          <w:sz w:val="28"/>
          <w:szCs w:val="28"/>
          <w:lang w:val="en-US" w:eastAsia="zh-CN" w:bidi="ar-SA"/>
        </w:rPr>
        <w:t>三、</w:t>
      </w:r>
      <w:bookmarkStart w:id="8" w:name="bookmark126"/>
      <w:r>
        <w:rPr>
          <w:rFonts w:hint="eastAsia" w:ascii="宋体" w:hAnsi="宋体" w:eastAsia="宋体" w:cs="黑体"/>
          <w:b/>
          <w:kern w:val="0"/>
          <w:sz w:val="28"/>
          <w:szCs w:val="28"/>
          <w:lang w:val="en-US" w:eastAsia="zh-CN" w:bidi="ar-SA"/>
        </w:rPr>
        <w:t>‌‌‌评标办法（</w:t>
      </w:r>
      <w:r>
        <w:rPr>
          <w:rFonts w:hint="eastAsia" w:ascii="宋体" w:hAnsi="宋体" w:eastAsia="宋体" w:cs="黑体"/>
          <w:color w:val="auto"/>
          <w:kern w:val="0"/>
          <w:sz w:val="24"/>
          <w:szCs w:val="24"/>
          <w:highlight w:val="none"/>
          <w:lang w:val="en-US" w:eastAsia="zh-CN" w:bidi="ar-SA"/>
        </w:rPr>
        <w:t>资格后审、合理低价法评标</w:t>
      </w:r>
      <w:r>
        <w:rPr>
          <w:rFonts w:hint="eastAsia" w:ascii="宋体" w:hAnsi="宋体" w:eastAsia="宋体" w:cs="黑体"/>
          <w:b/>
          <w:kern w:val="0"/>
          <w:sz w:val="28"/>
          <w:szCs w:val="28"/>
          <w:lang w:val="en-US" w:eastAsia="zh-CN" w:bidi="ar-SA"/>
        </w:rPr>
        <w:t>）</w:t>
      </w:r>
      <w:bookmarkEnd w:id="8"/>
    </w:p>
    <w:p>
      <w:pPr>
        <w:pStyle w:val="2"/>
        <w:jc w:val="both"/>
        <w:rPr>
          <w:rFonts w:hint="eastAsia"/>
          <w:lang w:val="en-US" w:eastAsia="zh-CN"/>
        </w:rPr>
      </w:pPr>
      <w:r>
        <w:rPr>
          <w:rFonts w:hint="eastAsia" w:ascii="宋体" w:hAnsi="宋体" w:eastAsia="宋体" w:cs="黑体"/>
          <w:b/>
          <w:color w:val="auto"/>
          <w:kern w:val="0"/>
          <w:sz w:val="28"/>
          <w:szCs w:val="28"/>
          <w:lang w:val="en-US" w:eastAsia="zh-CN" w:bidi="ar-SA"/>
        </w:rPr>
        <w:t>（一）评标方法</w:t>
      </w:r>
    </w:p>
    <w:tbl>
      <w:tblPr>
        <w:tblStyle w:val="5"/>
        <w:tblW w:w="9082" w:type="dxa"/>
        <w:jc w:val="center"/>
        <w:tblLayout w:type="fixed"/>
        <w:tblCellMar>
          <w:top w:w="0" w:type="dxa"/>
          <w:left w:w="10" w:type="dxa"/>
          <w:bottom w:w="0" w:type="dxa"/>
          <w:right w:w="10" w:type="dxa"/>
        </w:tblCellMar>
      </w:tblPr>
      <w:tblGrid>
        <w:gridCol w:w="1037"/>
        <w:gridCol w:w="1785"/>
        <w:gridCol w:w="6260"/>
      </w:tblGrid>
      <w:tr>
        <w:tblPrEx>
          <w:tblCellMar>
            <w:top w:w="0" w:type="dxa"/>
            <w:left w:w="10" w:type="dxa"/>
            <w:bottom w:w="0" w:type="dxa"/>
            <w:right w:w="10" w:type="dxa"/>
          </w:tblCellMar>
        </w:tblPrEx>
        <w:trPr>
          <w:tblHeader/>
          <w:jc w:val="center"/>
        </w:trPr>
        <w:tc>
          <w:tcPr>
            <w:tcW w:w="2822" w:type="dxa"/>
            <w:gridSpan w:val="2"/>
            <w:tcBorders>
              <w:top w:val="single" w:color="auto" w:sz="4" w:space="0"/>
              <w:lef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条款号</w:t>
            </w:r>
          </w:p>
        </w:tc>
        <w:tc>
          <w:tcPr>
            <w:tcW w:w="6260" w:type="dxa"/>
            <w:tcBorders>
              <w:top w:val="single" w:color="auto" w:sz="4" w:space="0"/>
              <w:left w:val="single" w:color="auto" w:sz="4" w:space="0"/>
              <w:righ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评审因素与评审标准</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lang w:val="zh-TW"/>
              </w:rPr>
              <w:t>1</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rPr>
              <w:t>评标</w:t>
            </w:r>
            <w:r>
              <w:rPr>
                <w:rStyle w:val="11"/>
                <w:rFonts w:hint="eastAsia"/>
                <w:i w:val="0"/>
                <w:color w:val="auto"/>
                <w:spacing w:val="0"/>
                <w:sz w:val="21"/>
                <w:szCs w:val="21"/>
                <w:highlight w:val="none"/>
                <w:lang w:val="zh-TW"/>
              </w:rPr>
              <w:t>方法</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本次评标采用合理低价法、资格后审。评标委员会对满足招标文件实质性要求的投标文件，按招标文件规定的评分标准进行打分，并按得分由高到低顺序推荐中标候选人，但投标报价低于其成本的除外。</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综合评分相等时，评标委员会依次按以下优先顺序推荐中标候选人：（1）评标价低的投标人优先；（2）根据陕西省交通运输厅《关于陕西省2022年度高速公路设计施工及公路监理从业企业信用评价结果应用》（陕交函[2023]225号）文件，评为较高信用等级的投标人优先；（3）以清单第600章报价合计低的投标人优先。</w:t>
            </w:r>
          </w:p>
        </w:tc>
      </w:tr>
    </w:tbl>
    <w:p>
      <w:pPr>
        <w:spacing w:line="360" w:lineRule="auto"/>
        <w:jc w:val="left"/>
        <w:rPr>
          <w:rFonts w:hint="eastAsia" w:ascii="宋体" w:hAnsi="宋体" w:eastAsia="宋体" w:cs="宋体"/>
          <w:kern w:val="0"/>
          <w:sz w:val="52"/>
          <w:szCs w:val="52"/>
        </w:rPr>
      </w:pPr>
      <w:r>
        <w:rPr>
          <w:rFonts w:hint="eastAsia" w:ascii="宋体" w:hAnsi="宋体" w:eastAsia="宋体" w:cs="宋体"/>
          <w:kern w:val="0"/>
          <w:sz w:val="52"/>
          <w:szCs w:val="52"/>
        </w:rPr>
        <w:br w:type="page"/>
      </w:r>
    </w:p>
    <w:p>
      <w:pPr>
        <w:pStyle w:val="2"/>
        <w:jc w:val="both"/>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（二）评审标准</w:t>
      </w:r>
    </w:p>
    <w:p>
      <w:pPr>
        <w:pStyle w:val="9"/>
        <w:tabs>
          <w:tab w:val="left" w:leader="underscore" w:pos="3528"/>
          <w:tab w:val="left" w:leader="underscore" w:pos="7357"/>
        </w:tabs>
        <w:spacing w:before="0" w:after="0" w:line="500" w:lineRule="exact"/>
        <w:ind w:firstLine="120" w:firstLineChars="50"/>
        <w:jc w:val="both"/>
        <w:rPr>
          <w:rFonts w:ascii="宋体" w:hAnsi="宋体" w:eastAsia="宋体" w:cs="宋体"/>
          <w:b/>
          <w:bCs/>
          <w:kern w:val="0"/>
          <w:sz w:val="24"/>
          <w:szCs w:val="28"/>
        </w:rPr>
      </w:pPr>
      <w:r>
        <w:rPr>
          <w:rFonts w:hint="eastAsia" w:ascii="宋体" w:hAnsi="宋体" w:eastAsia="宋体" w:cs="宋体"/>
          <w:b/>
          <w:bCs/>
          <w:kern w:val="0"/>
          <w:sz w:val="24"/>
          <w:szCs w:val="28"/>
        </w:rPr>
        <w:t>评标办法前附表</w:t>
      </w:r>
    </w:p>
    <w:tbl>
      <w:tblPr>
        <w:tblStyle w:val="5"/>
        <w:tblW w:w="9082" w:type="dxa"/>
        <w:jc w:val="center"/>
        <w:tblLayout w:type="fixed"/>
        <w:tblCellMar>
          <w:top w:w="0" w:type="dxa"/>
          <w:left w:w="10" w:type="dxa"/>
          <w:bottom w:w="0" w:type="dxa"/>
          <w:right w:w="10" w:type="dxa"/>
        </w:tblCellMar>
      </w:tblPr>
      <w:tblGrid>
        <w:gridCol w:w="1037"/>
        <w:gridCol w:w="1785"/>
        <w:gridCol w:w="6260"/>
      </w:tblGrid>
      <w:tr>
        <w:tblPrEx>
          <w:tblCellMar>
            <w:top w:w="0" w:type="dxa"/>
            <w:left w:w="10" w:type="dxa"/>
            <w:bottom w:w="0" w:type="dxa"/>
            <w:right w:w="10" w:type="dxa"/>
          </w:tblCellMar>
        </w:tblPrEx>
        <w:trPr>
          <w:tblHeader/>
          <w:jc w:val="center"/>
        </w:trPr>
        <w:tc>
          <w:tcPr>
            <w:tcW w:w="2822" w:type="dxa"/>
            <w:gridSpan w:val="2"/>
            <w:tcBorders>
              <w:top w:val="single" w:color="auto" w:sz="4" w:space="0"/>
              <w:lef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条款号</w:t>
            </w:r>
          </w:p>
        </w:tc>
        <w:tc>
          <w:tcPr>
            <w:tcW w:w="6260" w:type="dxa"/>
            <w:tcBorders>
              <w:top w:val="single" w:color="auto" w:sz="4" w:space="0"/>
              <w:left w:val="single" w:color="auto" w:sz="4" w:space="0"/>
              <w:right w:val="single" w:color="auto" w:sz="4" w:space="0"/>
            </w:tcBorders>
            <w:shd w:val="clear" w:color="auto" w:fill="FFFFFF"/>
            <w:vAlign w:val="center"/>
          </w:tcPr>
          <w:p>
            <w:pPr>
              <w:pStyle w:val="10"/>
              <w:shd w:val="clear" w:color="auto" w:fill="auto"/>
              <w:spacing w:before="0" w:after="0" w:line="400" w:lineRule="exact"/>
              <w:rPr>
                <w:b/>
                <w:iCs/>
                <w:sz w:val="21"/>
                <w:szCs w:val="21"/>
              </w:rPr>
            </w:pPr>
            <w:r>
              <w:rPr>
                <w:rStyle w:val="11"/>
                <w:rFonts w:hint="eastAsia"/>
                <w:b/>
                <w:i w:val="0"/>
                <w:color w:val="auto"/>
                <w:spacing w:val="0"/>
                <w:sz w:val="21"/>
                <w:szCs w:val="21"/>
              </w:rPr>
              <w:t>评审因素与评审标准</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lang w:val="zh-TW"/>
              </w:rPr>
              <w:t>1</w:t>
            </w:r>
          </w:p>
        </w:tc>
        <w:tc>
          <w:tcPr>
            <w:tcW w:w="1785" w:type="dxa"/>
            <w:tcBorders>
              <w:top w:val="single" w:color="auto" w:sz="4" w:space="0"/>
              <w:left w:val="single" w:color="auto" w:sz="4" w:space="0"/>
            </w:tcBorders>
            <w:shd w:val="clear" w:color="auto" w:fill="FFFFFF"/>
            <w:vAlign w:val="center"/>
          </w:tcPr>
          <w:p>
            <w:pPr>
              <w:pStyle w:val="10"/>
              <w:shd w:val="clear" w:color="auto" w:fill="auto"/>
              <w:spacing w:before="0" w:after="0" w:line="360" w:lineRule="exact"/>
              <w:rPr>
                <w:iCs/>
                <w:sz w:val="21"/>
                <w:szCs w:val="21"/>
                <w:highlight w:val="none"/>
              </w:rPr>
            </w:pPr>
            <w:r>
              <w:rPr>
                <w:rStyle w:val="11"/>
                <w:rFonts w:hint="eastAsia"/>
                <w:i w:val="0"/>
                <w:color w:val="auto"/>
                <w:spacing w:val="0"/>
                <w:sz w:val="21"/>
                <w:szCs w:val="21"/>
                <w:highlight w:val="none"/>
              </w:rPr>
              <w:t>评标</w:t>
            </w:r>
            <w:r>
              <w:rPr>
                <w:rStyle w:val="11"/>
                <w:rFonts w:hint="eastAsia"/>
                <w:i w:val="0"/>
                <w:color w:val="auto"/>
                <w:spacing w:val="0"/>
                <w:sz w:val="21"/>
                <w:szCs w:val="21"/>
                <w:highlight w:val="none"/>
                <w:lang w:val="zh-TW"/>
              </w:rPr>
              <w:t>方法</w:t>
            </w:r>
          </w:p>
        </w:tc>
        <w:tc>
          <w:tcPr>
            <w:tcW w:w="6260" w:type="dxa"/>
            <w:tcBorders>
              <w:top w:val="single" w:color="auto" w:sz="4" w:space="0"/>
              <w:left w:val="single" w:color="auto" w:sz="4" w:space="0"/>
              <w:right w:val="single" w:color="auto" w:sz="4" w:space="0"/>
            </w:tcBorders>
            <w:shd w:val="clear" w:color="auto" w:fill="FFFFFF"/>
            <w:vAlign w:val="center"/>
          </w:tcPr>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本次评标采用合理低价法、资格后审。评标委员会对满足招标文件实质性要求的投标文件，按招标文件规定的评分标准进行打分，并按得分由高到低顺序推荐中标候选人，但投标报价低于其成本的除外。</w:t>
            </w:r>
          </w:p>
          <w:p>
            <w:pPr>
              <w:pStyle w:val="10"/>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综合评分相等时，评标委员会依次按以下优先顺序推荐中标候选人：</w:t>
            </w:r>
          </w:p>
          <w:p>
            <w:pPr>
              <w:pStyle w:val="10"/>
              <w:numPr>
                <w:ilvl w:val="0"/>
                <w:numId w:val="1"/>
              </w:numPr>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评标价低的投标人优先；</w:t>
            </w:r>
          </w:p>
          <w:p>
            <w:pPr>
              <w:pStyle w:val="10"/>
              <w:numPr>
                <w:ilvl w:val="0"/>
                <w:numId w:val="1"/>
              </w:numPr>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根据陕西省交通运输厅《关于陕西省2022年度高速公路设计施工及公路监理从业企业信用评价结果应用》（陕交函[2023]225号）文件，评为较高信用等级的投标人优先；</w:t>
            </w:r>
          </w:p>
          <w:p>
            <w:pPr>
              <w:pStyle w:val="10"/>
              <w:numPr>
                <w:ilvl w:val="0"/>
                <w:numId w:val="1"/>
              </w:numPr>
              <w:shd w:val="clear" w:color="auto" w:fill="auto"/>
              <w:spacing w:before="0" w:after="0" w:line="240" w:lineRule="auto"/>
              <w:ind w:left="46" w:leftChars="22" w:right="82" w:rightChars="39" w:firstLine="371" w:firstLineChars="177"/>
              <w:jc w:val="both"/>
              <w:rPr>
                <w:rStyle w:val="11"/>
                <w:rFonts w:hint="eastAsia" w:ascii="宋体" w:hAnsi="宋体" w:eastAsia="宋体" w:cs="宋体"/>
                <w:i w:val="0"/>
                <w:color w:val="auto"/>
                <w:spacing w:val="0"/>
                <w:sz w:val="21"/>
                <w:szCs w:val="21"/>
                <w:highlight w:val="none"/>
                <w:lang w:val="en-US" w:eastAsia="zh-CN"/>
              </w:rPr>
            </w:pPr>
            <w:r>
              <w:rPr>
                <w:rStyle w:val="11"/>
                <w:rFonts w:hint="eastAsia" w:ascii="宋体" w:hAnsi="宋体" w:eastAsia="宋体" w:cs="宋体"/>
                <w:i w:val="0"/>
                <w:color w:val="auto"/>
                <w:spacing w:val="0"/>
                <w:sz w:val="21"/>
                <w:szCs w:val="21"/>
                <w:highlight w:val="none"/>
                <w:lang w:val="en-US" w:eastAsia="zh-CN"/>
              </w:rPr>
              <w:t>以清单第600章报价合计低的投标人优先。</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iCs/>
                <w:sz w:val="21"/>
                <w:szCs w:val="21"/>
              </w:rPr>
            </w:pPr>
            <w:r>
              <w:rPr>
                <w:rStyle w:val="11"/>
                <w:rFonts w:hint="eastAsia"/>
                <w:i w:val="0"/>
                <w:color w:val="auto"/>
                <w:spacing w:val="0"/>
                <w:sz w:val="21"/>
                <w:szCs w:val="21"/>
              </w:rPr>
              <w:t>2.1.1</w:t>
            </w:r>
          </w:p>
          <w:p>
            <w:pPr>
              <w:pStyle w:val="10"/>
              <w:shd w:val="clear" w:color="auto" w:fill="auto"/>
              <w:spacing w:before="0" w:after="0" w:line="360" w:lineRule="exact"/>
              <w:rPr>
                <w:iCs/>
                <w:sz w:val="21"/>
                <w:szCs w:val="21"/>
              </w:rPr>
            </w:pPr>
            <w:r>
              <w:rPr>
                <w:rStyle w:val="11"/>
                <w:rFonts w:hint="eastAsia"/>
                <w:i w:val="0"/>
                <w:color w:val="auto"/>
                <w:spacing w:val="0"/>
                <w:sz w:val="21"/>
                <w:szCs w:val="21"/>
              </w:rPr>
              <w:t>2.1.3</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360" w:lineRule="exact"/>
              <w:rPr>
                <w:rStyle w:val="11"/>
                <w:i w:val="0"/>
                <w:color w:val="auto"/>
                <w:spacing w:val="0"/>
                <w:sz w:val="21"/>
                <w:szCs w:val="21"/>
              </w:rPr>
            </w:pPr>
            <w:r>
              <w:rPr>
                <w:rStyle w:val="11"/>
                <w:rFonts w:hint="eastAsia"/>
                <w:i w:val="0"/>
                <w:color w:val="auto"/>
                <w:spacing w:val="0"/>
                <w:sz w:val="21"/>
                <w:szCs w:val="21"/>
              </w:rPr>
              <w:t>形式评审与</w:t>
            </w:r>
          </w:p>
          <w:p>
            <w:pPr>
              <w:pStyle w:val="10"/>
              <w:shd w:val="clear" w:color="auto" w:fill="auto"/>
              <w:spacing w:before="0" w:after="0" w:line="360" w:lineRule="exact"/>
              <w:rPr>
                <w:iCs/>
                <w:sz w:val="21"/>
                <w:szCs w:val="21"/>
              </w:rPr>
            </w:pPr>
            <w:r>
              <w:rPr>
                <w:rStyle w:val="11"/>
                <w:rFonts w:hint="eastAsia"/>
                <w:i w:val="0"/>
                <w:color w:val="auto"/>
                <w:spacing w:val="0"/>
                <w:sz w:val="21"/>
                <w:szCs w:val="21"/>
              </w:rPr>
              <w:t>响应性评审标准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240" w:lineRule="auto"/>
              <w:ind w:right="82" w:rightChars="39"/>
              <w:jc w:val="both"/>
              <w:rPr>
                <w:rStyle w:val="11"/>
                <w:b/>
                <w:bCs/>
                <w:i w:val="0"/>
                <w:color w:val="auto"/>
                <w:spacing w:val="0"/>
                <w:sz w:val="21"/>
                <w:szCs w:val="21"/>
              </w:rPr>
            </w:pPr>
            <w:r>
              <w:rPr>
                <w:rStyle w:val="11"/>
                <w:rFonts w:hint="eastAsia"/>
                <w:b/>
                <w:bCs/>
                <w:i w:val="0"/>
                <w:color w:val="auto"/>
                <w:spacing w:val="0"/>
                <w:sz w:val="21"/>
                <w:szCs w:val="21"/>
              </w:rPr>
              <w:t>第一个信封（商务及技术文件）评审标准：</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（1）投标文件按照招标文件规定的格式、内容填写，字迹清晰可辨：</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a.投标函按招标文件规定填报了项目名称、</w:t>
            </w:r>
            <w:r>
              <w:rPr>
                <w:rStyle w:val="11"/>
                <w:rFonts w:hint="eastAsia"/>
                <w:i w:val="0"/>
                <w:color w:val="auto"/>
                <w:spacing w:val="0"/>
                <w:sz w:val="21"/>
                <w:szCs w:val="21"/>
                <w:lang w:val="en-US" w:eastAsia="zh-CN"/>
              </w:rPr>
              <w:t>标</w:t>
            </w:r>
            <w:r>
              <w:rPr>
                <w:rStyle w:val="11"/>
                <w:rFonts w:hint="eastAsia"/>
                <w:i w:val="0"/>
                <w:color w:val="auto"/>
                <w:spacing w:val="0"/>
                <w:sz w:val="21"/>
                <w:szCs w:val="21"/>
              </w:rPr>
              <w:t>段号、补遗书编号（如有）、工期、工程质量要求及安全目标；投标文件填写的项目名称、合同段号与招标项目一致。</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b.投标函附录的所有数据均符合招标文件规定；</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c.投标文件组成齐全完整，内容均按规定填写。</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（2）投标文件上法定代表人或其委托代理人的签字、投标人的单位章盖章齐全，符合招标文件规定。</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（3）投标人按照招标文件的规定提供了投标保证金：</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a.投标保证金金额符合招标文件规定的金额，且投标保证金有效期不少于投标有效期；</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b.若投标保证金釆用现金或支票形式提交，投标人应在递交投标文件截止时间之前，将投标保证金由投标人的基本账户转入招标人指定账户；</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c.若投标保证金采用银行保函形式提交，银行保函的格式、开具保函的银行均满足招标文件要求，且在递交投标文件截止时间之前向招标人提交了银行保函原件。</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rPr>
              <w:t>（4）投标人法定代表人授权委托代理人签署投标文件的，需提交授权委托书，且授权人和被授权人均在授权委托书上签名，未使用印章、签名章或其他电子制版签名代替。</w:t>
            </w:r>
          </w:p>
          <w:p>
            <w:pPr>
              <w:pStyle w:val="10"/>
              <w:shd w:val="clear" w:color="auto" w:fill="auto"/>
              <w:spacing w:before="0" w:after="0" w:line="240" w:lineRule="auto"/>
              <w:ind w:right="67" w:rightChars="32" w:firstLine="466" w:firstLineChars="222"/>
              <w:jc w:val="both"/>
              <w:rPr>
                <w:rStyle w:val="11"/>
                <w:i w:val="0"/>
                <w:color w:val="auto"/>
                <w:spacing w:val="0"/>
                <w:sz w:val="21"/>
                <w:szCs w:val="21"/>
              </w:rPr>
            </w:pPr>
            <w:r>
              <w:rPr>
                <w:rStyle w:val="11"/>
                <w:rFonts w:hint="eastAsia"/>
                <w:i w:val="0"/>
                <w:color w:val="auto"/>
                <w:spacing w:val="0"/>
                <w:sz w:val="21"/>
                <w:szCs w:val="21"/>
              </w:rPr>
              <w:t>（5）投标人法定代表人亲自签署投标文件的，提供了法定代表人身份证明，且法定代表人在法定代表人身份证明上签名，未使用印章、签名章或其他电子制版签名代替。</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（6）投标人如有分包计划，符合招标文件第二章“投标人须知”第1.11款规定，且按招标文件第九章“投标文件格式”的要求填写了“拟分包项目情况表”。</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（7）同一投标人未提交两个以上不同的投标文件，但招标文件要求提交备选投标的除外。</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（8）投标文件中未出现有关投标报价的内容。</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（9）投标文件载明的招标项目完成期限未超过招标文件规定的时限。</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（10）投标文件对招标文件的实质性要求和条件作出响应。</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（11）权利义务符合招标文件规定：</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a.投标人应接受招标文件规定的风险划分原则，未提出新的风险划分办法；</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b.投标人未增加发包人的责任范围，或减少投标人义务；</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c.投标人未提出不同的工程验收、计量、支付办法；</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d.投标人对合同纠纷、事故处理办法未提出异议；</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e.投标人在投标活动中无欺诈行为；</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f.投标人未对合同条款有重要保留。</w:t>
            </w:r>
          </w:p>
          <w:p>
            <w:pPr>
              <w:pStyle w:val="10"/>
              <w:shd w:val="clear" w:color="auto" w:fill="auto"/>
              <w:spacing w:before="0" w:after="0" w:line="240" w:lineRule="auto"/>
              <w:ind w:right="67" w:rightChars="32" w:firstLine="420" w:firstLineChars="200"/>
              <w:jc w:val="both"/>
              <w:rPr>
                <w:rStyle w:val="11"/>
                <w:i w:val="0"/>
                <w:color w:val="auto"/>
                <w:spacing w:val="0"/>
                <w:sz w:val="21"/>
                <w:szCs w:val="21"/>
              </w:rPr>
            </w:pPr>
            <w:r>
              <w:rPr>
                <w:rStyle w:val="11"/>
                <w:rFonts w:hint="eastAsia"/>
                <w:i w:val="0"/>
                <w:color w:val="auto"/>
                <w:spacing w:val="0"/>
                <w:sz w:val="21"/>
                <w:szCs w:val="21"/>
              </w:rPr>
              <w:t>（12）投标文件正、副本份数符合招标文件第二章“投标人须知”第3.7.4项规定。</w:t>
            </w:r>
          </w:p>
          <w:p>
            <w:pPr>
              <w:pStyle w:val="10"/>
              <w:shd w:val="clear" w:color="auto" w:fill="auto"/>
              <w:spacing w:before="0" w:after="0" w:line="240" w:lineRule="auto"/>
              <w:jc w:val="both"/>
              <w:rPr>
                <w:rStyle w:val="11"/>
                <w:b/>
                <w:bCs/>
                <w:i w:val="0"/>
                <w:color w:val="auto"/>
                <w:spacing w:val="0"/>
                <w:sz w:val="21"/>
                <w:szCs w:val="21"/>
              </w:rPr>
            </w:pPr>
            <w:r>
              <w:rPr>
                <w:rStyle w:val="11"/>
                <w:rFonts w:hint="eastAsia"/>
                <w:b/>
                <w:bCs/>
                <w:i w:val="0"/>
                <w:color w:val="auto"/>
                <w:spacing w:val="0"/>
                <w:sz w:val="21"/>
                <w:szCs w:val="21"/>
              </w:rPr>
              <w:t>第二个信封（报价文件）评审标准：</w:t>
            </w:r>
          </w:p>
          <w:p>
            <w:pPr>
              <w:pStyle w:val="10"/>
              <w:shd w:val="clear" w:color="auto" w:fill="auto"/>
              <w:spacing w:before="0" w:after="0" w:line="240" w:lineRule="auto"/>
              <w:ind w:firstLine="420" w:firstLineChars="200"/>
              <w:jc w:val="both"/>
              <w:rPr>
                <w:rStyle w:val="11"/>
                <w:i w:val="0"/>
                <w:color w:val="auto"/>
                <w:spacing w:val="0"/>
                <w:sz w:val="21"/>
                <w:szCs w:val="21"/>
              </w:rPr>
            </w:pPr>
            <w:r>
              <w:rPr>
                <w:rStyle w:val="11"/>
                <w:rFonts w:hint="eastAsia"/>
                <w:i w:val="0"/>
                <w:color w:val="auto"/>
                <w:spacing w:val="0"/>
                <w:sz w:val="21"/>
                <w:szCs w:val="21"/>
              </w:rPr>
              <w:t>（1）投标文件按照招标文件规定的格式、内容填写，字迹清晰可辨：</w:t>
            </w:r>
          </w:p>
          <w:p>
            <w:pPr>
              <w:pStyle w:val="10"/>
              <w:shd w:val="clear" w:color="auto" w:fill="auto"/>
              <w:spacing w:before="0" w:after="0" w:line="240" w:lineRule="auto"/>
              <w:ind w:firstLine="420" w:firstLineChars="200"/>
              <w:jc w:val="both"/>
              <w:rPr>
                <w:rStyle w:val="11"/>
                <w:i w:val="0"/>
                <w:color w:val="auto"/>
                <w:spacing w:val="0"/>
                <w:sz w:val="21"/>
                <w:szCs w:val="21"/>
              </w:rPr>
            </w:pPr>
            <w:r>
              <w:rPr>
                <w:rStyle w:val="11"/>
                <w:rFonts w:hint="eastAsia"/>
                <w:i w:val="0"/>
                <w:color w:val="auto"/>
                <w:spacing w:val="0"/>
                <w:sz w:val="21"/>
                <w:szCs w:val="21"/>
              </w:rPr>
              <w:t>a.投标函按招标文件规定填报了项目名称、合同段号、补遗书编号（如有）、投标价（包括大写金额和小写金额）；投标文件填写的项目名称、合同段号与招标项目一致。</w:t>
            </w:r>
          </w:p>
          <w:p>
            <w:pPr>
              <w:pStyle w:val="10"/>
              <w:shd w:val="clear" w:color="auto" w:fill="auto"/>
              <w:spacing w:before="0" w:after="0" w:line="240" w:lineRule="auto"/>
              <w:ind w:firstLine="420" w:firstLineChars="200"/>
              <w:jc w:val="both"/>
              <w:rPr>
                <w:rStyle w:val="11"/>
                <w:i w:val="0"/>
                <w:color w:val="auto"/>
                <w:spacing w:val="0"/>
                <w:sz w:val="21"/>
                <w:szCs w:val="21"/>
              </w:rPr>
            </w:pPr>
            <w:r>
              <w:rPr>
                <w:rStyle w:val="11"/>
                <w:rFonts w:hint="eastAsia"/>
                <w:i w:val="0"/>
                <w:color w:val="auto"/>
                <w:spacing w:val="0"/>
                <w:sz w:val="21"/>
                <w:szCs w:val="21"/>
              </w:rPr>
              <w:t>b.已标价工程量清单说明文字与招标文件规定一致，未进行实质性修改和删减；</w:t>
            </w:r>
          </w:p>
          <w:p>
            <w:pPr>
              <w:pStyle w:val="10"/>
              <w:shd w:val="clear" w:color="auto" w:fill="auto"/>
              <w:spacing w:before="0" w:after="0" w:line="240" w:lineRule="auto"/>
              <w:ind w:firstLine="420" w:firstLineChars="200"/>
              <w:jc w:val="both"/>
              <w:rPr>
                <w:rStyle w:val="11"/>
                <w:i w:val="0"/>
                <w:color w:val="auto"/>
                <w:spacing w:val="0"/>
                <w:sz w:val="21"/>
                <w:szCs w:val="21"/>
              </w:rPr>
            </w:pPr>
            <w:r>
              <w:rPr>
                <w:rStyle w:val="11"/>
                <w:rFonts w:hint="eastAsia"/>
                <w:i w:val="0"/>
                <w:color w:val="auto"/>
                <w:spacing w:val="0"/>
                <w:sz w:val="21"/>
                <w:szCs w:val="21"/>
              </w:rPr>
              <w:t>c.投标文件组成齐全完整，内容均按规定填写。</w:t>
            </w:r>
          </w:p>
          <w:p>
            <w:pPr>
              <w:pStyle w:val="10"/>
              <w:numPr>
                <w:ilvl w:val="0"/>
                <w:numId w:val="2"/>
              </w:numPr>
              <w:shd w:val="clear" w:color="auto" w:fill="auto"/>
              <w:spacing w:before="0" w:after="0" w:line="240" w:lineRule="auto"/>
              <w:ind w:left="496" w:leftChars="236"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rPr>
              <w:t>投标文件上法定代表人或其委托代理人的签字、投标人</w:t>
            </w:r>
            <w:r>
              <w:rPr>
                <w:rStyle w:val="11"/>
                <w:rFonts w:hint="eastAsia"/>
                <w:i w:val="0"/>
                <w:color w:val="auto"/>
                <w:spacing w:val="0"/>
                <w:sz w:val="21"/>
                <w:szCs w:val="21"/>
                <w:lang w:val="en-US" w:eastAsia="zh-CN"/>
              </w:rPr>
              <w:t>的</w:t>
            </w:r>
          </w:p>
          <w:p>
            <w:pPr>
              <w:pStyle w:val="10"/>
              <w:numPr>
                <w:ilvl w:val="0"/>
                <w:numId w:val="0"/>
              </w:numPr>
              <w:shd w:val="clear" w:color="auto" w:fill="auto"/>
              <w:spacing w:before="0" w:after="0" w:line="240" w:lineRule="auto"/>
              <w:ind w:right="67" w:rightChars="32"/>
              <w:jc w:val="both"/>
              <w:rPr>
                <w:rStyle w:val="11"/>
                <w:i w:val="0"/>
                <w:color w:val="auto"/>
                <w:spacing w:val="0"/>
                <w:sz w:val="21"/>
                <w:szCs w:val="21"/>
              </w:rPr>
            </w:pPr>
            <w:r>
              <w:rPr>
                <w:rStyle w:val="11"/>
                <w:rFonts w:hint="eastAsia"/>
                <w:i w:val="0"/>
                <w:color w:val="auto"/>
                <w:spacing w:val="0"/>
                <w:sz w:val="21"/>
                <w:szCs w:val="21"/>
              </w:rPr>
              <w:t>单位章盖章齐全，符合招标文件规定。</w:t>
            </w:r>
          </w:p>
          <w:p>
            <w:pPr>
              <w:pStyle w:val="10"/>
              <w:shd w:val="clear" w:color="auto" w:fill="auto"/>
              <w:spacing w:before="0" w:after="0" w:line="240" w:lineRule="auto"/>
              <w:ind w:left="496" w:leftChars="236" w:right="67" w:rightChars="32"/>
              <w:jc w:val="both"/>
              <w:rPr>
                <w:rStyle w:val="11"/>
                <w:i w:val="0"/>
                <w:color w:val="auto"/>
                <w:spacing w:val="0"/>
                <w:sz w:val="21"/>
                <w:szCs w:val="21"/>
              </w:rPr>
            </w:pPr>
            <w:r>
              <w:rPr>
                <w:rStyle w:val="11"/>
                <w:rFonts w:hint="eastAsia"/>
                <w:i w:val="0"/>
                <w:color w:val="auto"/>
                <w:spacing w:val="0"/>
                <w:sz w:val="21"/>
                <w:szCs w:val="21"/>
              </w:rPr>
              <w:t>（3）投标报价中的报价未超过招标文件设定的最高投标限价</w:t>
            </w:r>
          </w:p>
          <w:p>
            <w:pPr>
              <w:pStyle w:val="10"/>
              <w:shd w:val="clear" w:color="auto" w:fill="auto"/>
              <w:spacing w:before="0" w:after="0" w:line="240" w:lineRule="auto"/>
              <w:ind w:left="496" w:leftChars="236" w:right="67" w:rightChars="32"/>
              <w:jc w:val="both"/>
              <w:rPr>
                <w:rStyle w:val="11"/>
                <w:i w:val="0"/>
                <w:color w:val="auto"/>
                <w:spacing w:val="0"/>
                <w:sz w:val="21"/>
                <w:szCs w:val="21"/>
              </w:rPr>
            </w:pPr>
            <w:r>
              <w:rPr>
                <w:rStyle w:val="11"/>
                <w:rFonts w:hint="eastAsia"/>
                <w:i w:val="0"/>
                <w:color w:val="auto"/>
                <w:spacing w:val="0"/>
                <w:sz w:val="21"/>
                <w:szCs w:val="21"/>
              </w:rPr>
              <w:t>（4）投标报价中报价的大写金额能够确定具体数值。</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（5）同一投标人未提交两个以上不同的投标报价，但招标文件要求提交备选投标的除外。</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（6）投标人若填写工程量固化清单，填写完毕的工程量固化清单未对工程量固化清单电子文件中的数据、格式和运算定义进行修改；工程量固化清单中的投标报价和投标函大写金额报价一致。</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（7）投标文件正、副本份数符合招标文件第二章“投标人须知”第3.7.4项规定。</w:t>
            </w:r>
          </w:p>
          <w:p>
            <w:pPr>
              <w:pStyle w:val="10"/>
              <w:shd w:val="clear" w:color="auto" w:fill="auto"/>
              <w:spacing w:before="0" w:after="0" w:line="240" w:lineRule="auto"/>
              <w:ind w:left="46" w:leftChars="22" w:right="82" w:rightChars="39" w:firstLine="371" w:firstLineChars="177"/>
              <w:jc w:val="both"/>
              <w:rPr>
                <w:rStyle w:val="11"/>
                <w:i w:val="0"/>
                <w:color w:val="auto"/>
                <w:spacing w:val="0"/>
                <w:sz w:val="21"/>
                <w:szCs w:val="21"/>
              </w:rPr>
            </w:pPr>
            <w:r>
              <w:rPr>
                <w:rStyle w:val="11"/>
                <w:rFonts w:hint="eastAsia"/>
                <w:i w:val="0"/>
                <w:color w:val="auto"/>
                <w:spacing w:val="0"/>
                <w:sz w:val="21"/>
                <w:szCs w:val="21"/>
                <w:highlight w:val="none"/>
              </w:rPr>
              <w:t>（8）</w:t>
            </w:r>
            <w:r>
              <w:rPr>
                <w:rStyle w:val="11"/>
                <w:rFonts w:hint="eastAsia" w:ascii="宋体" w:hAnsi="宋体" w:eastAsia="宋体" w:cs="宋体"/>
                <w:i w:val="0"/>
                <w:color w:val="auto"/>
                <w:spacing w:val="0"/>
                <w:sz w:val="21"/>
                <w:szCs w:val="21"/>
                <w:highlight w:val="none"/>
              </w:rPr>
              <w:t>投标人已标价工程量清单中填报的“安全生产费”报价符合</w:t>
            </w:r>
            <w:r>
              <w:rPr>
                <w:rStyle w:val="11"/>
                <w:rFonts w:hint="eastAsia" w:ascii="宋体" w:hAnsi="宋体" w:eastAsia="宋体" w:cs="宋体"/>
                <w:i w:val="0"/>
                <w:color w:val="auto"/>
                <w:spacing w:val="0"/>
                <w:sz w:val="21"/>
                <w:szCs w:val="21"/>
                <w:highlight w:val="none"/>
                <w:lang w:eastAsia="zh-CN"/>
              </w:rPr>
              <w:t>投标人须知</w:t>
            </w:r>
            <w:r>
              <w:rPr>
                <w:rStyle w:val="11"/>
                <w:rFonts w:hint="eastAsia" w:ascii="宋体" w:hAnsi="宋体" w:eastAsia="宋体" w:cs="宋体"/>
                <w:i w:val="0"/>
                <w:color w:val="auto"/>
                <w:spacing w:val="0"/>
                <w:sz w:val="21"/>
                <w:szCs w:val="21"/>
                <w:highlight w:val="none"/>
                <w:lang w:val="en-US" w:eastAsia="zh-CN"/>
              </w:rPr>
              <w:t>3.2.9规定</w:t>
            </w:r>
            <w:r>
              <w:rPr>
                <w:rStyle w:val="11"/>
                <w:rFonts w:hint="eastAsia" w:ascii="宋体" w:hAnsi="宋体" w:eastAsia="宋体" w:cs="宋体"/>
                <w:i w:val="0"/>
                <w:color w:val="auto"/>
                <w:spacing w:val="0"/>
                <w:sz w:val="21"/>
                <w:szCs w:val="21"/>
                <w:highlight w:val="none"/>
              </w:rPr>
              <w:t>。</w:t>
            </w:r>
          </w:p>
        </w:tc>
      </w:tr>
      <w:tr>
        <w:tblPrEx>
          <w:tblCellMar>
            <w:top w:w="0" w:type="dxa"/>
            <w:left w:w="10" w:type="dxa"/>
            <w:bottom w:w="0" w:type="dxa"/>
            <w:right w:w="10" w:type="dxa"/>
          </w:tblCellMar>
        </w:tblPrEx>
        <w:trPr>
          <w:jc w:val="center"/>
        </w:trPr>
        <w:tc>
          <w:tcPr>
            <w:tcW w:w="1037"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400" w:lineRule="exact"/>
              <w:rPr>
                <w:iCs/>
                <w:sz w:val="21"/>
                <w:szCs w:val="21"/>
              </w:rPr>
            </w:pPr>
            <w:r>
              <w:rPr>
                <w:rStyle w:val="11"/>
                <w:rFonts w:hint="eastAsia"/>
                <w:i w:val="0"/>
                <w:color w:val="auto"/>
                <w:spacing w:val="0"/>
                <w:sz w:val="21"/>
                <w:szCs w:val="21"/>
              </w:rPr>
              <w:t>2.1.2</w:t>
            </w:r>
          </w:p>
        </w:tc>
        <w:tc>
          <w:tcPr>
            <w:tcW w:w="1785" w:type="dxa"/>
            <w:tcBorders>
              <w:top w:val="single" w:color="auto" w:sz="4" w:space="0"/>
              <w:left w:val="single" w:color="auto" w:sz="4" w:space="0"/>
              <w:bottom w:val="single" w:color="auto" w:sz="4" w:space="0"/>
            </w:tcBorders>
            <w:shd w:val="clear" w:color="auto" w:fill="FFFFFF"/>
            <w:vAlign w:val="center"/>
          </w:tcPr>
          <w:p>
            <w:pPr>
              <w:pStyle w:val="10"/>
              <w:shd w:val="clear" w:color="auto" w:fill="auto"/>
              <w:spacing w:before="0" w:after="0" w:line="400" w:lineRule="exact"/>
              <w:rPr>
                <w:iCs/>
                <w:sz w:val="21"/>
                <w:szCs w:val="21"/>
              </w:rPr>
            </w:pPr>
            <w:r>
              <w:rPr>
                <w:rStyle w:val="11"/>
                <w:rFonts w:hint="eastAsia"/>
                <w:i w:val="0"/>
                <w:color w:val="auto"/>
                <w:spacing w:val="0"/>
                <w:sz w:val="21"/>
                <w:szCs w:val="21"/>
              </w:rPr>
              <w:t>资格评审标准</w:t>
            </w:r>
          </w:p>
        </w:tc>
        <w:tc>
          <w:tcPr>
            <w:tcW w:w="626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（1）投标人具备有效的营业执照、资质证书、安全生产许可证和基本账户开户许可证（或基本账户开户行出具含有企业基本存款账户编号的《基本存款账户信息》）；</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（2）投标人的资质等级符合招标文件规定；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（3）投标人的财务状况符合招标文件规定；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（4）投标人的类似项目业绩符合招标文件规定；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（5）投标人的信誉符合招标文件规定；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（6）投标人的项目经理和项目总工资格、在岗情况符合招标文件规定；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（7）投标人的其他要求符合招标文件规定；</w:t>
            </w:r>
          </w:p>
          <w:p>
            <w:pPr>
              <w:pStyle w:val="10"/>
              <w:shd w:val="clear" w:color="auto" w:fill="auto"/>
              <w:spacing w:before="0" w:after="0" w:line="240" w:lineRule="auto"/>
              <w:ind w:left="76" w:leftChars="36" w:right="67" w:rightChars="32" w:firstLine="415" w:firstLineChars="198"/>
              <w:jc w:val="both"/>
              <w:rPr>
                <w:rStyle w:val="11"/>
                <w:i w:val="0"/>
                <w:color w:val="auto"/>
                <w:spacing w:val="0"/>
                <w:sz w:val="21"/>
                <w:szCs w:val="21"/>
              </w:rPr>
            </w:pPr>
            <w:r>
              <w:rPr>
                <w:rStyle w:val="11"/>
                <w:rFonts w:hint="eastAsia"/>
                <w:i w:val="0"/>
                <w:color w:val="auto"/>
                <w:spacing w:val="0"/>
                <w:sz w:val="21"/>
                <w:szCs w:val="21"/>
              </w:rPr>
              <w:t>（8）投标人不存在第二章“投标人须知”第1.4.3项或第1.4.4项规定的任何一种情形。</w:t>
            </w:r>
          </w:p>
        </w:tc>
      </w:tr>
    </w:tbl>
    <w:tbl>
      <w:tblPr>
        <w:tblStyle w:val="6"/>
        <w:tblW w:w="9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2"/>
        <w:gridCol w:w="1653"/>
        <w:gridCol w:w="4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22" w:type="dxa"/>
            <w:vAlign w:val="center"/>
          </w:tcPr>
          <w:p>
            <w:pPr>
              <w:spacing w:line="360" w:lineRule="auto"/>
              <w:jc w:val="center"/>
              <w:rPr>
                <w:rFonts w:hint="eastAsia" w:ascii="宋体" w:hAnsi="宋体" w:eastAsia="宋体" w:cs="宋体"/>
                <w:kern w:val="0"/>
                <w:sz w:val="52"/>
                <w:szCs w:val="52"/>
                <w:vertAlign w:val="baseline"/>
                <w:lang w:val="en-US" w:eastAsia="zh-CN"/>
              </w:rPr>
            </w:pPr>
            <w:r>
              <w:rPr>
                <w:rFonts w:hint="eastAsia" w:ascii="宋体" w:hAnsi="宋体" w:eastAsia="宋体" w:cs="宋体"/>
                <w:b/>
                <w:bCs/>
                <w:kern w:val="0"/>
                <w:sz w:val="21"/>
                <w:szCs w:val="21"/>
                <w:vertAlign w:val="baseline"/>
                <w:lang w:val="en-US" w:eastAsia="zh-CN"/>
              </w:rPr>
              <w:t>条款号</w:t>
            </w:r>
          </w:p>
        </w:tc>
        <w:tc>
          <w:tcPr>
            <w:tcW w:w="1653" w:type="dxa"/>
            <w:vAlign w:val="center"/>
          </w:tcPr>
          <w:p>
            <w:pPr>
              <w:spacing w:line="360" w:lineRule="auto"/>
              <w:jc w:val="center"/>
              <w:rPr>
                <w:rFonts w:hint="eastAsia" w:ascii="宋体" w:hAnsi="宋体" w:eastAsia="宋体" w:cs="宋体"/>
                <w:kern w:val="0"/>
                <w:sz w:val="52"/>
                <w:szCs w:val="52"/>
                <w:vertAlign w:val="baseline"/>
                <w:lang w:val="en-US" w:eastAsia="zh-CN"/>
              </w:rPr>
            </w:pPr>
            <w:r>
              <w:rPr>
                <w:rFonts w:hint="eastAsia" w:ascii="宋体" w:hAnsi="宋体" w:eastAsia="宋体" w:cs="宋体"/>
                <w:b/>
                <w:bCs/>
                <w:kern w:val="0"/>
                <w:sz w:val="21"/>
                <w:szCs w:val="21"/>
                <w:vertAlign w:val="baseline"/>
                <w:lang w:val="en-US" w:eastAsia="zh-CN"/>
              </w:rPr>
              <w:t>条款内容</w:t>
            </w:r>
          </w:p>
        </w:tc>
        <w:tc>
          <w:tcPr>
            <w:tcW w:w="4646" w:type="dxa"/>
            <w:vAlign w:val="center"/>
          </w:tcPr>
          <w:p>
            <w:pPr>
              <w:spacing w:line="360" w:lineRule="auto"/>
              <w:jc w:val="center"/>
              <w:rPr>
                <w:rFonts w:hint="eastAsia" w:ascii="宋体" w:hAnsi="宋体" w:eastAsia="宋体" w:cs="宋体"/>
                <w:kern w:val="0"/>
                <w:sz w:val="52"/>
                <w:szCs w:val="52"/>
                <w:vertAlign w:val="baseline"/>
                <w:lang w:val="en-US" w:eastAsia="zh-CN"/>
              </w:rPr>
            </w:pPr>
            <w:r>
              <w:rPr>
                <w:rFonts w:hint="eastAsia" w:ascii="宋体" w:hAnsi="宋体" w:eastAsia="宋体" w:cs="宋体"/>
                <w:b/>
                <w:bCs/>
                <w:kern w:val="0"/>
                <w:sz w:val="21"/>
                <w:szCs w:val="21"/>
                <w:vertAlign w:val="baseline"/>
                <w:lang w:val="en-US" w:eastAsia="zh-CN"/>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2"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rPr>
            </w:pPr>
            <w:r>
              <w:rPr>
                <w:rStyle w:val="11"/>
                <w:rFonts w:hint="eastAsia"/>
                <w:i w:val="0"/>
                <w:color w:val="auto"/>
                <w:spacing w:val="0"/>
                <w:sz w:val="21"/>
                <w:szCs w:val="21"/>
                <w:lang w:val="en-US" w:eastAsia="zh-CN"/>
              </w:rPr>
              <w:t xml:space="preserve">     </w:t>
            </w:r>
            <w:r>
              <w:rPr>
                <w:rStyle w:val="11"/>
                <w:rFonts w:hint="eastAsia"/>
                <w:i w:val="0"/>
                <w:color w:val="auto"/>
                <w:spacing w:val="0"/>
                <w:sz w:val="21"/>
                <w:szCs w:val="21"/>
              </w:rPr>
              <w:t>2.2.1</w:t>
            </w:r>
          </w:p>
        </w:tc>
        <w:tc>
          <w:tcPr>
            <w:tcW w:w="1653" w:type="dxa"/>
            <w:vAlign w:val="center"/>
          </w:tcPr>
          <w:p>
            <w:pPr>
              <w:pStyle w:val="10"/>
              <w:shd w:val="clear" w:color="auto" w:fill="auto"/>
              <w:spacing w:before="0" w:after="0" w:line="240" w:lineRule="auto"/>
              <w:ind w:right="67" w:rightChars="32"/>
              <w:jc w:val="center"/>
              <w:rPr>
                <w:rStyle w:val="11"/>
                <w:rFonts w:hint="eastAsia"/>
                <w:i w:val="0"/>
                <w:color w:val="auto"/>
                <w:spacing w:val="0"/>
                <w:sz w:val="21"/>
                <w:szCs w:val="21"/>
              </w:rPr>
            </w:pPr>
            <w:r>
              <w:rPr>
                <w:rStyle w:val="11"/>
                <w:rFonts w:hint="eastAsia"/>
                <w:i w:val="0"/>
                <w:color w:val="auto"/>
                <w:spacing w:val="0"/>
                <w:sz w:val="21"/>
                <w:szCs w:val="21"/>
              </w:rPr>
              <w:t>分值构成（总分</w:t>
            </w:r>
            <w:r>
              <w:rPr>
                <w:rStyle w:val="11"/>
                <w:rFonts w:hint="eastAsia"/>
                <w:i w:val="0"/>
                <w:color w:val="auto"/>
                <w:spacing w:val="0"/>
                <w:sz w:val="21"/>
                <w:szCs w:val="21"/>
                <w:lang w:val="en-US" w:eastAsia="zh-CN"/>
              </w:rPr>
              <w:t>100</w:t>
            </w:r>
            <w:r>
              <w:rPr>
                <w:rStyle w:val="11"/>
                <w:rFonts w:hint="eastAsia"/>
                <w:i w:val="0"/>
                <w:color w:val="auto"/>
                <w:spacing w:val="0"/>
                <w:sz w:val="21"/>
                <w:szCs w:val="21"/>
              </w:rPr>
              <w:t>分）</w:t>
            </w:r>
          </w:p>
        </w:tc>
        <w:tc>
          <w:tcPr>
            <w:tcW w:w="4646"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 xml:space="preserve">（1）评标价：99.8分 </w:t>
            </w:r>
          </w:p>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rPr>
            </w:pPr>
            <w:r>
              <w:rPr>
                <w:rStyle w:val="11"/>
                <w:rFonts w:hint="eastAsia"/>
                <w:i w:val="0"/>
                <w:color w:val="auto"/>
                <w:spacing w:val="0"/>
                <w:sz w:val="21"/>
                <w:szCs w:val="21"/>
                <w:lang w:val="en-US" w:eastAsia="zh-CN"/>
              </w:rPr>
              <w:t>（2）信用评价：0.2分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9" w:hRule="atLeast"/>
          <w:jc w:val="center"/>
        </w:trPr>
        <w:tc>
          <w:tcPr>
            <w:tcW w:w="2822"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eastAsia="宋体"/>
                <w:i w:val="0"/>
                <w:color w:val="auto"/>
                <w:spacing w:val="0"/>
                <w:sz w:val="21"/>
                <w:szCs w:val="21"/>
                <w:lang w:val="en-US" w:eastAsia="zh-CN"/>
              </w:rPr>
            </w:pPr>
            <w:r>
              <w:rPr>
                <w:rStyle w:val="11"/>
                <w:rFonts w:hint="eastAsia"/>
                <w:i w:val="0"/>
                <w:color w:val="auto"/>
                <w:spacing w:val="0"/>
                <w:sz w:val="21"/>
                <w:szCs w:val="21"/>
                <w:lang w:val="en-US" w:eastAsia="zh-CN"/>
              </w:rPr>
              <w:t xml:space="preserve">    2.2.2</w:t>
            </w:r>
          </w:p>
        </w:tc>
        <w:tc>
          <w:tcPr>
            <w:tcW w:w="1653" w:type="dxa"/>
            <w:vAlign w:val="center"/>
          </w:tcPr>
          <w:p>
            <w:pPr>
              <w:pStyle w:val="10"/>
              <w:shd w:val="clear" w:color="auto" w:fill="auto"/>
              <w:spacing w:before="0" w:after="0" w:line="240" w:lineRule="auto"/>
              <w:ind w:right="67" w:rightChars="32"/>
              <w:jc w:val="center"/>
              <w:rPr>
                <w:rStyle w:val="11"/>
                <w:rFonts w:hint="eastAsia"/>
                <w:i w:val="0"/>
                <w:color w:val="auto"/>
                <w:spacing w:val="0"/>
                <w:sz w:val="21"/>
                <w:szCs w:val="21"/>
              </w:rPr>
            </w:pPr>
            <w:r>
              <w:rPr>
                <w:rStyle w:val="11"/>
                <w:rFonts w:hint="eastAsia"/>
                <w:i w:val="0"/>
                <w:color w:val="auto"/>
                <w:spacing w:val="0"/>
                <w:sz w:val="21"/>
                <w:szCs w:val="21"/>
              </w:rPr>
              <w:t>评标基准价计</w:t>
            </w:r>
          </w:p>
          <w:p>
            <w:pPr>
              <w:pStyle w:val="10"/>
              <w:shd w:val="clear" w:color="auto" w:fill="auto"/>
              <w:spacing w:before="0" w:after="0" w:line="240" w:lineRule="auto"/>
              <w:ind w:right="67" w:rightChars="32"/>
              <w:jc w:val="center"/>
              <w:rPr>
                <w:rStyle w:val="11"/>
                <w:rFonts w:hint="eastAsia"/>
                <w:i w:val="0"/>
                <w:color w:val="auto"/>
                <w:spacing w:val="0"/>
                <w:sz w:val="21"/>
                <w:szCs w:val="21"/>
              </w:rPr>
            </w:pPr>
            <w:r>
              <w:rPr>
                <w:rStyle w:val="11"/>
                <w:rFonts w:hint="eastAsia"/>
                <w:i w:val="0"/>
                <w:color w:val="auto"/>
                <w:spacing w:val="0"/>
                <w:sz w:val="21"/>
                <w:szCs w:val="21"/>
              </w:rPr>
              <w:t>算方法</w:t>
            </w:r>
          </w:p>
        </w:tc>
        <w:tc>
          <w:tcPr>
            <w:tcW w:w="4646"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（1）评标价Di=投标函文字报价-暂估价-暂列金额</w:t>
            </w:r>
          </w:p>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除按招标文件规定开标现场被宣布为不进入评标基准价计算的投标报价之外，剩余所有投标人的评标价均为有效评标价。</w:t>
            </w:r>
          </w:p>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（2）评标基准价P</w:t>
            </w:r>
          </w:p>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在投标文件第二个信封（报价文件）开标现场，通过摇号的方式从《陕西省公路工程建设项目招标投标管理办法》（陕交发[2018]118号）中规定的六种计算方法中随机抽取评标基准价计算方法及相关计算参数进行计算。</w:t>
            </w:r>
          </w:p>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rPr>
            </w:pPr>
            <w:r>
              <w:rPr>
                <w:rStyle w:val="11"/>
                <w:rFonts w:hint="eastAsia"/>
                <w:i w:val="0"/>
                <w:color w:val="auto"/>
                <w:spacing w:val="0"/>
                <w:sz w:val="21"/>
                <w:szCs w:val="21"/>
                <w:lang w:val="en-US" w:eastAsia="zh-CN"/>
              </w:rPr>
              <w:t>开标现场计算并宣布评标基准价，宣布的评标基准价除计算有误经评标委员会修正外，在整个评标期间保持不变，不随任何因素发生变化</w:t>
            </w:r>
            <w:r>
              <w:rPr>
                <w:rFonts w:hint="eastAsia" w:ascii="宋体" w:hAnsi="宋体" w:eastAsia="宋体" w:cs="黑体"/>
                <w:color w:val="auto"/>
                <w:kern w:val="0"/>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2"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eastAsia="宋体"/>
                <w:i w:val="0"/>
                <w:color w:val="auto"/>
                <w:spacing w:val="0"/>
                <w:sz w:val="21"/>
                <w:szCs w:val="21"/>
                <w:lang w:val="en-US" w:eastAsia="zh-CN"/>
              </w:rPr>
            </w:pPr>
            <w:r>
              <w:rPr>
                <w:rStyle w:val="11"/>
                <w:rFonts w:hint="eastAsia"/>
                <w:i w:val="0"/>
                <w:color w:val="auto"/>
                <w:spacing w:val="0"/>
                <w:sz w:val="21"/>
                <w:szCs w:val="21"/>
                <w:lang w:val="en-US" w:eastAsia="zh-CN"/>
              </w:rPr>
              <w:t xml:space="preserve">     2.2.3</w:t>
            </w:r>
          </w:p>
        </w:tc>
        <w:tc>
          <w:tcPr>
            <w:tcW w:w="1653" w:type="dxa"/>
            <w:vAlign w:val="center"/>
          </w:tcPr>
          <w:p>
            <w:pPr>
              <w:pStyle w:val="10"/>
              <w:shd w:val="clear" w:color="auto" w:fill="auto"/>
              <w:spacing w:before="0" w:after="0" w:line="240" w:lineRule="auto"/>
              <w:ind w:right="67" w:rightChars="32"/>
              <w:jc w:val="center"/>
              <w:rPr>
                <w:rStyle w:val="11"/>
                <w:rFonts w:hint="eastAsia"/>
                <w:i w:val="0"/>
                <w:color w:val="auto"/>
                <w:spacing w:val="0"/>
                <w:sz w:val="21"/>
                <w:szCs w:val="21"/>
              </w:rPr>
            </w:pPr>
            <w:r>
              <w:rPr>
                <w:rStyle w:val="11"/>
                <w:rFonts w:hint="eastAsia"/>
                <w:i w:val="0"/>
                <w:color w:val="auto"/>
                <w:spacing w:val="0"/>
                <w:sz w:val="21"/>
                <w:szCs w:val="21"/>
              </w:rPr>
              <w:t>评标价的偏差</w:t>
            </w:r>
          </w:p>
          <w:p>
            <w:pPr>
              <w:pStyle w:val="10"/>
              <w:shd w:val="clear" w:color="auto" w:fill="auto"/>
              <w:spacing w:before="0" w:after="0" w:line="240" w:lineRule="auto"/>
              <w:ind w:right="67" w:rightChars="32"/>
              <w:jc w:val="center"/>
              <w:rPr>
                <w:rStyle w:val="11"/>
                <w:rFonts w:hint="eastAsia"/>
                <w:i w:val="0"/>
                <w:color w:val="auto"/>
                <w:spacing w:val="0"/>
                <w:sz w:val="21"/>
                <w:szCs w:val="21"/>
              </w:rPr>
            </w:pPr>
            <w:r>
              <w:rPr>
                <w:rStyle w:val="11"/>
                <w:rFonts w:hint="eastAsia"/>
                <w:i w:val="0"/>
                <w:color w:val="auto"/>
                <w:spacing w:val="0"/>
                <w:sz w:val="21"/>
                <w:szCs w:val="21"/>
              </w:rPr>
              <w:t>率计算公式</w:t>
            </w:r>
          </w:p>
        </w:tc>
        <w:tc>
          <w:tcPr>
            <w:tcW w:w="4646" w:type="dxa"/>
            <w:vAlign w:val="center"/>
          </w:tcPr>
          <w:p>
            <w:pPr>
              <w:pStyle w:val="10"/>
              <w:shd w:val="clear" w:color="auto" w:fill="auto"/>
              <w:spacing w:before="0" w:after="0" w:line="240" w:lineRule="auto"/>
              <w:ind w:left="76" w:leftChars="36" w:right="67" w:rightChars="32" w:firstLine="415" w:firstLineChars="198"/>
              <w:jc w:val="both"/>
              <w:rPr>
                <w:rStyle w:val="11"/>
                <w:rFonts w:hint="eastAsia"/>
                <w:i w:val="0"/>
                <w:color w:val="auto"/>
                <w:spacing w:val="0"/>
                <w:sz w:val="21"/>
                <w:szCs w:val="21"/>
              </w:rPr>
            </w:pPr>
            <w:r>
              <w:rPr>
                <w:rStyle w:val="11"/>
                <w:rFonts w:hint="eastAsia"/>
                <w:i w:val="0"/>
                <w:color w:val="auto"/>
                <w:spacing w:val="0"/>
                <w:sz w:val="21"/>
                <w:szCs w:val="21"/>
              </w:rPr>
              <w:t>偏差率=100% ×（投标人评标价－评标基准价）/评标基准价</w:t>
            </w:r>
            <w:r>
              <w:rPr>
                <w:rStyle w:val="11"/>
                <w:rFonts w:hint="eastAsia"/>
                <w:i w:val="0"/>
                <w:color w:val="auto"/>
                <w:spacing w:val="0"/>
                <w:sz w:val="21"/>
                <w:szCs w:val="21"/>
                <w:lang w:eastAsia="zh-CN"/>
              </w:rPr>
              <w:t>，</w:t>
            </w:r>
            <w:r>
              <w:rPr>
                <w:rStyle w:val="11"/>
                <w:rFonts w:hint="eastAsia"/>
                <w:i w:val="0"/>
                <w:color w:val="auto"/>
                <w:spacing w:val="0"/>
                <w:sz w:val="21"/>
                <w:szCs w:val="21"/>
              </w:rPr>
              <w:t>偏差率保留</w:t>
            </w:r>
            <w:r>
              <w:rPr>
                <w:rStyle w:val="11"/>
                <w:rFonts w:hint="eastAsia"/>
                <w:i w:val="0"/>
                <w:color w:val="auto"/>
                <w:spacing w:val="0"/>
                <w:sz w:val="21"/>
                <w:szCs w:val="21"/>
                <w:lang w:val="en-US" w:eastAsia="zh-CN"/>
              </w:rPr>
              <w:t>两</w:t>
            </w:r>
            <w:r>
              <w:rPr>
                <w:rStyle w:val="11"/>
                <w:rFonts w:hint="eastAsia"/>
                <w:i w:val="0"/>
                <w:color w:val="auto"/>
                <w:spacing w:val="0"/>
                <w:sz w:val="21"/>
                <w:szCs w:val="21"/>
              </w:rPr>
              <w:t>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822" w:type="dxa"/>
            <w:vAlign w:val="center"/>
          </w:tcPr>
          <w:p>
            <w:pPr>
              <w:spacing w:line="360" w:lineRule="auto"/>
              <w:jc w:val="center"/>
              <w:rPr>
                <w:rStyle w:val="11"/>
                <w:rFonts w:hint="eastAsia" w:eastAsia="宋体"/>
                <w:i w:val="0"/>
                <w:color w:val="auto"/>
                <w:spacing w:val="0"/>
                <w:sz w:val="21"/>
                <w:szCs w:val="21"/>
                <w:lang w:val="en-US" w:eastAsia="zh-CN"/>
              </w:rPr>
            </w:pPr>
            <w:r>
              <w:rPr>
                <w:rFonts w:hint="eastAsia" w:ascii="宋体" w:hAnsi="宋体" w:eastAsia="宋体" w:cs="宋体"/>
                <w:b/>
                <w:bCs/>
                <w:kern w:val="0"/>
                <w:sz w:val="21"/>
                <w:szCs w:val="21"/>
                <w:vertAlign w:val="baseline"/>
                <w:lang w:val="en-US" w:eastAsia="zh-CN"/>
              </w:rPr>
              <w:t>条款号</w:t>
            </w:r>
          </w:p>
        </w:tc>
        <w:tc>
          <w:tcPr>
            <w:tcW w:w="1653" w:type="dxa"/>
            <w:vAlign w:val="center"/>
          </w:tcPr>
          <w:p>
            <w:pPr>
              <w:spacing w:line="360" w:lineRule="auto"/>
              <w:jc w:val="center"/>
              <w:rPr>
                <w:rStyle w:val="11"/>
                <w:rFonts w:hint="eastAsia"/>
                <w:i w:val="0"/>
                <w:color w:val="auto"/>
                <w:spacing w:val="0"/>
                <w:sz w:val="21"/>
                <w:szCs w:val="21"/>
              </w:rPr>
            </w:pPr>
            <w:r>
              <w:rPr>
                <w:rFonts w:hint="eastAsia" w:ascii="宋体" w:hAnsi="宋体" w:eastAsia="宋体" w:cs="宋体"/>
                <w:b/>
                <w:bCs/>
                <w:kern w:val="0"/>
                <w:sz w:val="21"/>
                <w:szCs w:val="21"/>
                <w:vertAlign w:val="baseline"/>
                <w:lang w:val="en-US" w:eastAsia="zh-CN"/>
              </w:rPr>
              <w:t>评分因素</w:t>
            </w:r>
          </w:p>
        </w:tc>
        <w:tc>
          <w:tcPr>
            <w:tcW w:w="4646" w:type="dxa"/>
            <w:vAlign w:val="center"/>
          </w:tcPr>
          <w:p>
            <w:pPr>
              <w:spacing w:line="360" w:lineRule="auto"/>
              <w:jc w:val="center"/>
              <w:rPr>
                <w:rStyle w:val="11"/>
                <w:rFonts w:hint="eastAsia"/>
                <w:i w:val="0"/>
                <w:color w:val="auto"/>
                <w:spacing w:val="0"/>
                <w:sz w:val="21"/>
                <w:szCs w:val="21"/>
              </w:rPr>
            </w:pPr>
            <w:r>
              <w:rPr>
                <w:rFonts w:hint="eastAsia" w:ascii="宋体" w:hAnsi="宋体" w:eastAsia="宋体" w:cs="宋体"/>
                <w:b/>
                <w:bCs/>
                <w:kern w:val="0"/>
                <w:sz w:val="21"/>
                <w:szCs w:val="21"/>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jc w:val="center"/>
        </w:trPr>
        <w:tc>
          <w:tcPr>
            <w:tcW w:w="2822" w:type="dxa"/>
            <w:vAlign w:val="center"/>
          </w:tcPr>
          <w:p>
            <w:pPr>
              <w:spacing w:line="360" w:lineRule="auto"/>
              <w:jc w:val="center"/>
              <w:rPr>
                <w:rFonts w:hint="eastAsia" w:ascii="宋体" w:hAnsi="宋体" w:eastAsia="宋体" w:cs="宋体"/>
                <w:b/>
                <w:bCs/>
                <w:kern w:val="0"/>
                <w:sz w:val="21"/>
                <w:szCs w:val="21"/>
                <w:vertAlign w:val="baseline"/>
                <w:lang w:val="en-US" w:eastAsia="zh-CN"/>
              </w:rPr>
            </w:pPr>
            <w:r>
              <w:rPr>
                <w:rFonts w:hint="eastAsia" w:ascii="宋体" w:hAnsi="宋体" w:eastAsia="宋体" w:cs="宋体"/>
                <w:b/>
                <w:bCs/>
                <w:kern w:val="0"/>
                <w:sz w:val="21"/>
                <w:szCs w:val="21"/>
                <w:vertAlign w:val="baseline"/>
                <w:lang w:val="en-US" w:eastAsia="zh-CN"/>
              </w:rPr>
              <w:t>2.2.4</w:t>
            </w:r>
          </w:p>
        </w:tc>
        <w:tc>
          <w:tcPr>
            <w:tcW w:w="1653" w:type="dxa"/>
            <w:vAlign w:val="center"/>
          </w:tcPr>
          <w:p>
            <w:pPr>
              <w:spacing w:line="360" w:lineRule="auto"/>
              <w:jc w:val="center"/>
              <w:rPr>
                <w:rFonts w:hint="eastAsia" w:ascii="宋体" w:hAnsi="宋体" w:eastAsia="宋体" w:cs="宋体"/>
                <w:b/>
                <w:bCs/>
                <w:kern w:val="0"/>
                <w:sz w:val="21"/>
                <w:szCs w:val="21"/>
                <w:vertAlign w:val="baseline"/>
                <w:lang w:val="en-US" w:eastAsia="zh-CN"/>
              </w:rPr>
            </w:pPr>
            <w:r>
              <w:rPr>
                <w:rStyle w:val="11"/>
                <w:rFonts w:hint="eastAsia"/>
                <w:i w:val="0"/>
                <w:color w:val="auto"/>
                <w:spacing w:val="0"/>
                <w:sz w:val="21"/>
                <w:szCs w:val="21"/>
                <w:lang w:val="en-US" w:eastAsia="zh-CN"/>
              </w:rPr>
              <w:t>评标价</w:t>
            </w:r>
          </w:p>
        </w:tc>
        <w:tc>
          <w:tcPr>
            <w:tcW w:w="4646" w:type="dxa"/>
            <w:vAlign w:val="center"/>
          </w:tcPr>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99.8分</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评标价得分计算公式示例：</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（1）如果投标人的评标价&gt;评标基准价，则评标价得分=99.8-偏差率×100×E1；</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（2）如果投标人的评标价≤评标基准价，则评标价得分=99.8+偏差率×100×E2；</w:t>
            </w:r>
          </w:p>
          <w:p>
            <w:pPr>
              <w:pStyle w:val="10"/>
              <w:shd w:val="clear" w:color="auto" w:fill="auto"/>
              <w:spacing w:before="0" w:after="0" w:line="240" w:lineRule="auto"/>
              <w:ind w:right="67" w:rightChars="32"/>
              <w:jc w:val="both"/>
              <w:rPr>
                <w:rFonts w:hint="eastAsia" w:ascii="宋体" w:hAnsi="宋体" w:eastAsia="宋体" w:cs="宋体"/>
                <w:b/>
                <w:bCs/>
                <w:kern w:val="0"/>
                <w:sz w:val="21"/>
                <w:szCs w:val="21"/>
                <w:vertAlign w:val="baseline"/>
                <w:lang w:val="en-US" w:eastAsia="zh-CN"/>
              </w:rPr>
            </w:pPr>
            <w:r>
              <w:rPr>
                <w:rStyle w:val="11"/>
                <w:rFonts w:hint="eastAsia"/>
                <w:i w:val="0"/>
                <w:color w:val="auto"/>
                <w:spacing w:val="0"/>
                <w:sz w:val="21"/>
                <w:szCs w:val="21"/>
                <w:lang w:val="en-US" w:eastAsia="zh-CN"/>
              </w:rPr>
              <w:t>（3）E1=2，是评标价每高于评标基准价一个百分点的扣分值；E2=1，是评标价每低于评标基准价一个百分点的扣分值。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atLeast"/>
          <w:jc w:val="center"/>
        </w:trPr>
        <w:tc>
          <w:tcPr>
            <w:tcW w:w="2822" w:type="dxa"/>
            <w:vAlign w:val="center"/>
          </w:tcPr>
          <w:p>
            <w:pPr>
              <w:spacing w:line="360" w:lineRule="auto"/>
              <w:jc w:val="center"/>
              <w:rPr>
                <w:rFonts w:hint="eastAsia" w:ascii="宋体" w:hAnsi="宋体" w:eastAsia="宋体" w:cs="宋体"/>
                <w:b/>
                <w:bCs/>
                <w:kern w:val="0"/>
                <w:sz w:val="21"/>
                <w:szCs w:val="21"/>
                <w:vertAlign w:val="baseline"/>
                <w:lang w:val="en-US" w:eastAsia="zh-CN"/>
              </w:rPr>
            </w:pPr>
            <w:r>
              <w:rPr>
                <w:rFonts w:hint="eastAsia" w:ascii="宋体" w:hAnsi="宋体" w:eastAsia="宋体" w:cs="宋体"/>
                <w:b/>
                <w:bCs/>
                <w:kern w:val="0"/>
                <w:sz w:val="21"/>
                <w:szCs w:val="21"/>
                <w:vertAlign w:val="baseline"/>
                <w:lang w:val="en-US" w:eastAsia="zh-CN"/>
              </w:rPr>
              <w:t>2.2.5</w:t>
            </w:r>
          </w:p>
        </w:tc>
        <w:tc>
          <w:tcPr>
            <w:tcW w:w="1653" w:type="dxa"/>
            <w:vAlign w:val="center"/>
          </w:tcPr>
          <w:p>
            <w:pPr>
              <w:spacing w:line="360" w:lineRule="auto"/>
              <w:jc w:val="center"/>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信用评价</w:t>
            </w:r>
          </w:p>
        </w:tc>
        <w:tc>
          <w:tcPr>
            <w:tcW w:w="4646" w:type="dxa"/>
            <w:vAlign w:val="center"/>
          </w:tcPr>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0.2分</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 xml:space="preserve">    根据陕西省交通运输厅《关于陕西省2022年度高速公路设计施工及公路监理从业企业信用评价结果应用》（陕交函[2023]225号）文件规定，本次招标对信用评价结果应用如下：</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 xml:space="preserve">    按照施工企业的信用评价等级进行评分：信用评价等级为AA级企业，加0.2分；信用评价等级为A级企业不加分；信用评价等级为B级企业减0.3分；信用评价等级为C级企业减0.5分。</w:t>
            </w:r>
          </w:p>
          <w:p>
            <w:pPr>
              <w:pStyle w:val="10"/>
              <w:shd w:val="clear" w:color="auto" w:fill="auto"/>
              <w:spacing w:before="0" w:after="0" w:line="240" w:lineRule="auto"/>
              <w:ind w:right="67" w:rightChars="32"/>
              <w:jc w:val="both"/>
              <w:rPr>
                <w:rStyle w:val="11"/>
                <w:rFonts w:hint="eastAsia"/>
                <w:i w:val="0"/>
                <w:color w:val="auto"/>
                <w:spacing w:val="0"/>
                <w:sz w:val="21"/>
                <w:szCs w:val="21"/>
                <w:lang w:val="en-US" w:eastAsia="zh-CN"/>
              </w:rPr>
            </w:pPr>
            <w:r>
              <w:rPr>
                <w:rStyle w:val="11"/>
                <w:rFonts w:hint="eastAsia"/>
                <w:i w:val="0"/>
                <w:color w:val="auto"/>
                <w:spacing w:val="0"/>
                <w:sz w:val="21"/>
                <w:szCs w:val="21"/>
                <w:lang w:val="en-US" w:eastAsia="zh-CN"/>
              </w:rPr>
              <w:t>在本次信用评价结果应用周期内，信用评价等级为AA级企业最多加分3次。对具有陕西省2021年度信用评价等级而无2022年度信用评价等级的企业，其2021年度信用评价等级延续1年，延续期加分次数与上一年累计加分次数不得超过3次。初次进入陕西省的施工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已使用信用评价结果加分次数以陕西省交通运输厅网站公布的加分应用情况为准。</w:t>
            </w:r>
          </w:p>
          <w:p>
            <w:pPr>
              <w:pStyle w:val="10"/>
              <w:shd w:val="clear" w:color="auto" w:fill="auto"/>
              <w:spacing w:before="0" w:after="0" w:line="240" w:lineRule="auto"/>
              <w:ind w:right="67" w:rightChars="32"/>
              <w:jc w:val="both"/>
              <w:rPr>
                <w:rFonts w:hint="eastAsia" w:ascii="宋体" w:hAnsi="宋体" w:eastAsia="宋体" w:cs="宋体"/>
                <w:b/>
                <w:bCs/>
                <w:kern w:val="0"/>
                <w:sz w:val="21"/>
                <w:szCs w:val="21"/>
                <w:vertAlign w:val="baseline"/>
                <w:lang w:val="en-US" w:eastAsia="zh-CN"/>
              </w:rPr>
            </w:pPr>
            <w:r>
              <w:rPr>
                <w:rStyle w:val="11"/>
                <w:rFonts w:hint="eastAsia"/>
                <w:i w:val="0"/>
                <w:color w:val="auto"/>
                <w:spacing w:val="0"/>
                <w:sz w:val="21"/>
                <w:szCs w:val="21"/>
                <w:lang w:val="en-US" w:eastAsia="zh-CN"/>
              </w:rPr>
              <w:t xml:space="preserve">    具有信用评价加分资格的投标人自行决定是否申请加分。申请加分时应按招标文件要求填报信用评价加分申请书，未填报申请书或申请书未按招标文件规定填报的投标人不予加分。减分按省交通运输厅文件及招标文件规定执行。</w:t>
            </w:r>
          </w:p>
        </w:tc>
      </w:tr>
    </w:tbl>
    <w:p>
      <w:pPr>
        <w:pStyle w:val="2"/>
        <w:jc w:val="both"/>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（三）评分因素、分值及评分方法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1.评分因素与</w:t>
      </w:r>
      <w:bookmarkStart w:id="9" w:name="OLE_LINK22"/>
      <w:r>
        <w:rPr>
          <w:rFonts w:hint="eastAsia" w:ascii="宋体" w:hAnsi="宋体" w:eastAsia="宋体" w:cs="黑体"/>
          <w:color w:val="auto"/>
          <w:kern w:val="0"/>
          <w:sz w:val="24"/>
          <w:szCs w:val="24"/>
          <w:highlight w:val="none"/>
          <w:lang w:val="en-US" w:eastAsia="zh-CN" w:bidi="ar-SA"/>
        </w:rPr>
        <w:t>分值构成</w:t>
      </w:r>
    </w:p>
    <w:bookmarkEnd w:id="9"/>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见评标办法前附表。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w:t>
      </w:r>
      <w:bookmarkStart w:id="10" w:name="OLE_LINK26"/>
      <w:r>
        <w:rPr>
          <w:rFonts w:hint="eastAsia" w:ascii="宋体" w:hAnsi="宋体" w:eastAsia="宋体" w:cs="黑体"/>
          <w:color w:val="auto"/>
          <w:kern w:val="0"/>
          <w:sz w:val="24"/>
          <w:szCs w:val="24"/>
          <w:highlight w:val="none"/>
          <w:lang w:val="en-US" w:eastAsia="zh-CN" w:bidi="ar-SA"/>
        </w:rPr>
        <w:t>评分标准</w:t>
      </w:r>
      <w:bookmarkEnd w:id="10"/>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bookmarkStart w:id="11" w:name="OLE_LINK27"/>
      <w:bookmarkStart w:id="12" w:name="OLE_LINK24"/>
      <w:r>
        <w:rPr>
          <w:rFonts w:hint="eastAsia" w:ascii="宋体" w:hAnsi="宋体" w:eastAsia="宋体" w:cs="黑体"/>
          <w:color w:val="auto"/>
          <w:kern w:val="0"/>
          <w:sz w:val="24"/>
          <w:szCs w:val="24"/>
          <w:highlight w:val="none"/>
          <w:lang w:val="en-US" w:eastAsia="zh-CN" w:bidi="ar-SA"/>
        </w:rPr>
        <w:t>（1）评标价得分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见评标办法前附表。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（2）信用评价得分</w:t>
      </w:r>
    </w:p>
    <w:bookmarkEnd w:id="11"/>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见评标办法前附表。</w:t>
      </w:r>
    </w:p>
    <w:bookmarkEnd w:id="12"/>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3.综合得分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bookmarkStart w:id="13" w:name="OLE_LINK28"/>
      <w:r>
        <w:rPr>
          <w:rFonts w:hint="eastAsia" w:ascii="宋体" w:hAnsi="宋体" w:eastAsia="宋体" w:cs="黑体"/>
          <w:color w:val="auto"/>
          <w:kern w:val="0"/>
          <w:sz w:val="24"/>
          <w:szCs w:val="24"/>
          <w:highlight w:val="none"/>
          <w:lang w:val="en-US" w:eastAsia="zh-CN" w:bidi="ar-SA"/>
        </w:rPr>
        <w:t>综合得分=评标价得分+信用评价得分</w:t>
      </w:r>
      <w:bookmarkEnd w:id="13"/>
      <w:r>
        <w:rPr>
          <w:rFonts w:hint="eastAsia" w:ascii="宋体" w:hAnsi="宋体" w:eastAsia="宋体" w:cs="黑体"/>
          <w:color w:val="auto"/>
          <w:kern w:val="0"/>
          <w:sz w:val="24"/>
          <w:szCs w:val="24"/>
          <w:highlight w:val="none"/>
          <w:lang w:val="en-US" w:eastAsia="zh-CN" w:bidi="ar-SA"/>
        </w:rPr>
        <w:t>。</w:t>
      </w:r>
    </w:p>
    <w:p>
      <w:pPr>
        <w:pStyle w:val="2"/>
        <w:ind w:firstLine="281" w:firstLineChars="100"/>
        <w:jc w:val="both"/>
        <w:rPr>
          <w:rFonts w:hint="eastAsia" w:ascii="宋体" w:hAnsi="宋体" w:eastAsia="宋体" w:cs="黑体"/>
          <w:b/>
          <w:color w:val="auto"/>
          <w:kern w:val="0"/>
          <w:sz w:val="28"/>
          <w:szCs w:val="28"/>
          <w:lang w:val="en-US" w:eastAsia="zh-CN" w:bidi="ar-SA"/>
        </w:rPr>
      </w:pPr>
      <w:r>
        <w:rPr>
          <w:rFonts w:hint="eastAsia" w:ascii="宋体" w:hAnsi="宋体" w:eastAsia="宋体" w:cs="黑体"/>
          <w:b/>
          <w:color w:val="auto"/>
          <w:kern w:val="0"/>
          <w:sz w:val="28"/>
          <w:szCs w:val="28"/>
          <w:lang w:val="en-US" w:eastAsia="zh-CN" w:bidi="ar-SA"/>
        </w:rPr>
        <w:t>（四）投标文件相关信息的核查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1.在评标过程中，评标委员会应按招标文件要求查询有关交通运输主管部门“公路建设市场信用信息管理系统”，对投标人的资质、业绩、主要人员资历和目前在岗情况、信用等级等信息进行核实。若投标文件载明的信息与其中发布的信息不符，使得投标人的资格条件不符合招标文件规定的，评标委员会应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2.评标委员会对资格审查条件要求的建造师注册证书、安全生产考核合格证书，在政府相关部门网站中进行核实。若投标文件载明的信息与其中发布的信息不符，使得投标人的资格条件不符合招标文件规定的，评标委员会将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3.评标委员会对投标人信誉情况在“国家企业信用信息公示系统”及“信用中国”网站进行核查，若投标人在“国家企业信用信息公示系统”中被列入严重违法失信企业名单或在“信用中国”网站中被列入失信被执行人名单，评标委员会将否决其投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_GB2312"/>
          <w:color w:val="auto"/>
          <w:sz w:val="32"/>
          <w:szCs w:val="32"/>
        </w:rPr>
      </w:pPr>
      <w:r>
        <w:rPr>
          <w:rFonts w:hint="eastAsia" w:ascii="宋体" w:hAnsi="宋体" w:eastAsia="宋体" w:cs="黑体"/>
          <w:color w:val="auto"/>
          <w:kern w:val="0"/>
          <w:sz w:val="24"/>
          <w:szCs w:val="24"/>
          <w:highlight w:val="none"/>
          <w:lang w:val="en-US" w:eastAsia="zh-CN" w:bidi="ar-SA"/>
        </w:rPr>
        <w:t>4.评标委员会对在评标过程中发现的投标人与投标人之间、投标人与招标人之间存在的串通投标的情形进行评审和认定。投标人存在串通投标、弄虚作假、行贿等违法行为的，评标委员会将否决其投标。</w:t>
      </w:r>
    </w:p>
    <w:p>
      <w:pPr>
        <w:pStyle w:val="9"/>
        <w:shd w:val="clear" w:color="auto" w:fill="auto"/>
        <w:tabs>
          <w:tab w:val="left" w:leader="underscore" w:pos="3528"/>
          <w:tab w:val="left" w:leader="underscore" w:pos="7357"/>
        </w:tabs>
        <w:spacing w:before="0" w:after="0" w:line="360" w:lineRule="auto"/>
        <w:ind w:firstLine="562" w:firstLineChars="200"/>
        <w:jc w:val="both"/>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b/>
          <w:color w:val="auto"/>
          <w:kern w:val="0"/>
          <w:sz w:val="28"/>
          <w:szCs w:val="28"/>
          <w:lang w:val="en-US" w:eastAsia="zh-CN" w:bidi="ar-SA"/>
        </w:rPr>
        <w:t>（五）</w:t>
      </w:r>
      <w:r>
        <w:rPr>
          <w:rFonts w:hint="eastAsia" w:ascii="宋体" w:hAnsi="宋体" w:eastAsia="宋体" w:cs="黑体"/>
          <w:color w:val="auto"/>
          <w:kern w:val="0"/>
          <w:sz w:val="24"/>
          <w:szCs w:val="24"/>
          <w:highlight w:val="none"/>
          <w:lang w:val="en-US" w:eastAsia="zh-CN" w:bidi="ar-SA"/>
        </w:rPr>
        <w:t>评标办法正文详见中华人民共和国交通运输部《公路工程标准施工招标文件（2018年版·第一册）》相应内容。</w:t>
      </w:r>
    </w:p>
    <w:p>
      <w:pPr>
        <w:pStyle w:val="9"/>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cs="黑体"/>
          <w:b/>
          <w:kern w:val="0"/>
          <w:sz w:val="28"/>
          <w:szCs w:val="28"/>
          <w:lang w:val="en-US" w:eastAsia="zh-CN" w:bidi="ar-SA"/>
        </w:rPr>
      </w:pPr>
      <w:r>
        <w:rPr>
          <w:rFonts w:hint="eastAsia" w:ascii="宋体" w:hAnsi="宋体" w:eastAsia="宋体" w:cs="黑体"/>
          <w:b/>
          <w:kern w:val="0"/>
          <w:sz w:val="28"/>
          <w:szCs w:val="28"/>
          <w:lang w:val="en-US" w:eastAsia="zh-CN" w:bidi="ar-SA"/>
        </w:rPr>
        <w:t>四.招标人联系方式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招标人：陕西交通控股集团有限公司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地址：西安市太白南路9号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邮编：710065</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联系人：冯先生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黑体"/>
          <w:color w:val="auto"/>
          <w:kern w:val="0"/>
          <w:sz w:val="24"/>
          <w:szCs w:val="24"/>
          <w:highlight w:val="none"/>
          <w:lang w:val="en-US" w:eastAsia="zh-CN" w:bidi="ar-SA"/>
        </w:rPr>
      </w:pPr>
      <w:r>
        <w:rPr>
          <w:rFonts w:hint="eastAsia" w:ascii="宋体" w:hAnsi="宋体" w:eastAsia="宋体" w:cs="黑体"/>
          <w:color w:val="auto"/>
          <w:kern w:val="0"/>
          <w:sz w:val="24"/>
          <w:szCs w:val="24"/>
          <w:highlight w:val="none"/>
          <w:lang w:val="en-US" w:eastAsia="zh-CN" w:bidi="ar-SA"/>
        </w:rPr>
        <w:t>电话：15509118396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436538"/>
    <w:multiLevelType w:val="singleLevel"/>
    <w:tmpl w:val="65436538"/>
    <w:lvl w:ilvl="0" w:tentative="0">
      <w:start w:val="2"/>
      <w:numFmt w:val="decimal"/>
      <w:suff w:val="nothing"/>
      <w:lvlText w:val="（%1）"/>
      <w:lvlJc w:val="left"/>
    </w:lvl>
  </w:abstractNum>
  <w:abstractNum w:abstractNumId="1">
    <w:nsid w:val="65445FF7"/>
    <w:multiLevelType w:val="singleLevel"/>
    <w:tmpl w:val="65445FF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000000"/>
    <w:rsid w:val="03866278"/>
    <w:rsid w:val="0CA5180B"/>
    <w:rsid w:val="0EE04D7C"/>
    <w:rsid w:val="12EC7649"/>
    <w:rsid w:val="144E68DC"/>
    <w:rsid w:val="1B645889"/>
    <w:rsid w:val="20326BF2"/>
    <w:rsid w:val="3421051B"/>
    <w:rsid w:val="3A575A8B"/>
    <w:rsid w:val="417D1988"/>
    <w:rsid w:val="454C2B1F"/>
    <w:rsid w:val="4BF268BF"/>
    <w:rsid w:val="50F419E6"/>
    <w:rsid w:val="5E6068C1"/>
    <w:rsid w:val="6940054A"/>
    <w:rsid w:val="7A9F2A9C"/>
    <w:rsid w:val="7FB34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宋体"/>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pPr>
      <w:jc w:val="center"/>
    </w:pPr>
    <w:rPr>
      <w:color w:val="FF0000"/>
      <w:sz w:val="72"/>
    </w:rPr>
  </w:style>
  <w:style w:type="paragraph" w:styleId="3">
    <w:name w:val="toa heading"/>
    <w:basedOn w:val="1"/>
    <w:next w:val="1"/>
    <w:unhideWhenUsed/>
    <w:qFormat/>
    <w:uiPriority w:val="0"/>
    <w:rPr>
      <w:rFonts w:ascii="Arial" w:hAnsi="Arial"/>
      <w:sz w:val="24"/>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正文文本5"/>
    <w:basedOn w:val="1"/>
    <w:qFormat/>
    <w:uiPriority w:val="0"/>
    <w:pPr>
      <w:shd w:val="clear" w:color="auto" w:fill="FFFFFF"/>
      <w:spacing w:before="120" w:after="240" w:line="0" w:lineRule="atLeast"/>
      <w:jc w:val="center"/>
    </w:pPr>
    <w:rPr>
      <w:rFonts w:ascii="黑体" w:hAnsi="黑体" w:eastAsia="黑体" w:cs="黑体"/>
    </w:rPr>
  </w:style>
  <w:style w:type="paragraph" w:customStyle="1" w:styleId="10">
    <w:name w:val="正文文本11"/>
    <w:basedOn w:val="1"/>
    <w:link w:val="12"/>
    <w:qFormat/>
    <w:uiPriority w:val="0"/>
    <w:pPr>
      <w:shd w:val="clear" w:color="auto" w:fill="FFFFFF"/>
      <w:spacing w:before="120" w:after="300" w:line="0" w:lineRule="atLeast"/>
      <w:jc w:val="center"/>
    </w:pPr>
    <w:rPr>
      <w:rFonts w:ascii="宋体" w:hAnsi="宋体" w:eastAsia="宋体" w:cs="宋体"/>
      <w:sz w:val="23"/>
      <w:szCs w:val="23"/>
    </w:rPr>
  </w:style>
  <w:style w:type="character" w:customStyle="1" w:styleId="11">
    <w:name w:val="正文文本 + 12.5 pt"/>
    <w:basedOn w:val="12"/>
    <w:qFormat/>
    <w:uiPriority w:val="0"/>
    <w:rPr>
      <w:rFonts w:ascii="宋体" w:hAnsi="宋体" w:eastAsia="宋体" w:cs="宋体"/>
      <w:i/>
      <w:iCs/>
      <w:color w:val="000000"/>
      <w:spacing w:val="-20"/>
      <w:w w:val="100"/>
      <w:position w:val="0"/>
      <w:sz w:val="25"/>
      <w:szCs w:val="25"/>
      <w:shd w:val="clear" w:color="auto" w:fill="FFFFFF"/>
    </w:rPr>
  </w:style>
  <w:style w:type="character" w:customStyle="1" w:styleId="12">
    <w:name w:val="正文文本_"/>
    <w:basedOn w:val="7"/>
    <w:link w:val="10"/>
    <w:qFormat/>
    <w:uiPriority w:val="0"/>
    <w:rPr>
      <w:rFonts w:ascii="宋体" w:hAnsi="宋体" w:eastAsia="宋体" w:cs="宋体"/>
      <w:sz w:val="23"/>
      <w:szCs w:val="23"/>
    </w:rPr>
  </w:style>
  <w:style w:type="character" w:customStyle="1" w:styleId="13">
    <w:name w:val="正文文本 + MS Gothic"/>
    <w:basedOn w:val="12"/>
    <w:qFormat/>
    <w:uiPriority w:val="0"/>
    <w:rPr>
      <w:rFonts w:ascii="MS Gothic" w:hAnsi="MS Gothic" w:eastAsia="MS Gothic" w:cs="MS Gothic"/>
      <w:color w:val="000000"/>
      <w:spacing w:val="0"/>
      <w:w w:val="100"/>
      <w:position w:val="0"/>
      <w:sz w:val="15"/>
      <w:szCs w:val="15"/>
      <w:shd w:val="clear" w:color="auto" w:fill="FFFFFF"/>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2023-11-01T06:19:00Z</dcterms:created>
  <dc:creator>HP</dc:creator>
  <cp:lastModifiedBy>仵晓煜</cp:lastModifiedBy>
  <dcterms:modified xsi:type="dcterms:W3CDTF">2023-12-05T03:47:32Z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17A4AAD3484047039816B5A30D566CB0_12</vt:lpwstr>
  </property>
</Properties>
</file>