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78"/>
        </w:tabs>
        <w:spacing w:line="360" w:lineRule="auto"/>
        <w:jc w:val="center"/>
        <w:rPr>
          <w:rFonts w:ascii="宋体" w:hAnsi="宋体"/>
          <w:b/>
          <w:bCs/>
          <w:sz w:val="36"/>
          <w:szCs w:val="36"/>
        </w:rPr>
      </w:pPr>
      <w:r>
        <w:rPr>
          <w:rFonts w:ascii="宋体" w:hAnsi="宋体"/>
          <w:b/>
          <w:bCs/>
          <w:sz w:val="36"/>
          <w:szCs w:val="36"/>
        </w:rPr>
        <w:t>国家高速公路</w:t>
      </w:r>
      <w:r>
        <w:rPr>
          <w:rFonts w:hint="eastAsia" w:ascii="宋体" w:hAnsi="宋体"/>
          <w:b/>
          <w:bCs/>
          <w:sz w:val="36"/>
          <w:szCs w:val="36"/>
        </w:rPr>
        <w:t>网（</w:t>
      </w:r>
      <w:r>
        <w:rPr>
          <w:b/>
          <w:bCs/>
          <w:sz w:val="36"/>
          <w:szCs w:val="36"/>
        </w:rPr>
        <w:t>G69</w:t>
      </w:r>
      <w:r>
        <w:rPr>
          <w:b/>
          <w:bCs/>
          <w:sz w:val="36"/>
          <w:szCs w:val="36"/>
          <w:vertAlign w:val="subscript"/>
        </w:rPr>
        <w:t>11</w:t>
      </w:r>
      <w:r>
        <w:rPr>
          <w:rFonts w:hint="eastAsia" w:ascii="宋体" w:hAnsi="宋体"/>
          <w:b/>
          <w:bCs/>
          <w:sz w:val="36"/>
          <w:szCs w:val="36"/>
        </w:rPr>
        <w:t>）安来</w:t>
      </w:r>
      <w:r>
        <w:rPr>
          <w:rFonts w:ascii="宋体" w:hAnsi="宋体"/>
          <w:b/>
          <w:bCs/>
          <w:sz w:val="36"/>
          <w:szCs w:val="36"/>
        </w:rPr>
        <w:t>线</w:t>
      </w:r>
    </w:p>
    <w:p>
      <w:pPr>
        <w:tabs>
          <w:tab w:val="left" w:pos="1778"/>
        </w:tabs>
        <w:spacing w:line="360" w:lineRule="auto"/>
        <w:jc w:val="center"/>
        <w:rPr>
          <w:rFonts w:ascii="宋体" w:hAnsi="宋体"/>
          <w:b/>
          <w:sz w:val="36"/>
          <w:szCs w:val="36"/>
        </w:rPr>
      </w:pPr>
      <w:r>
        <w:rPr>
          <w:rFonts w:hint="eastAsia" w:ascii="宋体" w:hAnsi="宋体"/>
          <w:b/>
          <w:sz w:val="36"/>
          <w:szCs w:val="36"/>
        </w:rPr>
        <w:t>平利至镇坪高速公路路面工程施工招标公告</w:t>
      </w:r>
    </w:p>
    <w:p>
      <w:pPr>
        <w:tabs>
          <w:tab w:val="left" w:pos="1778"/>
        </w:tabs>
        <w:spacing w:line="400" w:lineRule="exact"/>
        <w:ind w:firstLine="480" w:firstLineChars="200"/>
        <w:rPr>
          <w:sz w:val="24"/>
        </w:rPr>
      </w:pPr>
    </w:p>
    <w:p>
      <w:pPr>
        <w:spacing w:line="360" w:lineRule="auto"/>
        <w:ind w:firstLine="482" w:firstLineChars="200"/>
        <w:rPr>
          <w:b/>
          <w:color w:val="000000"/>
          <w:sz w:val="24"/>
        </w:rPr>
      </w:pPr>
      <w:r>
        <w:rPr>
          <w:b/>
          <w:color w:val="000000"/>
          <w:sz w:val="24"/>
        </w:rPr>
        <w:t>1.招标条件</w:t>
      </w:r>
    </w:p>
    <w:p>
      <w:pPr>
        <w:spacing w:line="520" w:lineRule="exact"/>
        <w:ind w:firstLine="480" w:firstLineChars="200"/>
        <w:rPr>
          <w:color w:val="000000"/>
          <w:sz w:val="24"/>
        </w:rPr>
      </w:pPr>
      <w:r>
        <w:rPr>
          <w:rFonts w:hint="eastAsia"/>
          <w:color w:val="000000"/>
          <w:sz w:val="24"/>
        </w:rPr>
        <w:t>本招标项目</w:t>
      </w:r>
      <w:r>
        <w:rPr>
          <w:color w:val="000000"/>
          <w:sz w:val="24"/>
        </w:rPr>
        <w:t>平利至镇坪高速公路已由国家发展</w:t>
      </w:r>
      <w:r>
        <w:rPr>
          <w:rFonts w:hint="eastAsia"/>
          <w:color w:val="000000"/>
          <w:sz w:val="24"/>
        </w:rPr>
        <w:t>和</w:t>
      </w:r>
      <w:r>
        <w:rPr>
          <w:color w:val="000000"/>
          <w:sz w:val="24"/>
        </w:rPr>
        <w:t>改革委员会以《关于陕西省平利至镇坪（陕渝界）公路可行性研究报告的批复》（发改基础[2016]2084号）批准建设，交通运输部以《关于陕西省平利至镇坪（陕渝界）公路初步设计的批复》（交公路函[2017]72号）对初步设计进行了批复，陕西省交通运输厅以《关于平利至镇坪高速公路施工图设计的批复》（陕交函[2017]585号）对施工图设计进行了批复。项目业主为陕西省交通建设集团公司，建设资金来自国家补助、企业自筹和国内银行贷款</w:t>
      </w:r>
      <w:r>
        <w:rPr>
          <w:rFonts w:hint="eastAsia"/>
          <w:color w:val="000000"/>
          <w:sz w:val="24"/>
        </w:rPr>
        <w:t>，招标人为</w:t>
      </w:r>
      <w:r>
        <w:rPr>
          <w:color w:val="000000"/>
          <w:sz w:val="24"/>
        </w:rPr>
        <w:t>陕西省交通建设集团公司。项目已具备招标条件，现对</w:t>
      </w:r>
      <w:r>
        <w:rPr>
          <w:rFonts w:hint="eastAsia"/>
          <w:color w:val="000000"/>
          <w:sz w:val="24"/>
        </w:rPr>
        <w:t>该项目的</w:t>
      </w:r>
      <w:r>
        <w:rPr>
          <w:color w:val="000000"/>
          <w:sz w:val="24"/>
        </w:rPr>
        <w:t>路面工程施工进行公开招标。</w:t>
      </w:r>
    </w:p>
    <w:p>
      <w:pPr>
        <w:spacing w:line="520" w:lineRule="exact"/>
        <w:ind w:firstLine="482" w:firstLineChars="200"/>
        <w:rPr>
          <w:b/>
          <w:color w:val="000000"/>
          <w:sz w:val="24"/>
        </w:rPr>
      </w:pPr>
      <w:r>
        <w:rPr>
          <w:b/>
          <w:color w:val="000000"/>
          <w:sz w:val="24"/>
        </w:rPr>
        <w:t>2.项目概况与招标范围</w:t>
      </w:r>
    </w:p>
    <w:p>
      <w:pPr>
        <w:spacing w:line="520" w:lineRule="exact"/>
        <w:ind w:firstLine="480" w:firstLineChars="200"/>
        <w:rPr>
          <w:color w:val="000000"/>
          <w:sz w:val="24"/>
        </w:rPr>
      </w:pPr>
      <w:r>
        <w:rPr>
          <w:color w:val="000000"/>
          <w:sz w:val="24"/>
        </w:rPr>
        <w:t>2.1项目概况</w:t>
      </w:r>
    </w:p>
    <w:p>
      <w:pPr>
        <w:spacing w:line="520" w:lineRule="exact"/>
        <w:ind w:firstLine="480" w:firstLineChars="200"/>
        <w:rPr>
          <w:sz w:val="24"/>
        </w:rPr>
      </w:pPr>
      <w:bookmarkStart w:id="0" w:name="_Hlk521678813"/>
      <w:bookmarkStart w:id="1" w:name="_Hlk523412324"/>
      <w:r>
        <w:rPr>
          <w:color w:val="000000"/>
          <w:sz w:val="24"/>
        </w:rPr>
        <w:t>平利至镇坪高速公路是安康至来凤高速公路的重要组成部分，路线起于安康市平利县，向南经镇坪至陕渝两省交界，与重庆市规划的陕渝界至巫溪高速公路相连，路线全长81.445公里。</w:t>
      </w:r>
      <w:bookmarkEnd w:id="0"/>
      <w:r>
        <w:rPr>
          <w:color w:val="000000"/>
          <w:sz w:val="24"/>
        </w:rPr>
        <w:t>采用双向四车道高速公路技术标准，设计速度80公里/小时，路基宽度25.5米。</w:t>
      </w:r>
      <w:bookmarkEnd w:id="1"/>
      <w:r>
        <w:rPr>
          <w:rFonts w:hint="eastAsia"/>
          <w:color w:val="000000"/>
          <w:sz w:val="24"/>
        </w:rPr>
        <w:t>本次招标路面工程主要包括主线和立交路面、服务区、收费广场路面、收费通道、沥青现场改性、路面排水及桥梁伸缩缝等工程。</w:t>
      </w:r>
    </w:p>
    <w:p>
      <w:pPr>
        <w:spacing w:line="520" w:lineRule="exact"/>
        <w:ind w:firstLine="480" w:firstLineChars="200"/>
        <w:rPr>
          <w:color w:val="000000"/>
          <w:sz w:val="24"/>
        </w:rPr>
      </w:pPr>
      <w:r>
        <w:rPr>
          <w:rFonts w:hint="eastAsia"/>
          <w:color w:val="000000"/>
          <w:sz w:val="24"/>
        </w:rPr>
        <w:t>2</w:t>
      </w:r>
      <w:r>
        <w:rPr>
          <w:color w:val="000000"/>
          <w:sz w:val="24"/>
        </w:rPr>
        <w:t>.2</w:t>
      </w:r>
      <w:bookmarkStart w:id="2" w:name="_Hlk528166021"/>
      <w:r>
        <w:rPr>
          <w:bCs/>
          <w:sz w:val="24"/>
        </w:rPr>
        <w:t>根据《交通运输部关于陕西省平利至镇坪（陕渝界）公路初步设计的批复》（交公路函[2017]72号）文件要求，</w:t>
      </w:r>
      <w:r>
        <w:rPr>
          <w:rFonts w:hint="eastAsia"/>
          <w:bCs/>
          <w:sz w:val="24"/>
        </w:rPr>
        <w:t>本项目采用改进的传统模式进行管理。</w:t>
      </w:r>
      <w:bookmarkEnd w:id="2"/>
      <w:r>
        <w:rPr>
          <w:bCs/>
          <w:sz w:val="24"/>
        </w:rPr>
        <w:t>平利至镇坪高速公路全线设两个路面工程施工总监办，项目执行机构为平镇高速公路建设管理处。</w:t>
      </w:r>
    </w:p>
    <w:p>
      <w:pPr>
        <w:tabs>
          <w:tab w:val="left" w:pos="4228"/>
        </w:tabs>
        <w:spacing w:line="520" w:lineRule="exact"/>
        <w:ind w:firstLine="480" w:firstLineChars="200"/>
        <w:rPr>
          <w:color w:val="000000"/>
          <w:sz w:val="24"/>
        </w:rPr>
      </w:pPr>
      <w:r>
        <w:rPr>
          <w:color w:val="000000"/>
          <w:sz w:val="24"/>
        </w:rPr>
        <w:t>2.3标段划分、计划工期及招标范围</w:t>
      </w:r>
    </w:p>
    <w:p>
      <w:pPr>
        <w:tabs>
          <w:tab w:val="left" w:pos="4228"/>
        </w:tabs>
        <w:spacing w:line="520" w:lineRule="exact"/>
        <w:ind w:firstLine="480" w:firstLineChars="200"/>
        <w:rPr>
          <w:color w:val="000000"/>
          <w:sz w:val="24"/>
        </w:rPr>
      </w:pPr>
      <w:r>
        <w:rPr>
          <w:color w:val="000000"/>
          <w:sz w:val="24"/>
        </w:rPr>
        <w:t>本次路面工程施工招标分为1个组别2个标段，计划工期为529</w:t>
      </w:r>
      <w:r>
        <w:rPr>
          <w:rFonts w:hint="eastAsia"/>
          <w:color w:val="000000"/>
          <w:sz w:val="24"/>
        </w:rPr>
        <w:t>日历天</w:t>
      </w:r>
      <w:r>
        <w:rPr>
          <w:color w:val="000000"/>
          <w:sz w:val="24"/>
        </w:rPr>
        <w:t>，缺陷责任期24个月。</w:t>
      </w:r>
      <w:r>
        <w:rPr>
          <w:rFonts w:hint="eastAsia"/>
          <w:color w:val="000000"/>
          <w:sz w:val="24"/>
        </w:rPr>
        <w:t>计划2</w:t>
      </w:r>
      <w:r>
        <w:rPr>
          <w:color w:val="000000"/>
          <w:sz w:val="24"/>
        </w:rPr>
        <w:t>019</w:t>
      </w:r>
      <w:r>
        <w:rPr>
          <w:rFonts w:hint="eastAsia"/>
          <w:color w:val="000000"/>
          <w:sz w:val="24"/>
        </w:rPr>
        <w:t>年3月1日开工，2</w:t>
      </w:r>
      <w:r>
        <w:rPr>
          <w:color w:val="000000"/>
          <w:sz w:val="24"/>
        </w:rPr>
        <w:t>020</w:t>
      </w:r>
      <w:r>
        <w:rPr>
          <w:rFonts w:hint="eastAsia"/>
          <w:color w:val="000000"/>
          <w:sz w:val="24"/>
        </w:rPr>
        <w:t>年8月1</w:t>
      </w:r>
      <w:r>
        <w:rPr>
          <w:color w:val="000000"/>
          <w:sz w:val="24"/>
        </w:rPr>
        <w:t>0</w:t>
      </w:r>
      <w:r>
        <w:rPr>
          <w:rFonts w:hint="eastAsia"/>
          <w:color w:val="000000"/>
          <w:sz w:val="24"/>
        </w:rPr>
        <w:t>日交工。</w:t>
      </w:r>
    </w:p>
    <w:p>
      <w:pPr>
        <w:tabs>
          <w:tab w:val="left" w:pos="4228"/>
        </w:tabs>
        <w:spacing w:line="520" w:lineRule="exact"/>
        <w:ind w:firstLine="480" w:firstLineChars="200"/>
        <w:rPr>
          <w:color w:val="000000"/>
          <w:sz w:val="24"/>
        </w:rPr>
      </w:pPr>
      <w:r>
        <w:rPr>
          <w:rFonts w:hint="eastAsia"/>
          <w:color w:val="000000"/>
          <w:sz w:val="24"/>
        </w:rPr>
        <w:t>路面工程施工</w:t>
      </w:r>
      <w:r>
        <w:rPr>
          <w:color w:val="000000"/>
          <w:sz w:val="24"/>
        </w:rPr>
        <w:t>标段划分及主要工程内容见下表。</w:t>
      </w:r>
    </w:p>
    <w:p>
      <w:pPr>
        <w:tabs>
          <w:tab w:val="left" w:pos="4228"/>
        </w:tabs>
        <w:spacing w:line="360" w:lineRule="auto"/>
        <w:jc w:val="center"/>
        <w:rPr>
          <w:b/>
          <w:color w:val="000000"/>
          <w:sz w:val="24"/>
        </w:rPr>
      </w:pPr>
      <w:r>
        <w:rPr>
          <w:b/>
          <w:color w:val="000000"/>
          <w:sz w:val="24"/>
        </w:rPr>
        <w:t>路面工程施工标段划分及主要工程内容一览表</w:t>
      </w:r>
    </w:p>
    <w:tbl>
      <w:tblPr>
        <w:tblStyle w:val="7"/>
        <w:tblW w:w="95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8"/>
        <w:gridCol w:w="696"/>
        <w:gridCol w:w="905"/>
        <w:gridCol w:w="1113"/>
        <w:gridCol w:w="5010"/>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blHeader/>
          <w:jc w:val="center"/>
        </w:trPr>
        <w:tc>
          <w:tcPr>
            <w:tcW w:w="668" w:type="dxa"/>
            <w:vAlign w:val="center"/>
          </w:tcPr>
          <w:p>
            <w:pPr>
              <w:spacing w:line="280" w:lineRule="exact"/>
              <w:jc w:val="center"/>
              <w:rPr>
                <w:color w:val="000000"/>
                <w:szCs w:val="21"/>
                <w:shd w:val="clear" w:color="FFFFFF" w:fill="auto"/>
              </w:rPr>
            </w:pPr>
            <w:r>
              <w:rPr>
                <w:color w:val="000000"/>
                <w:szCs w:val="21"/>
                <w:shd w:val="clear" w:color="FFFFFF" w:fill="auto"/>
              </w:rPr>
              <w:t>组别</w:t>
            </w:r>
          </w:p>
        </w:tc>
        <w:tc>
          <w:tcPr>
            <w:tcW w:w="696" w:type="dxa"/>
            <w:vAlign w:val="center"/>
          </w:tcPr>
          <w:p>
            <w:pPr>
              <w:spacing w:line="280" w:lineRule="exact"/>
              <w:jc w:val="center"/>
              <w:rPr>
                <w:color w:val="000000"/>
                <w:szCs w:val="21"/>
                <w:shd w:val="clear" w:color="FFFFFF" w:fill="auto"/>
              </w:rPr>
            </w:pPr>
            <w:r>
              <w:rPr>
                <w:color w:val="000000"/>
                <w:szCs w:val="21"/>
                <w:shd w:val="clear" w:color="FFFFFF" w:fill="auto"/>
              </w:rPr>
              <w:t>标段</w:t>
            </w:r>
          </w:p>
        </w:tc>
        <w:tc>
          <w:tcPr>
            <w:tcW w:w="905" w:type="dxa"/>
            <w:vAlign w:val="center"/>
          </w:tcPr>
          <w:p>
            <w:pPr>
              <w:spacing w:line="280" w:lineRule="exact"/>
              <w:jc w:val="center"/>
              <w:rPr>
                <w:color w:val="000000"/>
                <w:szCs w:val="21"/>
                <w:shd w:val="clear" w:color="FFFFFF" w:fill="auto"/>
              </w:rPr>
            </w:pPr>
            <w:r>
              <w:rPr>
                <w:color w:val="000000"/>
                <w:szCs w:val="21"/>
                <w:shd w:val="clear" w:color="FFFFFF" w:fill="auto"/>
              </w:rPr>
              <w:t>起讫</w:t>
            </w:r>
          </w:p>
          <w:p>
            <w:pPr>
              <w:spacing w:line="280" w:lineRule="exact"/>
              <w:jc w:val="center"/>
              <w:rPr>
                <w:color w:val="000000"/>
                <w:szCs w:val="21"/>
                <w:shd w:val="clear" w:color="FFFFFF" w:fill="auto"/>
              </w:rPr>
            </w:pPr>
            <w:r>
              <w:rPr>
                <w:color w:val="000000"/>
                <w:szCs w:val="21"/>
                <w:shd w:val="clear" w:color="FFFFFF" w:fill="auto"/>
              </w:rPr>
              <w:t>桩号</w:t>
            </w:r>
          </w:p>
        </w:tc>
        <w:tc>
          <w:tcPr>
            <w:tcW w:w="1113" w:type="dxa"/>
            <w:vAlign w:val="center"/>
          </w:tcPr>
          <w:p>
            <w:pPr>
              <w:spacing w:line="280" w:lineRule="exact"/>
              <w:jc w:val="center"/>
              <w:rPr>
                <w:color w:val="000000"/>
                <w:szCs w:val="21"/>
                <w:shd w:val="clear" w:color="FFFFFF" w:fill="auto"/>
              </w:rPr>
            </w:pPr>
            <w:r>
              <w:rPr>
                <w:color w:val="000000"/>
                <w:szCs w:val="21"/>
                <w:shd w:val="clear" w:color="FFFFFF" w:fill="auto"/>
              </w:rPr>
              <w:t>路线长度（km）</w:t>
            </w:r>
          </w:p>
        </w:tc>
        <w:tc>
          <w:tcPr>
            <w:tcW w:w="5010" w:type="dxa"/>
            <w:vAlign w:val="center"/>
          </w:tcPr>
          <w:p>
            <w:pPr>
              <w:spacing w:line="280" w:lineRule="exact"/>
              <w:jc w:val="center"/>
              <w:rPr>
                <w:color w:val="000000"/>
                <w:szCs w:val="21"/>
                <w:shd w:val="clear" w:color="FFFFFF" w:fill="auto"/>
              </w:rPr>
            </w:pPr>
            <w:r>
              <w:rPr>
                <w:color w:val="000000"/>
                <w:szCs w:val="21"/>
                <w:shd w:val="clear" w:color="FFFFFF" w:fill="auto"/>
              </w:rPr>
              <w:t>工程内容</w:t>
            </w:r>
          </w:p>
        </w:tc>
        <w:tc>
          <w:tcPr>
            <w:tcW w:w="1134" w:type="dxa"/>
            <w:vAlign w:val="center"/>
          </w:tcPr>
          <w:p>
            <w:pPr>
              <w:spacing w:line="280" w:lineRule="exact"/>
              <w:jc w:val="center"/>
              <w:rPr>
                <w:color w:val="000000"/>
                <w:szCs w:val="21"/>
                <w:shd w:val="clear" w:color="FFFFFF" w:fill="auto"/>
              </w:rPr>
            </w:pPr>
            <w:r>
              <w:rPr>
                <w:color w:val="000000"/>
                <w:szCs w:val="21"/>
                <w:shd w:val="clear" w:color="FFFFFF" w:fill="auto"/>
              </w:rPr>
              <w:t>计划工期</w:t>
            </w:r>
          </w:p>
          <w:p>
            <w:pPr>
              <w:spacing w:line="280" w:lineRule="exact"/>
              <w:jc w:val="center"/>
              <w:rPr>
                <w:color w:val="000000"/>
                <w:szCs w:val="21"/>
                <w:shd w:val="clear" w:color="FFFFFF" w:fill="auto"/>
              </w:rPr>
            </w:pPr>
            <w:r>
              <w:rPr>
                <w:color w:val="000000"/>
                <w:szCs w:val="21"/>
                <w:shd w:val="clear" w:color="FFFFFF" w:fill="auto"/>
              </w:rPr>
              <w:t>（</w:t>
            </w:r>
            <w:r>
              <w:rPr>
                <w:rFonts w:hint="eastAsia"/>
                <w:color w:val="000000"/>
                <w:szCs w:val="21"/>
                <w:shd w:val="clear" w:color="FFFFFF" w:fill="auto"/>
              </w:rPr>
              <w:t>日历天</w:t>
            </w:r>
            <w:r>
              <w:rPr>
                <w:color w:val="000000"/>
                <w:szCs w:val="21"/>
                <w:shd w:val="clear" w:color="FFFFFF" w:fil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56" w:hRule="atLeast"/>
          <w:jc w:val="center"/>
        </w:trPr>
        <w:tc>
          <w:tcPr>
            <w:tcW w:w="668" w:type="dxa"/>
            <w:vMerge w:val="restart"/>
            <w:vAlign w:val="center"/>
          </w:tcPr>
          <w:p>
            <w:pPr>
              <w:spacing w:line="280" w:lineRule="exact"/>
              <w:jc w:val="center"/>
              <w:rPr>
                <w:color w:val="000000"/>
                <w:sz w:val="18"/>
                <w:szCs w:val="18"/>
                <w:shd w:val="clear" w:color="FFFFFF" w:fill="auto"/>
              </w:rPr>
            </w:pPr>
            <w:r>
              <w:rPr>
                <w:color w:val="000000"/>
                <w:sz w:val="18"/>
                <w:szCs w:val="18"/>
                <w:shd w:val="clear" w:color="FFFFFF" w:fill="auto"/>
              </w:rPr>
              <w:t>A</w:t>
            </w:r>
          </w:p>
        </w:tc>
        <w:tc>
          <w:tcPr>
            <w:tcW w:w="696" w:type="dxa"/>
            <w:vAlign w:val="center"/>
          </w:tcPr>
          <w:p>
            <w:pPr>
              <w:spacing w:line="280" w:lineRule="exact"/>
              <w:jc w:val="center"/>
              <w:rPr>
                <w:color w:val="000000"/>
                <w:sz w:val="18"/>
                <w:szCs w:val="18"/>
                <w:shd w:val="clear" w:color="FFFFFF" w:fill="auto"/>
              </w:rPr>
            </w:pPr>
            <w:r>
              <w:rPr>
                <w:color w:val="000000"/>
                <w:sz w:val="18"/>
                <w:szCs w:val="18"/>
                <w:shd w:val="clear" w:color="FFFFFF" w:fill="auto"/>
              </w:rPr>
              <w:t>LM-1</w:t>
            </w:r>
          </w:p>
        </w:tc>
        <w:tc>
          <w:tcPr>
            <w:tcW w:w="905" w:type="dxa"/>
            <w:vAlign w:val="center"/>
          </w:tcPr>
          <w:p>
            <w:pPr>
              <w:spacing w:line="280" w:lineRule="exact"/>
              <w:rPr>
                <w:color w:val="000000"/>
                <w:sz w:val="18"/>
                <w:szCs w:val="18"/>
                <w:shd w:val="clear" w:color="FFFFFF" w:fill="auto"/>
              </w:rPr>
            </w:pPr>
            <w:r>
              <w:rPr>
                <w:color w:val="000000"/>
                <w:sz w:val="18"/>
                <w:szCs w:val="18"/>
                <w:shd w:val="clear" w:color="FFFFFF" w:fill="auto"/>
              </w:rPr>
              <w:t>K0+000～K42+064</w:t>
            </w:r>
          </w:p>
        </w:tc>
        <w:tc>
          <w:tcPr>
            <w:tcW w:w="1113" w:type="dxa"/>
            <w:vAlign w:val="center"/>
          </w:tcPr>
          <w:p>
            <w:pPr>
              <w:spacing w:line="280" w:lineRule="exact"/>
              <w:jc w:val="center"/>
              <w:rPr>
                <w:color w:val="000000"/>
                <w:sz w:val="18"/>
                <w:szCs w:val="18"/>
                <w:shd w:val="clear" w:color="FFFFFF" w:fill="auto"/>
              </w:rPr>
            </w:pPr>
            <w:r>
              <w:rPr>
                <w:color w:val="000000"/>
                <w:sz w:val="18"/>
                <w:szCs w:val="18"/>
                <w:shd w:val="clear" w:color="FFFFFF" w:fill="auto"/>
              </w:rPr>
              <w:t>42.06</w:t>
            </w:r>
          </w:p>
        </w:tc>
        <w:tc>
          <w:tcPr>
            <w:tcW w:w="5010" w:type="dxa"/>
            <w:vAlign w:val="center"/>
          </w:tcPr>
          <w:p>
            <w:pPr>
              <w:spacing w:line="280" w:lineRule="exact"/>
              <w:rPr>
                <w:sz w:val="18"/>
                <w:szCs w:val="18"/>
                <w:shd w:val="clear" w:color="FFFFFF" w:fill="auto"/>
              </w:rPr>
            </w:pPr>
            <w:r>
              <w:rPr>
                <w:sz w:val="18"/>
                <w:szCs w:val="18"/>
                <w:shd w:val="clear" w:color="FFFFFF" w:fill="auto"/>
              </w:rPr>
              <w:t>路面工程量包括：4cm厚AC-13改性沥青混凝土上面层959.38千平方米，6cm厚AC-20改性沥青混凝土中面层959.38千平方米，10cm厚ATB-30沥青级配碎石下面层298.10千平方米；36cm厚水泥稳定碎石基层244.37千平方米；18cm厚水泥稳定碎石基层237.52千平方米；20cm厚水泥稳定碎石基层159.68千平方米；26cm聚丙烯纤维混凝土路面26.2千平方米</w:t>
            </w:r>
          </w:p>
          <w:p>
            <w:pPr>
              <w:spacing w:line="280" w:lineRule="exact"/>
              <w:rPr>
                <w:sz w:val="18"/>
                <w:szCs w:val="18"/>
                <w:shd w:val="clear" w:color="FFFFFF" w:fill="auto"/>
              </w:rPr>
            </w:pPr>
            <w:r>
              <w:rPr>
                <w:sz w:val="18"/>
                <w:szCs w:val="18"/>
                <w:shd w:val="clear" w:color="FFFFFF" w:fill="auto"/>
              </w:rPr>
              <w:t>伸缩缝工程量包括：80型模数式伸缩缝3617.67m，160型单元式多向变位梳齿板式671.4m</w:t>
            </w:r>
          </w:p>
          <w:p>
            <w:pPr>
              <w:spacing w:line="280" w:lineRule="exact"/>
              <w:rPr>
                <w:sz w:val="18"/>
                <w:szCs w:val="18"/>
                <w:shd w:val="clear" w:color="FFFFFF" w:fill="auto"/>
              </w:rPr>
            </w:pPr>
            <w:r>
              <w:rPr>
                <w:sz w:val="18"/>
                <w:szCs w:val="18"/>
                <w:shd w:val="clear" w:color="FFFFFF" w:fill="auto"/>
              </w:rPr>
              <w:t>排水工程量包括：5689.5m</w:t>
            </w:r>
          </w:p>
          <w:p>
            <w:pPr>
              <w:spacing w:line="280" w:lineRule="exact"/>
              <w:rPr>
                <w:sz w:val="18"/>
                <w:szCs w:val="18"/>
                <w:shd w:val="clear" w:color="FFFFFF" w:fill="auto"/>
              </w:rPr>
            </w:pPr>
            <w:r>
              <w:rPr>
                <w:sz w:val="18"/>
                <w:szCs w:val="18"/>
                <w:shd w:val="clear" w:color="FFFFFF" w:fill="auto"/>
              </w:rPr>
              <w:t>现场加工改性沥青：A级90号桶装道路石油沥青12556吨</w:t>
            </w:r>
          </w:p>
        </w:tc>
        <w:tc>
          <w:tcPr>
            <w:tcW w:w="1134" w:type="dxa"/>
            <w:vAlign w:val="center"/>
          </w:tcPr>
          <w:p>
            <w:pPr>
              <w:spacing w:line="280" w:lineRule="exact"/>
              <w:jc w:val="center"/>
              <w:rPr>
                <w:sz w:val="18"/>
                <w:szCs w:val="18"/>
                <w:shd w:val="clear" w:color="FFFFFF" w:fill="auto"/>
              </w:rPr>
            </w:pPr>
            <w:r>
              <w:rPr>
                <w:sz w:val="18"/>
                <w:szCs w:val="18"/>
                <w:shd w:val="clear" w:color="FFFFFF" w:fill="auto"/>
              </w:rPr>
              <w:t>529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668" w:type="dxa"/>
            <w:vMerge w:val="continue"/>
            <w:vAlign w:val="center"/>
          </w:tcPr>
          <w:p>
            <w:pPr>
              <w:spacing w:line="280" w:lineRule="exact"/>
              <w:rPr>
                <w:color w:val="000000"/>
                <w:sz w:val="18"/>
                <w:szCs w:val="18"/>
                <w:shd w:val="clear" w:color="FFFFFF" w:fill="auto"/>
              </w:rPr>
            </w:pPr>
          </w:p>
        </w:tc>
        <w:tc>
          <w:tcPr>
            <w:tcW w:w="696" w:type="dxa"/>
            <w:vAlign w:val="center"/>
          </w:tcPr>
          <w:p>
            <w:pPr>
              <w:spacing w:line="280" w:lineRule="exact"/>
              <w:jc w:val="center"/>
              <w:rPr>
                <w:color w:val="000000"/>
                <w:sz w:val="18"/>
                <w:szCs w:val="18"/>
                <w:shd w:val="clear" w:color="FFFFFF" w:fill="auto"/>
              </w:rPr>
            </w:pPr>
            <w:r>
              <w:rPr>
                <w:color w:val="000000"/>
                <w:sz w:val="18"/>
                <w:szCs w:val="18"/>
                <w:shd w:val="clear" w:color="FFFFFF" w:fill="auto"/>
              </w:rPr>
              <w:t>LM-2</w:t>
            </w:r>
          </w:p>
        </w:tc>
        <w:tc>
          <w:tcPr>
            <w:tcW w:w="905" w:type="dxa"/>
            <w:vAlign w:val="center"/>
          </w:tcPr>
          <w:p>
            <w:pPr>
              <w:spacing w:line="280" w:lineRule="exact"/>
              <w:rPr>
                <w:sz w:val="18"/>
                <w:szCs w:val="18"/>
                <w:shd w:val="clear" w:color="FFFFFF" w:fill="auto"/>
              </w:rPr>
            </w:pPr>
            <w:r>
              <w:rPr>
                <w:sz w:val="18"/>
                <w:szCs w:val="18"/>
                <w:shd w:val="clear" w:color="FFFFFF" w:fill="auto"/>
              </w:rPr>
              <w:t>K42+064～K81+445</w:t>
            </w:r>
          </w:p>
        </w:tc>
        <w:tc>
          <w:tcPr>
            <w:tcW w:w="1113" w:type="dxa"/>
            <w:vAlign w:val="center"/>
          </w:tcPr>
          <w:p>
            <w:pPr>
              <w:spacing w:line="280" w:lineRule="exact"/>
              <w:jc w:val="center"/>
              <w:rPr>
                <w:sz w:val="18"/>
                <w:szCs w:val="18"/>
                <w:shd w:val="clear" w:color="FFFFFF" w:fill="auto"/>
              </w:rPr>
            </w:pPr>
            <w:r>
              <w:rPr>
                <w:sz w:val="18"/>
                <w:szCs w:val="18"/>
                <w:shd w:val="clear" w:color="FFFFFF" w:fill="auto"/>
              </w:rPr>
              <w:t>39.38</w:t>
            </w:r>
          </w:p>
        </w:tc>
        <w:tc>
          <w:tcPr>
            <w:tcW w:w="5010" w:type="dxa"/>
            <w:vAlign w:val="center"/>
          </w:tcPr>
          <w:p>
            <w:pPr>
              <w:spacing w:line="280" w:lineRule="exact"/>
              <w:rPr>
                <w:sz w:val="18"/>
                <w:szCs w:val="18"/>
                <w:shd w:val="clear" w:color="FFFFFF" w:fill="auto"/>
              </w:rPr>
            </w:pPr>
            <w:r>
              <w:rPr>
                <w:sz w:val="18"/>
                <w:szCs w:val="18"/>
                <w:shd w:val="clear" w:color="FFFFFF" w:fill="auto"/>
              </w:rPr>
              <w:t>路面工程量包括：4cm厚AC-13改性沥青混凝土上面层939.04千平方米，6cm厚AC-20改性沥青混凝土中面层939.04千平方米，10cm厚ATB-30沥青级配碎石下面层182.32千平方米，36cm厚水泥稳定碎石基层149.7千平方米，18cm厚水泥稳定碎石基层152.4千平方米，20cm厚水泥稳定碎石基层297.5千平方米；26cm聚丙烯纤维混凝土路面92.1千平方米</w:t>
            </w:r>
          </w:p>
          <w:p>
            <w:pPr>
              <w:spacing w:line="280" w:lineRule="exact"/>
              <w:rPr>
                <w:sz w:val="18"/>
                <w:szCs w:val="18"/>
                <w:shd w:val="clear" w:color="FFFFFF" w:fill="auto"/>
              </w:rPr>
            </w:pPr>
            <w:r>
              <w:rPr>
                <w:sz w:val="18"/>
                <w:szCs w:val="18"/>
                <w:shd w:val="clear" w:color="FFFFFF" w:fill="auto"/>
              </w:rPr>
              <w:t>伸缩缝工程量包括：80型模数式伸缩缝4931.5m，160型单元式多向变位梳齿板式1967.8m</w:t>
            </w:r>
          </w:p>
          <w:p>
            <w:pPr>
              <w:spacing w:line="280" w:lineRule="exact"/>
              <w:rPr>
                <w:sz w:val="18"/>
                <w:szCs w:val="18"/>
                <w:shd w:val="clear" w:color="FFFFFF" w:fill="auto"/>
              </w:rPr>
            </w:pPr>
            <w:r>
              <w:rPr>
                <w:sz w:val="18"/>
                <w:szCs w:val="18"/>
                <w:shd w:val="clear" w:color="FFFFFF" w:fill="auto"/>
              </w:rPr>
              <w:t>排水工程量包括：5087m</w:t>
            </w:r>
          </w:p>
          <w:p>
            <w:pPr>
              <w:spacing w:line="280" w:lineRule="exact"/>
              <w:rPr>
                <w:sz w:val="18"/>
                <w:szCs w:val="18"/>
                <w:highlight w:val="yellow"/>
                <w:shd w:val="clear" w:color="FFFFFF" w:fill="auto"/>
              </w:rPr>
            </w:pPr>
            <w:r>
              <w:rPr>
                <w:sz w:val="18"/>
                <w:szCs w:val="18"/>
                <w:shd w:val="clear" w:color="FFFFFF" w:fill="auto"/>
              </w:rPr>
              <w:t>现场加工改性沥青：A级90号桶装道路石油沥青12876吨</w:t>
            </w:r>
          </w:p>
        </w:tc>
        <w:tc>
          <w:tcPr>
            <w:tcW w:w="1134" w:type="dxa"/>
            <w:vAlign w:val="center"/>
          </w:tcPr>
          <w:p>
            <w:pPr>
              <w:spacing w:line="280" w:lineRule="exact"/>
              <w:jc w:val="center"/>
              <w:rPr>
                <w:sz w:val="18"/>
                <w:szCs w:val="18"/>
                <w:shd w:val="clear" w:color="FFFFFF" w:fill="auto"/>
              </w:rPr>
            </w:pPr>
            <w:r>
              <w:rPr>
                <w:sz w:val="18"/>
                <w:szCs w:val="18"/>
                <w:shd w:val="clear" w:color="FFFFFF" w:fill="auto"/>
              </w:rPr>
              <w:t>529</w:t>
            </w:r>
          </w:p>
        </w:tc>
      </w:tr>
    </w:tbl>
    <w:p>
      <w:pPr>
        <w:tabs>
          <w:tab w:val="left" w:pos="4228"/>
        </w:tabs>
        <w:spacing w:line="320" w:lineRule="exact"/>
        <w:rPr>
          <w:color w:val="000000"/>
          <w:szCs w:val="21"/>
        </w:rPr>
      </w:pPr>
      <w:r>
        <w:rPr>
          <w:color w:val="000000"/>
          <w:szCs w:val="21"/>
        </w:rPr>
        <w:t xml:space="preserve">注：以上各标段起点、终点桩号及工程量仅供参考。 </w:t>
      </w:r>
    </w:p>
    <w:p>
      <w:pPr>
        <w:spacing w:line="520" w:lineRule="exact"/>
        <w:ind w:firstLine="482" w:firstLineChars="200"/>
        <w:rPr>
          <w:b/>
          <w:color w:val="000000"/>
          <w:sz w:val="24"/>
        </w:rPr>
      </w:pPr>
      <w:r>
        <w:rPr>
          <w:b/>
          <w:color w:val="000000"/>
          <w:sz w:val="24"/>
        </w:rPr>
        <w:t>3.投标人资格要求</w:t>
      </w:r>
    </w:p>
    <w:p>
      <w:pPr>
        <w:spacing w:line="520" w:lineRule="exact"/>
        <w:ind w:firstLine="480" w:firstLineChars="200"/>
        <w:rPr>
          <w:color w:val="000000"/>
          <w:sz w:val="24"/>
        </w:rPr>
      </w:pPr>
      <w:bookmarkStart w:id="3" w:name="_Toc144974397"/>
      <w:r>
        <w:rPr>
          <w:color w:val="000000"/>
          <w:sz w:val="24"/>
        </w:rPr>
        <w:t>3.1 本次招标要求投标人具备下述各项资质</w:t>
      </w:r>
      <w:r>
        <w:rPr>
          <w:rFonts w:hint="eastAsia"/>
          <w:color w:val="000000"/>
          <w:sz w:val="24"/>
        </w:rPr>
        <w:t>、</w:t>
      </w:r>
      <w:r>
        <w:rPr>
          <w:color w:val="000000"/>
          <w:sz w:val="24"/>
        </w:rPr>
        <w:t>业绩要求，并在人员、设备、资金等方面具备相应的施工能力。</w:t>
      </w:r>
      <w:bookmarkEnd w:id="3"/>
    </w:p>
    <w:p>
      <w:pPr>
        <w:tabs>
          <w:tab w:val="left" w:pos="1778"/>
        </w:tabs>
        <w:spacing w:line="460" w:lineRule="exact"/>
        <w:ind w:firstLine="480" w:firstLineChars="200"/>
        <w:rPr>
          <w:color w:val="000000"/>
          <w:sz w:val="24"/>
        </w:rPr>
      </w:pPr>
      <w:r>
        <w:rPr>
          <w:color w:val="000000"/>
          <w:sz w:val="24"/>
        </w:rPr>
        <w:t>（1）资质要求</w:t>
      </w:r>
    </w:p>
    <w:tbl>
      <w:tblPr>
        <w:tblStyle w:val="7"/>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2"/>
        <w:gridCol w:w="726"/>
        <w:gridCol w:w="1222"/>
        <w:gridCol w:w="5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7" w:hRule="atLeast"/>
          <w:jc w:val="center"/>
        </w:trPr>
        <w:tc>
          <w:tcPr>
            <w:tcW w:w="972" w:type="dxa"/>
            <w:vAlign w:val="center"/>
          </w:tcPr>
          <w:p>
            <w:pPr>
              <w:tabs>
                <w:tab w:val="left" w:pos="1778"/>
              </w:tabs>
              <w:spacing w:line="240" w:lineRule="exact"/>
              <w:jc w:val="center"/>
              <w:rPr>
                <w:color w:val="000000"/>
                <w:sz w:val="18"/>
                <w:szCs w:val="18"/>
              </w:rPr>
            </w:pPr>
            <w:r>
              <w:rPr>
                <w:color w:val="000000"/>
                <w:sz w:val="18"/>
                <w:szCs w:val="18"/>
              </w:rPr>
              <w:t>类别</w:t>
            </w:r>
          </w:p>
        </w:tc>
        <w:tc>
          <w:tcPr>
            <w:tcW w:w="726" w:type="dxa"/>
            <w:vAlign w:val="center"/>
          </w:tcPr>
          <w:p>
            <w:pPr>
              <w:tabs>
                <w:tab w:val="left" w:pos="1778"/>
              </w:tabs>
              <w:spacing w:line="240" w:lineRule="exact"/>
              <w:jc w:val="center"/>
              <w:rPr>
                <w:color w:val="000000"/>
                <w:sz w:val="18"/>
                <w:szCs w:val="18"/>
              </w:rPr>
            </w:pPr>
            <w:r>
              <w:rPr>
                <w:color w:val="000000"/>
                <w:sz w:val="18"/>
                <w:szCs w:val="18"/>
              </w:rPr>
              <w:t>组别</w:t>
            </w:r>
          </w:p>
        </w:tc>
        <w:tc>
          <w:tcPr>
            <w:tcW w:w="1222" w:type="dxa"/>
            <w:vAlign w:val="center"/>
          </w:tcPr>
          <w:p>
            <w:pPr>
              <w:tabs>
                <w:tab w:val="left" w:pos="1778"/>
              </w:tabs>
              <w:spacing w:line="240" w:lineRule="exact"/>
              <w:jc w:val="center"/>
              <w:rPr>
                <w:color w:val="000000"/>
                <w:sz w:val="18"/>
                <w:szCs w:val="18"/>
              </w:rPr>
            </w:pPr>
            <w:r>
              <w:rPr>
                <w:color w:val="000000"/>
                <w:sz w:val="18"/>
                <w:szCs w:val="18"/>
              </w:rPr>
              <w:t>标段</w:t>
            </w:r>
          </w:p>
        </w:tc>
        <w:tc>
          <w:tcPr>
            <w:tcW w:w="5602" w:type="dxa"/>
            <w:vAlign w:val="center"/>
          </w:tcPr>
          <w:p>
            <w:pPr>
              <w:tabs>
                <w:tab w:val="left" w:pos="1778"/>
              </w:tabs>
              <w:spacing w:line="240" w:lineRule="exact"/>
              <w:jc w:val="center"/>
              <w:rPr>
                <w:color w:val="000000"/>
                <w:sz w:val="18"/>
                <w:szCs w:val="18"/>
              </w:rPr>
            </w:pPr>
            <w:r>
              <w:rPr>
                <w:color w:val="000000"/>
                <w:sz w:val="18"/>
                <w:szCs w:val="18"/>
              </w:rPr>
              <w:t>资  质  要  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3" w:hRule="atLeast"/>
          <w:jc w:val="center"/>
        </w:trPr>
        <w:tc>
          <w:tcPr>
            <w:tcW w:w="972" w:type="dxa"/>
            <w:vAlign w:val="center"/>
          </w:tcPr>
          <w:p>
            <w:pPr>
              <w:tabs>
                <w:tab w:val="left" w:pos="1778"/>
              </w:tabs>
              <w:spacing w:line="240" w:lineRule="exact"/>
              <w:jc w:val="center"/>
              <w:rPr>
                <w:color w:val="000000"/>
                <w:sz w:val="18"/>
                <w:szCs w:val="18"/>
              </w:rPr>
            </w:pPr>
            <w:r>
              <w:rPr>
                <w:color w:val="000000"/>
                <w:sz w:val="18"/>
                <w:szCs w:val="18"/>
              </w:rPr>
              <w:t>路面工程施工类</w:t>
            </w:r>
          </w:p>
        </w:tc>
        <w:tc>
          <w:tcPr>
            <w:tcW w:w="726" w:type="dxa"/>
            <w:vAlign w:val="center"/>
          </w:tcPr>
          <w:p>
            <w:pPr>
              <w:spacing w:line="240" w:lineRule="exact"/>
              <w:jc w:val="center"/>
              <w:rPr>
                <w:color w:val="000000"/>
                <w:sz w:val="18"/>
                <w:szCs w:val="18"/>
              </w:rPr>
            </w:pPr>
            <w:r>
              <w:rPr>
                <w:color w:val="000000"/>
                <w:sz w:val="18"/>
                <w:szCs w:val="18"/>
              </w:rPr>
              <w:t>A</w:t>
            </w:r>
            <w:r>
              <w:rPr>
                <w:rFonts w:hint="eastAsia"/>
                <w:color w:val="000000"/>
                <w:sz w:val="18"/>
                <w:szCs w:val="18"/>
              </w:rPr>
              <w:t>组</w:t>
            </w:r>
          </w:p>
        </w:tc>
        <w:tc>
          <w:tcPr>
            <w:tcW w:w="1222" w:type="dxa"/>
            <w:vAlign w:val="center"/>
          </w:tcPr>
          <w:p>
            <w:pPr>
              <w:spacing w:line="240" w:lineRule="exact"/>
              <w:jc w:val="center"/>
              <w:rPr>
                <w:color w:val="000000"/>
                <w:sz w:val="18"/>
                <w:szCs w:val="18"/>
              </w:rPr>
            </w:pPr>
            <w:r>
              <w:rPr>
                <w:color w:val="000000"/>
                <w:sz w:val="18"/>
                <w:szCs w:val="18"/>
              </w:rPr>
              <w:t>LM-1、LM-2</w:t>
            </w:r>
          </w:p>
        </w:tc>
        <w:tc>
          <w:tcPr>
            <w:tcW w:w="5602" w:type="dxa"/>
            <w:vAlign w:val="center"/>
          </w:tcPr>
          <w:p>
            <w:pPr>
              <w:spacing w:line="240" w:lineRule="exact"/>
              <w:rPr>
                <w:color w:val="000000"/>
                <w:sz w:val="18"/>
                <w:szCs w:val="18"/>
              </w:rPr>
            </w:pPr>
            <w:r>
              <w:rPr>
                <w:kern w:val="0"/>
                <w:sz w:val="18"/>
                <w:szCs w:val="18"/>
              </w:rPr>
              <w:t>具有独立法人资格，公路工程施工总承包壹级或以上资质，且同时具有路面工程专业承包壹级资质，具有企业安全生产许可证，企业法定代表人持省级或以上交通运输主管部门核发的安全生产考核A证。</w:t>
            </w:r>
          </w:p>
        </w:tc>
      </w:tr>
    </w:tbl>
    <w:p>
      <w:pPr>
        <w:tabs>
          <w:tab w:val="left" w:pos="1778"/>
        </w:tabs>
        <w:spacing w:line="460" w:lineRule="exact"/>
        <w:ind w:firstLine="283" w:firstLineChars="118"/>
        <w:rPr>
          <w:color w:val="000000"/>
          <w:sz w:val="24"/>
        </w:rPr>
      </w:pPr>
      <w:r>
        <w:rPr>
          <w:color w:val="000000"/>
          <w:sz w:val="24"/>
        </w:rPr>
        <w:t>（2）财务要求</w:t>
      </w:r>
    </w:p>
    <w:tbl>
      <w:tblPr>
        <w:tblStyle w:val="7"/>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2"/>
        <w:gridCol w:w="726"/>
        <w:gridCol w:w="1244"/>
        <w:gridCol w:w="5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972" w:type="dxa"/>
            <w:vAlign w:val="center"/>
          </w:tcPr>
          <w:p>
            <w:pPr>
              <w:jc w:val="center"/>
              <w:rPr>
                <w:sz w:val="18"/>
                <w:szCs w:val="18"/>
              </w:rPr>
            </w:pPr>
            <w:r>
              <w:rPr>
                <w:sz w:val="18"/>
                <w:szCs w:val="18"/>
              </w:rPr>
              <w:t>类别</w:t>
            </w:r>
          </w:p>
        </w:tc>
        <w:tc>
          <w:tcPr>
            <w:tcW w:w="726" w:type="dxa"/>
            <w:vAlign w:val="center"/>
          </w:tcPr>
          <w:p>
            <w:pPr>
              <w:jc w:val="center"/>
              <w:rPr>
                <w:sz w:val="18"/>
                <w:szCs w:val="18"/>
              </w:rPr>
            </w:pPr>
            <w:r>
              <w:rPr>
                <w:sz w:val="18"/>
                <w:szCs w:val="18"/>
              </w:rPr>
              <w:t>组别</w:t>
            </w:r>
          </w:p>
        </w:tc>
        <w:tc>
          <w:tcPr>
            <w:tcW w:w="1244" w:type="dxa"/>
            <w:vAlign w:val="center"/>
          </w:tcPr>
          <w:p>
            <w:pPr>
              <w:jc w:val="center"/>
              <w:rPr>
                <w:sz w:val="18"/>
                <w:szCs w:val="18"/>
              </w:rPr>
            </w:pPr>
            <w:r>
              <w:rPr>
                <w:sz w:val="18"/>
                <w:szCs w:val="18"/>
              </w:rPr>
              <w:t>标段</w:t>
            </w:r>
          </w:p>
        </w:tc>
        <w:tc>
          <w:tcPr>
            <w:tcW w:w="5580" w:type="dxa"/>
            <w:vAlign w:val="center"/>
          </w:tcPr>
          <w:p>
            <w:pPr>
              <w:jc w:val="center"/>
              <w:rPr>
                <w:sz w:val="18"/>
                <w:szCs w:val="18"/>
              </w:rPr>
            </w:pPr>
            <w:r>
              <w:rPr>
                <w:sz w:val="18"/>
                <w:szCs w:val="18"/>
              </w:rPr>
              <w:t>财  务  要  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5" w:hRule="atLeast"/>
          <w:jc w:val="center"/>
        </w:trPr>
        <w:tc>
          <w:tcPr>
            <w:tcW w:w="972" w:type="dxa"/>
            <w:vAlign w:val="center"/>
          </w:tcPr>
          <w:p>
            <w:pPr>
              <w:jc w:val="center"/>
              <w:rPr>
                <w:sz w:val="18"/>
                <w:szCs w:val="18"/>
              </w:rPr>
            </w:pPr>
            <w:r>
              <w:rPr>
                <w:sz w:val="18"/>
                <w:szCs w:val="18"/>
              </w:rPr>
              <w:t>路面工程</w:t>
            </w:r>
            <w:r>
              <w:rPr>
                <w:rFonts w:hint="eastAsia"/>
                <w:sz w:val="18"/>
                <w:szCs w:val="18"/>
              </w:rPr>
              <w:t>施工</w:t>
            </w:r>
            <w:r>
              <w:rPr>
                <w:sz w:val="18"/>
                <w:szCs w:val="18"/>
              </w:rPr>
              <w:t>类</w:t>
            </w:r>
          </w:p>
        </w:tc>
        <w:tc>
          <w:tcPr>
            <w:tcW w:w="726" w:type="dxa"/>
            <w:vAlign w:val="center"/>
          </w:tcPr>
          <w:p>
            <w:pPr>
              <w:jc w:val="center"/>
              <w:rPr>
                <w:sz w:val="18"/>
                <w:szCs w:val="18"/>
              </w:rPr>
            </w:pPr>
            <w:r>
              <w:rPr>
                <w:sz w:val="18"/>
                <w:szCs w:val="18"/>
              </w:rPr>
              <w:t>A组</w:t>
            </w:r>
          </w:p>
        </w:tc>
        <w:tc>
          <w:tcPr>
            <w:tcW w:w="1244" w:type="dxa"/>
            <w:vAlign w:val="center"/>
          </w:tcPr>
          <w:p>
            <w:pPr>
              <w:jc w:val="center"/>
              <w:rPr>
                <w:sz w:val="18"/>
                <w:szCs w:val="18"/>
              </w:rPr>
            </w:pPr>
            <w:r>
              <w:rPr>
                <w:sz w:val="18"/>
                <w:szCs w:val="18"/>
              </w:rPr>
              <w:t>LM-1、LM-2</w:t>
            </w:r>
          </w:p>
        </w:tc>
        <w:tc>
          <w:tcPr>
            <w:tcW w:w="5580" w:type="dxa"/>
            <w:vAlign w:val="center"/>
          </w:tcPr>
          <w:p>
            <w:pPr>
              <w:jc w:val="left"/>
              <w:rPr>
                <w:sz w:val="18"/>
                <w:szCs w:val="18"/>
              </w:rPr>
            </w:pPr>
            <w:r>
              <w:rPr>
                <w:sz w:val="18"/>
                <w:szCs w:val="18"/>
              </w:rPr>
              <w:t>1、2015年至2017年每年的企业营业额均不小于2亿元；</w:t>
            </w:r>
          </w:p>
          <w:p>
            <w:pPr>
              <w:jc w:val="left"/>
              <w:rPr>
                <w:sz w:val="18"/>
                <w:szCs w:val="18"/>
              </w:rPr>
            </w:pPr>
            <w:r>
              <w:rPr>
                <w:sz w:val="18"/>
                <w:szCs w:val="18"/>
              </w:rPr>
              <w:t>2、2015年至2017年每年的企业资产负债率均不大于80%；</w:t>
            </w:r>
          </w:p>
          <w:p>
            <w:pPr>
              <w:jc w:val="left"/>
              <w:rPr>
                <w:sz w:val="18"/>
                <w:szCs w:val="18"/>
              </w:rPr>
            </w:pPr>
            <w:r>
              <w:rPr>
                <w:sz w:val="18"/>
                <w:szCs w:val="18"/>
              </w:rPr>
              <w:t>3、2015年至2017年每年的企业所有者权益均不小于1亿元人民币。</w:t>
            </w:r>
          </w:p>
        </w:tc>
      </w:tr>
    </w:tbl>
    <w:p>
      <w:pPr>
        <w:tabs>
          <w:tab w:val="left" w:pos="1778"/>
        </w:tabs>
        <w:spacing w:line="460" w:lineRule="exact"/>
        <w:ind w:firstLine="480" w:firstLineChars="200"/>
        <w:rPr>
          <w:color w:val="000000"/>
          <w:sz w:val="24"/>
        </w:rPr>
      </w:pPr>
      <w:r>
        <w:rPr>
          <w:color w:val="000000"/>
          <w:sz w:val="24"/>
        </w:rPr>
        <w:t xml:space="preserve">（3）业绩要求 </w:t>
      </w:r>
    </w:p>
    <w:tbl>
      <w:tblPr>
        <w:tblStyle w:val="7"/>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735"/>
        <w:gridCol w:w="1202"/>
        <w:gridCol w:w="5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983" w:type="dxa"/>
            <w:vAlign w:val="center"/>
          </w:tcPr>
          <w:p>
            <w:pPr>
              <w:tabs>
                <w:tab w:val="left" w:pos="1778"/>
              </w:tabs>
              <w:spacing w:line="240" w:lineRule="exact"/>
              <w:jc w:val="center"/>
              <w:rPr>
                <w:color w:val="000000"/>
                <w:sz w:val="18"/>
                <w:szCs w:val="18"/>
              </w:rPr>
            </w:pPr>
            <w:r>
              <w:rPr>
                <w:color w:val="000000"/>
                <w:sz w:val="18"/>
                <w:szCs w:val="18"/>
              </w:rPr>
              <w:t>类别</w:t>
            </w:r>
          </w:p>
        </w:tc>
        <w:tc>
          <w:tcPr>
            <w:tcW w:w="735" w:type="dxa"/>
            <w:vAlign w:val="center"/>
          </w:tcPr>
          <w:p>
            <w:pPr>
              <w:tabs>
                <w:tab w:val="left" w:pos="1778"/>
              </w:tabs>
              <w:spacing w:line="240" w:lineRule="exact"/>
              <w:jc w:val="center"/>
              <w:rPr>
                <w:color w:val="000000"/>
                <w:sz w:val="18"/>
                <w:szCs w:val="18"/>
              </w:rPr>
            </w:pPr>
            <w:r>
              <w:rPr>
                <w:color w:val="000000"/>
                <w:sz w:val="18"/>
                <w:szCs w:val="18"/>
              </w:rPr>
              <w:t>组别</w:t>
            </w:r>
          </w:p>
        </w:tc>
        <w:tc>
          <w:tcPr>
            <w:tcW w:w="1202" w:type="dxa"/>
            <w:vAlign w:val="center"/>
          </w:tcPr>
          <w:p>
            <w:pPr>
              <w:tabs>
                <w:tab w:val="left" w:pos="1778"/>
              </w:tabs>
              <w:spacing w:line="240" w:lineRule="exact"/>
              <w:jc w:val="center"/>
              <w:rPr>
                <w:color w:val="000000"/>
                <w:sz w:val="18"/>
                <w:szCs w:val="18"/>
              </w:rPr>
            </w:pPr>
            <w:r>
              <w:rPr>
                <w:color w:val="000000"/>
                <w:sz w:val="18"/>
                <w:szCs w:val="18"/>
              </w:rPr>
              <w:t>标段</w:t>
            </w:r>
          </w:p>
        </w:tc>
        <w:tc>
          <w:tcPr>
            <w:tcW w:w="5602" w:type="dxa"/>
            <w:vAlign w:val="center"/>
          </w:tcPr>
          <w:p>
            <w:pPr>
              <w:tabs>
                <w:tab w:val="left" w:pos="1778"/>
              </w:tabs>
              <w:spacing w:line="240" w:lineRule="exact"/>
              <w:jc w:val="center"/>
              <w:rPr>
                <w:color w:val="000000"/>
                <w:sz w:val="18"/>
                <w:szCs w:val="18"/>
              </w:rPr>
            </w:pPr>
            <w:r>
              <w:rPr>
                <w:color w:val="000000"/>
                <w:sz w:val="18"/>
                <w:szCs w:val="18"/>
              </w:rPr>
              <w:t>业  绩  要  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3" w:hRule="atLeast"/>
          <w:jc w:val="center"/>
        </w:trPr>
        <w:tc>
          <w:tcPr>
            <w:tcW w:w="983" w:type="dxa"/>
            <w:vAlign w:val="center"/>
          </w:tcPr>
          <w:p>
            <w:pPr>
              <w:tabs>
                <w:tab w:val="left" w:pos="1778"/>
              </w:tabs>
              <w:spacing w:line="240" w:lineRule="exact"/>
              <w:jc w:val="center"/>
              <w:rPr>
                <w:color w:val="000000"/>
                <w:sz w:val="18"/>
                <w:szCs w:val="18"/>
              </w:rPr>
            </w:pPr>
            <w:r>
              <w:rPr>
                <w:color w:val="000000"/>
                <w:sz w:val="18"/>
                <w:szCs w:val="18"/>
              </w:rPr>
              <w:t>路面工程施工类</w:t>
            </w:r>
          </w:p>
        </w:tc>
        <w:tc>
          <w:tcPr>
            <w:tcW w:w="735" w:type="dxa"/>
            <w:vAlign w:val="center"/>
          </w:tcPr>
          <w:p>
            <w:pPr>
              <w:spacing w:line="240" w:lineRule="exact"/>
              <w:jc w:val="center"/>
              <w:rPr>
                <w:color w:val="000000"/>
                <w:sz w:val="18"/>
                <w:szCs w:val="18"/>
              </w:rPr>
            </w:pPr>
            <w:r>
              <w:rPr>
                <w:color w:val="000000"/>
                <w:sz w:val="18"/>
                <w:szCs w:val="18"/>
              </w:rPr>
              <w:t>A</w:t>
            </w:r>
            <w:r>
              <w:rPr>
                <w:rFonts w:hint="eastAsia"/>
                <w:color w:val="000000"/>
                <w:sz w:val="18"/>
                <w:szCs w:val="18"/>
              </w:rPr>
              <w:t>组</w:t>
            </w:r>
          </w:p>
        </w:tc>
        <w:tc>
          <w:tcPr>
            <w:tcW w:w="1202" w:type="dxa"/>
            <w:vAlign w:val="center"/>
          </w:tcPr>
          <w:p>
            <w:pPr>
              <w:spacing w:line="240" w:lineRule="exact"/>
              <w:jc w:val="center"/>
              <w:rPr>
                <w:color w:val="000000"/>
                <w:sz w:val="18"/>
                <w:szCs w:val="18"/>
              </w:rPr>
            </w:pPr>
            <w:r>
              <w:rPr>
                <w:color w:val="000000"/>
                <w:sz w:val="18"/>
                <w:szCs w:val="18"/>
              </w:rPr>
              <w:t>LM-1、LM-2</w:t>
            </w:r>
          </w:p>
        </w:tc>
        <w:tc>
          <w:tcPr>
            <w:tcW w:w="5602" w:type="dxa"/>
            <w:vAlign w:val="center"/>
          </w:tcPr>
          <w:p>
            <w:pPr>
              <w:tabs>
                <w:tab w:val="left" w:pos="1778"/>
              </w:tabs>
              <w:spacing w:line="240" w:lineRule="exact"/>
              <w:rPr>
                <w:sz w:val="18"/>
                <w:szCs w:val="18"/>
              </w:rPr>
            </w:pPr>
            <w:r>
              <w:rPr>
                <w:sz w:val="18"/>
                <w:szCs w:val="18"/>
              </w:rPr>
              <w:t>近5年（2013年至今）完成过2个</w:t>
            </w:r>
            <w:r>
              <w:rPr>
                <w:rFonts w:hint="eastAsia"/>
                <w:sz w:val="18"/>
                <w:szCs w:val="18"/>
              </w:rPr>
              <w:t>及</w:t>
            </w:r>
            <w:r>
              <w:rPr>
                <w:sz w:val="18"/>
                <w:szCs w:val="18"/>
              </w:rPr>
              <w:t>以上新建或改扩建高速公路路面工程施工合同段，且里程累计不少于80公里（双幅）</w:t>
            </w:r>
            <w:r>
              <w:rPr>
                <w:rFonts w:hint="eastAsia"/>
                <w:sz w:val="18"/>
                <w:szCs w:val="18"/>
              </w:rPr>
              <w:t>。</w:t>
            </w:r>
          </w:p>
        </w:tc>
      </w:tr>
    </w:tbl>
    <w:p>
      <w:pPr>
        <w:tabs>
          <w:tab w:val="left" w:pos="1778"/>
        </w:tabs>
        <w:spacing w:line="460" w:lineRule="exact"/>
        <w:ind w:firstLine="480" w:firstLineChars="200"/>
        <w:rPr>
          <w:color w:val="000000"/>
          <w:sz w:val="24"/>
        </w:rPr>
      </w:pPr>
      <w:r>
        <w:rPr>
          <w:color w:val="000000"/>
          <w:sz w:val="24"/>
        </w:rPr>
        <w:t>（4）信誉要求</w:t>
      </w:r>
    </w:p>
    <w:tbl>
      <w:tblPr>
        <w:tblStyle w:val="7"/>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735"/>
        <w:gridCol w:w="1176"/>
        <w:gridCol w:w="5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3" w:hRule="atLeast"/>
          <w:jc w:val="center"/>
        </w:trPr>
        <w:tc>
          <w:tcPr>
            <w:tcW w:w="983" w:type="dxa"/>
            <w:vAlign w:val="center"/>
          </w:tcPr>
          <w:p>
            <w:pPr>
              <w:tabs>
                <w:tab w:val="left" w:pos="1778"/>
              </w:tabs>
              <w:spacing w:line="280" w:lineRule="exact"/>
              <w:jc w:val="center"/>
              <w:rPr>
                <w:color w:val="000000"/>
                <w:sz w:val="18"/>
                <w:szCs w:val="18"/>
              </w:rPr>
            </w:pPr>
            <w:r>
              <w:rPr>
                <w:color w:val="000000"/>
                <w:sz w:val="18"/>
                <w:szCs w:val="18"/>
              </w:rPr>
              <w:t>类别</w:t>
            </w:r>
          </w:p>
        </w:tc>
        <w:tc>
          <w:tcPr>
            <w:tcW w:w="735" w:type="dxa"/>
            <w:vAlign w:val="center"/>
          </w:tcPr>
          <w:p>
            <w:pPr>
              <w:tabs>
                <w:tab w:val="left" w:pos="1778"/>
              </w:tabs>
              <w:spacing w:line="280" w:lineRule="exact"/>
              <w:jc w:val="center"/>
              <w:rPr>
                <w:color w:val="000000"/>
                <w:sz w:val="18"/>
                <w:szCs w:val="18"/>
              </w:rPr>
            </w:pPr>
            <w:r>
              <w:rPr>
                <w:color w:val="000000"/>
                <w:sz w:val="18"/>
                <w:szCs w:val="18"/>
              </w:rPr>
              <w:t>组别</w:t>
            </w:r>
          </w:p>
        </w:tc>
        <w:tc>
          <w:tcPr>
            <w:tcW w:w="1176" w:type="dxa"/>
            <w:vAlign w:val="center"/>
          </w:tcPr>
          <w:p>
            <w:pPr>
              <w:tabs>
                <w:tab w:val="left" w:pos="1778"/>
              </w:tabs>
              <w:spacing w:line="280" w:lineRule="exact"/>
              <w:jc w:val="center"/>
              <w:rPr>
                <w:color w:val="000000"/>
                <w:sz w:val="18"/>
                <w:szCs w:val="18"/>
              </w:rPr>
            </w:pPr>
            <w:r>
              <w:rPr>
                <w:color w:val="000000"/>
                <w:sz w:val="18"/>
                <w:szCs w:val="18"/>
              </w:rPr>
              <w:t>标段</w:t>
            </w:r>
          </w:p>
        </w:tc>
        <w:tc>
          <w:tcPr>
            <w:tcW w:w="5628" w:type="dxa"/>
            <w:vAlign w:val="center"/>
          </w:tcPr>
          <w:p>
            <w:pPr>
              <w:tabs>
                <w:tab w:val="left" w:pos="1778"/>
              </w:tabs>
              <w:spacing w:line="280" w:lineRule="exact"/>
              <w:jc w:val="center"/>
              <w:rPr>
                <w:color w:val="000000"/>
                <w:sz w:val="18"/>
                <w:szCs w:val="18"/>
              </w:rPr>
            </w:pPr>
            <w:r>
              <w:rPr>
                <w:rFonts w:hint="eastAsia"/>
                <w:color w:val="000000"/>
                <w:sz w:val="18"/>
                <w:szCs w:val="18"/>
              </w:rPr>
              <w:t xml:space="preserve">信 </w:t>
            </w:r>
            <w:r>
              <w:rPr>
                <w:color w:val="000000"/>
                <w:sz w:val="18"/>
                <w:szCs w:val="18"/>
              </w:rPr>
              <w:t xml:space="preserve"> </w:t>
            </w:r>
            <w:r>
              <w:rPr>
                <w:rFonts w:hint="eastAsia"/>
                <w:color w:val="000000"/>
                <w:sz w:val="18"/>
                <w:szCs w:val="18"/>
              </w:rPr>
              <w:t xml:space="preserve">誉 </w:t>
            </w:r>
            <w:r>
              <w:rPr>
                <w:color w:val="000000"/>
                <w:sz w:val="18"/>
                <w:szCs w:val="18"/>
              </w:rPr>
              <w:t xml:space="preserve"> 要</w:t>
            </w:r>
            <w:r>
              <w:rPr>
                <w:rFonts w:hint="eastAsia"/>
                <w:color w:val="000000"/>
                <w:sz w:val="18"/>
                <w:szCs w:val="18"/>
              </w:rPr>
              <w:t xml:space="preserve"> </w:t>
            </w:r>
            <w:r>
              <w:rPr>
                <w:color w:val="000000"/>
                <w:sz w:val="18"/>
                <w:szCs w:val="18"/>
              </w:rPr>
              <w:t xml:space="preserve"> 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4" w:hRule="atLeast"/>
          <w:jc w:val="center"/>
        </w:trPr>
        <w:tc>
          <w:tcPr>
            <w:tcW w:w="983" w:type="dxa"/>
            <w:vAlign w:val="center"/>
          </w:tcPr>
          <w:p>
            <w:pPr>
              <w:tabs>
                <w:tab w:val="left" w:pos="1778"/>
              </w:tabs>
              <w:spacing w:line="240" w:lineRule="exact"/>
              <w:jc w:val="center"/>
              <w:rPr>
                <w:color w:val="000000"/>
                <w:sz w:val="18"/>
                <w:szCs w:val="18"/>
              </w:rPr>
            </w:pPr>
            <w:r>
              <w:rPr>
                <w:color w:val="000000"/>
                <w:sz w:val="18"/>
                <w:szCs w:val="18"/>
              </w:rPr>
              <w:t>路面工程施工类</w:t>
            </w:r>
          </w:p>
        </w:tc>
        <w:tc>
          <w:tcPr>
            <w:tcW w:w="735" w:type="dxa"/>
            <w:vAlign w:val="center"/>
          </w:tcPr>
          <w:p>
            <w:pPr>
              <w:spacing w:line="240" w:lineRule="exact"/>
              <w:jc w:val="center"/>
              <w:rPr>
                <w:color w:val="000000"/>
                <w:sz w:val="18"/>
                <w:szCs w:val="18"/>
              </w:rPr>
            </w:pPr>
            <w:r>
              <w:rPr>
                <w:color w:val="000000"/>
                <w:sz w:val="18"/>
                <w:szCs w:val="18"/>
              </w:rPr>
              <w:t>A</w:t>
            </w:r>
            <w:r>
              <w:rPr>
                <w:rFonts w:hint="eastAsia"/>
                <w:color w:val="000000"/>
                <w:sz w:val="18"/>
                <w:szCs w:val="18"/>
              </w:rPr>
              <w:t>组</w:t>
            </w:r>
          </w:p>
        </w:tc>
        <w:tc>
          <w:tcPr>
            <w:tcW w:w="1176" w:type="dxa"/>
            <w:vAlign w:val="center"/>
          </w:tcPr>
          <w:p>
            <w:pPr>
              <w:spacing w:line="240" w:lineRule="exact"/>
              <w:jc w:val="center"/>
              <w:rPr>
                <w:color w:val="000000"/>
                <w:sz w:val="18"/>
                <w:szCs w:val="18"/>
              </w:rPr>
            </w:pPr>
            <w:r>
              <w:rPr>
                <w:color w:val="000000"/>
                <w:sz w:val="18"/>
                <w:szCs w:val="18"/>
              </w:rPr>
              <w:t>LM-1、LM-2</w:t>
            </w:r>
          </w:p>
        </w:tc>
        <w:tc>
          <w:tcPr>
            <w:tcW w:w="5628" w:type="dxa"/>
            <w:vAlign w:val="center"/>
          </w:tcPr>
          <w:p>
            <w:pPr>
              <w:spacing w:line="300" w:lineRule="exact"/>
              <w:rPr>
                <w:color w:val="000000"/>
                <w:sz w:val="18"/>
                <w:szCs w:val="18"/>
              </w:rPr>
            </w:pPr>
            <w:r>
              <w:rPr>
                <w:color w:val="000000"/>
                <w:sz w:val="18"/>
                <w:szCs w:val="18"/>
              </w:rPr>
              <w:t>未被交通运输部或陕西省交通运输厅列入最新信用评价等级D级</w:t>
            </w:r>
            <w:r>
              <w:rPr>
                <w:rFonts w:hint="eastAsia"/>
                <w:color w:val="000000"/>
                <w:sz w:val="18"/>
                <w:szCs w:val="18"/>
              </w:rPr>
              <w:t>且在处罚有效期内</w:t>
            </w:r>
            <w:r>
              <w:rPr>
                <w:color w:val="000000"/>
                <w:sz w:val="18"/>
                <w:szCs w:val="18"/>
              </w:rPr>
              <w:t>。</w:t>
            </w:r>
          </w:p>
        </w:tc>
      </w:tr>
    </w:tbl>
    <w:p>
      <w:pPr>
        <w:tabs>
          <w:tab w:val="left" w:pos="1778"/>
        </w:tabs>
        <w:spacing w:line="460" w:lineRule="exact"/>
        <w:ind w:firstLine="480" w:firstLineChars="200"/>
        <w:rPr>
          <w:color w:val="000000"/>
          <w:sz w:val="24"/>
        </w:rPr>
      </w:pPr>
      <w:r>
        <w:rPr>
          <w:color w:val="000000"/>
          <w:sz w:val="24"/>
        </w:rPr>
        <w:t>（5）主要人员要求</w:t>
      </w:r>
    </w:p>
    <w:tbl>
      <w:tblPr>
        <w:tblStyle w:val="7"/>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5"/>
        <w:gridCol w:w="784"/>
        <w:gridCol w:w="1178"/>
        <w:gridCol w:w="917"/>
        <w:gridCol w:w="784"/>
        <w:gridCol w:w="2880"/>
        <w:gridCol w:w="1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jc w:val="center"/>
        </w:trPr>
        <w:tc>
          <w:tcPr>
            <w:tcW w:w="755" w:type="dxa"/>
            <w:vAlign w:val="center"/>
          </w:tcPr>
          <w:p>
            <w:pPr>
              <w:tabs>
                <w:tab w:val="left" w:pos="1778"/>
              </w:tabs>
              <w:spacing w:line="240" w:lineRule="exact"/>
              <w:jc w:val="center"/>
              <w:rPr>
                <w:color w:val="000000"/>
                <w:sz w:val="18"/>
                <w:szCs w:val="18"/>
              </w:rPr>
            </w:pPr>
            <w:r>
              <w:rPr>
                <w:color w:val="000000"/>
                <w:sz w:val="18"/>
                <w:szCs w:val="18"/>
              </w:rPr>
              <w:t>类别</w:t>
            </w:r>
          </w:p>
        </w:tc>
        <w:tc>
          <w:tcPr>
            <w:tcW w:w="784" w:type="dxa"/>
            <w:vAlign w:val="center"/>
          </w:tcPr>
          <w:p>
            <w:pPr>
              <w:tabs>
                <w:tab w:val="left" w:pos="1778"/>
              </w:tabs>
              <w:spacing w:line="240" w:lineRule="exact"/>
              <w:jc w:val="center"/>
              <w:rPr>
                <w:color w:val="000000"/>
                <w:sz w:val="18"/>
                <w:szCs w:val="18"/>
              </w:rPr>
            </w:pPr>
            <w:r>
              <w:rPr>
                <w:color w:val="000000"/>
                <w:sz w:val="18"/>
                <w:szCs w:val="18"/>
              </w:rPr>
              <w:t>组别</w:t>
            </w:r>
          </w:p>
        </w:tc>
        <w:tc>
          <w:tcPr>
            <w:tcW w:w="1178" w:type="dxa"/>
            <w:vAlign w:val="center"/>
          </w:tcPr>
          <w:p>
            <w:pPr>
              <w:tabs>
                <w:tab w:val="left" w:pos="1778"/>
              </w:tabs>
              <w:spacing w:line="240" w:lineRule="exact"/>
              <w:jc w:val="center"/>
              <w:rPr>
                <w:color w:val="000000"/>
                <w:sz w:val="18"/>
                <w:szCs w:val="18"/>
              </w:rPr>
            </w:pPr>
            <w:r>
              <w:rPr>
                <w:color w:val="000000"/>
                <w:sz w:val="18"/>
                <w:szCs w:val="18"/>
              </w:rPr>
              <w:t>标段</w:t>
            </w:r>
          </w:p>
        </w:tc>
        <w:tc>
          <w:tcPr>
            <w:tcW w:w="917" w:type="dxa"/>
            <w:vAlign w:val="center"/>
          </w:tcPr>
          <w:p>
            <w:pPr>
              <w:tabs>
                <w:tab w:val="left" w:pos="1778"/>
              </w:tabs>
              <w:spacing w:line="240" w:lineRule="exact"/>
              <w:jc w:val="center"/>
              <w:rPr>
                <w:color w:val="000000"/>
                <w:sz w:val="18"/>
                <w:szCs w:val="18"/>
              </w:rPr>
            </w:pPr>
            <w:r>
              <w:rPr>
                <w:color w:val="000000"/>
                <w:sz w:val="18"/>
                <w:szCs w:val="18"/>
              </w:rPr>
              <w:t>人员</w:t>
            </w:r>
          </w:p>
        </w:tc>
        <w:tc>
          <w:tcPr>
            <w:tcW w:w="784" w:type="dxa"/>
            <w:vAlign w:val="center"/>
          </w:tcPr>
          <w:p>
            <w:pPr>
              <w:tabs>
                <w:tab w:val="left" w:pos="1778"/>
              </w:tabs>
              <w:spacing w:line="240" w:lineRule="exact"/>
              <w:jc w:val="center"/>
              <w:rPr>
                <w:color w:val="000000"/>
                <w:sz w:val="18"/>
                <w:szCs w:val="18"/>
              </w:rPr>
            </w:pPr>
            <w:r>
              <w:rPr>
                <w:rFonts w:hint="eastAsia"/>
                <w:color w:val="000000"/>
                <w:sz w:val="18"/>
                <w:szCs w:val="18"/>
              </w:rPr>
              <w:t>数量</w:t>
            </w:r>
          </w:p>
        </w:tc>
        <w:tc>
          <w:tcPr>
            <w:tcW w:w="2880" w:type="dxa"/>
            <w:vAlign w:val="center"/>
          </w:tcPr>
          <w:p>
            <w:pPr>
              <w:tabs>
                <w:tab w:val="left" w:pos="1778"/>
              </w:tabs>
              <w:spacing w:line="240" w:lineRule="exact"/>
              <w:jc w:val="center"/>
              <w:rPr>
                <w:color w:val="000000"/>
                <w:sz w:val="18"/>
                <w:szCs w:val="18"/>
              </w:rPr>
            </w:pPr>
            <w:r>
              <w:rPr>
                <w:color w:val="000000"/>
                <w:sz w:val="18"/>
                <w:szCs w:val="18"/>
              </w:rPr>
              <w:t>资  质  要  求</w:t>
            </w:r>
          </w:p>
        </w:tc>
        <w:tc>
          <w:tcPr>
            <w:tcW w:w="1224" w:type="dxa"/>
            <w:vAlign w:val="center"/>
          </w:tcPr>
          <w:p>
            <w:pPr>
              <w:tabs>
                <w:tab w:val="left" w:pos="1778"/>
              </w:tabs>
              <w:spacing w:line="360" w:lineRule="exact"/>
              <w:jc w:val="center"/>
              <w:rPr>
                <w:color w:val="000000"/>
                <w:sz w:val="18"/>
                <w:szCs w:val="18"/>
              </w:rPr>
            </w:pPr>
            <w:r>
              <w:rPr>
                <w:rFonts w:hint="eastAsia"/>
                <w:color w:val="000000"/>
                <w:sz w:val="18"/>
                <w:szCs w:val="18"/>
              </w:rPr>
              <w:t>在岗要求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77" w:hRule="atLeast"/>
          <w:jc w:val="center"/>
        </w:trPr>
        <w:tc>
          <w:tcPr>
            <w:tcW w:w="755" w:type="dxa"/>
            <w:vMerge w:val="restart"/>
            <w:vAlign w:val="center"/>
          </w:tcPr>
          <w:p>
            <w:pPr>
              <w:tabs>
                <w:tab w:val="left" w:pos="1778"/>
              </w:tabs>
              <w:spacing w:line="240" w:lineRule="exact"/>
              <w:jc w:val="center"/>
              <w:rPr>
                <w:color w:val="000000"/>
                <w:sz w:val="18"/>
                <w:szCs w:val="18"/>
              </w:rPr>
            </w:pPr>
            <w:r>
              <w:rPr>
                <w:color w:val="000000"/>
                <w:sz w:val="18"/>
                <w:szCs w:val="18"/>
              </w:rPr>
              <w:t>路面工程施工类</w:t>
            </w:r>
          </w:p>
        </w:tc>
        <w:tc>
          <w:tcPr>
            <w:tcW w:w="784" w:type="dxa"/>
            <w:vMerge w:val="restart"/>
            <w:vAlign w:val="center"/>
          </w:tcPr>
          <w:p>
            <w:pPr>
              <w:spacing w:line="240" w:lineRule="exact"/>
              <w:jc w:val="center"/>
              <w:rPr>
                <w:color w:val="000000"/>
                <w:sz w:val="18"/>
                <w:szCs w:val="18"/>
              </w:rPr>
            </w:pPr>
            <w:r>
              <w:rPr>
                <w:color w:val="000000"/>
                <w:sz w:val="18"/>
                <w:szCs w:val="18"/>
              </w:rPr>
              <w:t>A</w:t>
            </w:r>
            <w:r>
              <w:rPr>
                <w:rFonts w:hint="eastAsia"/>
                <w:color w:val="000000"/>
                <w:sz w:val="18"/>
                <w:szCs w:val="18"/>
              </w:rPr>
              <w:t>组</w:t>
            </w:r>
          </w:p>
        </w:tc>
        <w:tc>
          <w:tcPr>
            <w:tcW w:w="1178" w:type="dxa"/>
            <w:vMerge w:val="restart"/>
            <w:vAlign w:val="center"/>
          </w:tcPr>
          <w:p>
            <w:pPr>
              <w:spacing w:line="240" w:lineRule="exact"/>
              <w:jc w:val="center"/>
              <w:rPr>
                <w:color w:val="000000"/>
                <w:sz w:val="18"/>
                <w:szCs w:val="18"/>
              </w:rPr>
            </w:pPr>
            <w:r>
              <w:rPr>
                <w:color w:val="000000"/>
                <w:sz w:val="18"/>
                <w:szCs w:val="18"/>
              </w:rPr>
              <w:t>LM-1、LM-2</w:t>
            </w:r>
          </w:p>
        </w:tc>
        <w:tc>
          <w:tcPr>
            <w:tcW w:w="917" w:type="dxa"/>
            <w:vAlign w:val="center"/>
          </w:tcPr>
          <w:p>
            <w:pPr>
              <w:spacing w:line="240" w:lineRule="exact"/>
              <w:jc w:val="center"/>
              <w:rPr>
                <w:color w:val="000000"/>
                <w:sz w:val="18"/>
                <w:szCs w:val="18"/>
              </w:rPr>
            </w:pPr>
            <w:r>
              <w:rPr>
                <w:color w:val="000000"/>
                <w:sz w:val="18"/>
                <w:szCs w:val="18"/>
              </w:rPr>
              <w:t>项目经理</w:t>
            </w:r>
          </w:p>
        </w:tc>
        <w:tc>
          <w:tcPr>
            <w:tcW w:w="784" w:type="dxa"/>
            <w:vAlign w:val="center"/>
          </w:tcPr>
          <w:p>
            <w:pPr>
              <w:spacing w:line="240" w:lineRule="exact"/>
              <w:jc w:val="center"/>
              <w:rPr>
                <w:kern w:val="0"/>
                <w:sz w:val="18"/>
                <w:szCs w:val="18"/>
              </w:rPr>
            </w:pPr>
            <w:r>
              <w:rPr>
                <w:rFonts w:hint="eastAsia"/>
                <w:kern w:val="0"/>
                <w:sz w:val="18"/>
                <w:szCs w:val="18"/>
              </w:rPr>
              <w:t>1</w:t>
            </w:r>
          </w:p>
        </w:tc>
        <w:tc>
          <w:tcPr>
            <w:tcW w:w="2880" w:type="dxa"/>
            <w:vAlign w:val="center"/>
          </w:tcPr>
          <w:p>
            <w:pPr>
              <w:spacing w:line="240" w:lineRule="exact"/>
              <w:jc w:val="left"/>
              <w:rPr>
                <w:kern w:val="0"/>
                <w:sz w:val="18"/>
                <w:szCs w:val="18"/>
              </w:rPr>
            </w:pPr>
            <w:r>
              <w:rPr>
                <w:kern w:val="0"/>
                <w:sz w:val="18"/>
                <w:szCs w:val="18"/>
              </w:rPr>
              <w:t>具有5年</w:t>
            </w:r>
            <w:r>
              <w:rPr>
                <w:rFonts w:hint="eastAsia"/>
                <w:kern w:val="0"/>
                <w:sz w:val="18"/>
                <w:szCs w:val="18"/>
              </w:rPr>
              <w:t>及</w:t>
            </w:r>
            <w:r>
              <w:rPr>
                <w:kern w:val="0"/>
                <w:sz w:val="18"/>
                <w:szCs w:val="18"/>
              </w:rPr>
              <w:t>以上相关施工经验，担任过1个</w:t>
            </w:r>
            <w:r>
              <w:rPr>
                <w:rFonts w:hint="eastAsia"/>
                <w:kern w:val="0"/>
                <w:sz w:val="18"/>
                <w:szCs w:val="18"/>
              </w:rPr>
              <w:t>及</w:t>
            </w:r>
            <w:r>
              <w:rPr>
                <w:kern w:val="0"/>
                <w:sz w:val="18"/>
                <w:szCs w:val="18"/>
              </w:rPr>
              <w:t>以上高速公路路面工程施工标段的项目经理，具有中级</w:t>
            </w:r>
            <w:r>
              <w:rPr>
                <w:rFonts w:hint="eastAsia"/>
                <w:kern w:val="0"/>
                <w:sz w:val="18"/>
                <w:szCs w:val="18"/>
              </w:rPr>
              <w:t>及</w:t>
            </w:r>
            <w:r>
              <w:rPr>
                <w:kern w:val="0"/>
                <w:sz w:val="18"/>
                <w:szCs w:val="18"/>
              </w:rPr>
              <w:t>以上技术职称，持公路工程一级注册建造师证书和省级</w:t>
            </w:r>
            <w:r>
              <w:rPr>
                <w:rFonts w:hint="eastAsia"/>
                <w:kern w:val="0"/>
                <w:sz w:val="18"/>
                <w:szCs w:val="18"/>
              </w:rPr>
              <w:t>及</w:t>
            </w:r>
            <w:r>
              <w:rPr>
                <w:kern w:val="0"/>
                <w:sz w:val="18"/>
                <w:szCs w:val="18"/>
              </w:rPr>
              <w:t>以上交通运输主管部门核发的安全生产考核B证。</w:t>
            </w:r>
          </w:p>
        </w:tc>
        <w:tc>
          <w:tcPr>
            <w:tcW w:w="1224" w:type="dxa"/>
            <w:vMerge w:val="restart"/>
            <w:vAlign w:val="center"/>
          </w:tcPr>
          <w:p>
            <w:pPr>
              <w:spacing w:line="300" w:lineRule="exact"/>
              <w:jc w:val="left"/>
              <w:rPr>
                <w:color w:val="000000"/>
                <w:sz w:val="18"/>
                <w:szCs w:val="18"/>
              </w:rPr>
            </w:pPr>
            <w:r>
              <w:rPr>
                <w:rFonts w:hint="eastAsia"/>
                <w:color w:val="000000"/>
                <w:sz w:val="18"/>
                <w:szCs w:val="18"/>
              </w:rPr>
              <w:t>无在岗项目（指目前未在其他项目上任职，或虽在其他项目上任职但本项目中标后能够从该项目撤离）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8" w:hRule="atLeast"/>
          <w:jc w:val="center"/>
        </w:trPr>
        <w:tc>
          <w:tcPr>
            <w:tcW w:w="755" w:type="dxa"/>
            <w:vMerge w:val="continue"/>
            <w:vAlign w:val="center"/>
          </w:tcPr>
          <w:p>
            <w:pPr>
              <w:tabs>
                <w:tab w:val="left" w:pos="1778"/>
              </w:tabs>
              <w:spacing w:line="240" w:lineRule="exact"/>
              <w:jc w:val="center"/>
              <w:rPr>
                <w:color w:val="000000"/>
                <w:sz w:val="18"/>
                <w:szCs w:val="18"/>
              </w:rPr>
            </w:pPr>
          </w:p>
        </w:tc>
        <w:tc>
          <w:tcPr>
            <w:tcW w:w="784" w:type="dxa"/>
            <w:vMerge w:val="continue"/>
            <w:vAlign w:val="center"/>
          </w:tcPr>
          <w:p>
            <w:pPr>
              <w:spacing w:line="240" w:lineRule="exact"/>
              <w:jc w:val="center"/>
              <w:rPr>
                <w:color w:val="000000"/>
                <w:sz w:val="18"/>
                <w:szCs w:val="18"/>
              </w:rPr>
            </w:pPr>
          </w:p>
        </w:tc>
        <w:tc>
          <w:tcPr>
            <w:tcW w:w="1178" w:type="dxa"/>
            <w:vMerge w:val="continue"/>
          </w:tcPr>
          <w:p>
            <w:pPr>
              <w:spacing w:line="240" w:lineRule="exact"/>
              <w:jc w:val="center"/>
              <w:rPr>
                <w:color w:val="000000"/>
                <w:sz w:val="18"/>
                <w:szCs w:val="18"/>
              </w:rPr>
            </w:pPr>
          </w:p>
        </w:tc>
        <w:tc>
          <w:tcPr>
            <w:tcW w:w="917" w:type="dxa"/>
            <w:vAlign w:val="center"/>
          </w:tcPr>
          <w:p>
            <w:pPr>
              <w:spacing w:line="240" w:lineRule="exact"/>
              <w:jc w:val="center"/>
              <w:rPr>
                <w:color w:val="000000"/>
                <w:sz w:val="18"/>
                <w:szCs w:val="18"/>
              </w:rPr>
            </w:pPr>
            <w:r>
              <w:rPr>
                <w:color w:val="000000"/>
                <w:sz w:val="18"/>
                <w:szCs w:val="18"/>
              </w:rPr>
              <w:t>项目总工</w:t>
            </w:r>
          </w:p>
        </w:tc>
        <w:tc>
          <w:tcPr>
            <w:tcW w:w="784" w:type="dxa"/>
            <w:vAlign w:val="center"/>
          </w:tcPr>
          <w:p>
            <w:pPr>
              <w:spacing w:line="240" w:lineRule="exact"/>
              <w:jc w:val="center"/>
              <w:rPr>
                <w:kern w:val="0"/>
                <w:sz w:val="18"/>
                <w:szCs w:val="18"/>
              </w:rPr>
            </w:pPr>
            <w:r>
              <w:rPr>
                <w:rFonts w:hint="eastAsia"/>
                <w:kern w:val="0"/>
                <w:sz w:val="18"/>
                <w:szCs w:val="18"/>
              </w:rPr>
              <w:t>1</w:t>
            </w:r>
          </w:p>
        </w:tc>
        <w:tc>
          <w:tcPr>
            <w:tcW w:w="2880" w:type="dxa"/>
            <w:vAlign w:val="center"/>
          </w:tcPr>
          <w:p>
            <w:pPr>
              <w:spacing w:line="240" w:lineRule="exact"/>
              <w:jc w:val="left"/>
              <w:rPr>
                <w:kern w:val="0"/>
                <w:sz w:val="18"/>
                <w:szCs w:val="18"/>
              </w:rPr>
            </w:pPr>
            <w:r>
              <w:rPr>
                <w:kern w:val="0"/>
                <w:sz w:val="18"/>
                <w:szCs w:val="18"/>
              </w:rPr>
              <w:t>具有5年</w:t>
            </w:r>
            <w:r>
              <w:rPr>
                <w:rFonts w:hint="eastAsia"/>
                <w:kern w:val="0"/>
                <w:sz w:val="18"/>
                <w:szCs w:val="18"/>
              </w:rPr>
              <w:t>及</w:t>
            </w:r>
            <w:r>
              <w:rPr>
                <w:kern w:val="0"/>
                <w:sz w:val="18"/>
                <w:szCs w:val="18"/>
              </w:rPr>
              <w:t>以上相关施工经验，担任过1个</w:t>
            </w:r>
            <w:r>
              <w:rPr>
                <w:rFonts w:hint="eastAsia"/>
                <w:kern w:val="0"/>
                <w:sz w:val="18"/>
                <w:szCs w:val="18"/>
              </w:rPr>
              <w:t>及</w:t>
            </w:r>
            <w:r>
              <w:rPr>
                <w:kern w:val="0"/>
                <w:sz w:val="18"/>
                <w:szCs w:val="18"/>
              </w:rPr>
              <w:t>以上高速公路路面工程施工标段的项目总工程师，具有高级</w:t>
            </w:r>
            <w:r>
              <w:rPr>
                <w:rFonts w:hint="eastAsia"/>
                <w:kern w:val="0"/>
                <w:sz w:val="18"/>
                <w:szCs w:val="18"/>
              </w:rPr>
              <w:t>及</w:t>
            </w:r>
            <w:r>
              <w:rPr>
                <w:kern w:val="0"/>
                <w:sz w:val="18"/>
                <w:szCs w:val="18"/>
              </w:rPr>
              <w:t>以上技术职称，持省级</w:t>
            </w:r>
            <w:r>
              <w:rPr>
                <w:rFonts w:hint="eastAsia"/>
                <w:kern w:val="0"/>
                <w:sz w:val="18"/>
                <w:szCs w:val="18"/>
              </w:rPr>
              <w:t>及</w:t>
            </w:r>
            <w:r>
              <w:rPr>
                <w:kern w:val="0"/>
                <w:sz w:val="18"/>
                <w:szCs w:val="18"/>
              </w:rPr>
              <w:t>以上交通运输主管部门核发的安全生产考核B证。</w:t>
            </w:r>
          </w:p>
        </w:tc>
        <w:tc>
          <w:tcPr>
            <w:tcW w:w="1224" w:type="dxa"/>
            <w:vMerge w:val="continue"/>
          </w:tcPr>
          <w:p>
            <w:pPr>
              <w:spacing w:line="240" w:lineRule="exact"/>
              <w:jc w:val="left"/>
              <w:rPr>
                <w:kern w:val="0"/>
                <w:sz w:val="18"/>
                <w:szCs w:val="18"/>
              </w:rPr>
            </w:pPr>
          </w:p>
        </w:tc>
      </w:tr>
    </w:tbl>
    <w:p>
      <w:pPr>
        <w:tabs>
          <w:tab w:val="left" w:pos="1778"/>
        </w:tabs>
        <w:spacing w:line="360" w:lineRule="auto"/>
        <w:ind w:firstLine="480" w:firstLineChars="200"/>
        <w:rPr>
          <w:color w:val="000000"/>
          <w:sz w:val="24"/>
        </w:rPr>
      </w:pPr>
      <w:r>
        <w:rPr>
          <w:color w:val="000000"/>
          <w:sz w:val="24"/>
        </w:rPr>
        <w:t>3.2 本次招标不接受联合体投标。</w:t>
      </w:r>
    </w:p>
    <w:p>
      <w:pPr>
        <w:tabs>
          <w:tab w:val="left" w:pos="1778"/>
        </w:tabs>
        <w:spacing w:line="360" w:lineRule="auto"/>
        <w:ind w:firstLine="482" w:firstLineChars="201"/>
        <w:rPr>
          <w:color w:val="000000"/>
          <w:sz w:val="24"/>
        </w:rPr>
      </w:pPr>
      <w:r>
        <w:rPr>
          <w:color w:val="000000"/>
          <w:sz w:val="24"/>
        </w:rPr>
        <w:t>3.3 满足要求的投标人，可按要求购买招标文件并递交投标文件，最终一个投标人只能获得一个标段的中标资格。</w:t>
      </w:r>
    </w:p>
    <w:p>
      <w:pPr>
        <w:tabs>
          <w:tab w:val="left" w:pos="1778"/>
        </w:tabs>
        <w:spacing w:line="360" w:lineRule="auto"/>
        <w:ind w:firstLine="480" w:firstLineChars="200"/>
        <w:rPr>
          <w:color w:val="000000"/>
          <w:sz w:val="24"/>
        </w:rPr>
      </w:pPr>
      <w:r>
        <w:rPr>
          <w:color w:val="000000"/>
          <w:sz w:val="24"/>
        </w:rPr>
        <w:t>3.4 单位负责人为同一人或者存在控股、管理关系的投标人为关联企业。若母公司参与投标，则同时参与投标的母公司与子公司、同一母公司的子公司均构成关联关系；关联企业在同一组别内通过商务及技术文件评审的投标人数量不得超过组别内的标段数，若出现关联企业个数大于组别内标段</w:t>
      </w:r>
      <w:r>
        <w:rPr>
          <w:rFonts w:hint="eastAsia"/>
          <w:color w:val="000000"/>
          <w:sz w:val="24"/>
        </w:rPr>
        <w:t>个</w:t>
      </w:r>
      <w:r>
        <w:rPr>
          <w:color w:val="000000"/>
          <w:sz w:val="24"/>
        </w:rPr>
        <w:t>数，则按投标文件中填报的满足要求的业绩累计合同额大的优先通过第一个信封评审，若业绩累计合同额相等时，以2017年企业营业额大的优先通过第一个信封评审。</w:t>
      </w:r>
    </w:p>
    <w:p>
      <w:pPr>
        <w:tabs>
          <w:tab w:val="left" w:pos="1778"/>
        </w:tabs>
        <w:spacing w:line="360" w:lineRule="auto"/>
        <w:ind w:firstLine="480" w:firstLineChars="200"/>
        <w:rPr>
          <w:sz w:val="24"/>
        </w:rPr>
      </w:pPr>
      <w:r>
        <w:rPr>
          <w:color w:val="000000"/>
          <w:sz w:val="24"/>
        </w:rPr>
        <w:t>关联企业不能同时获得施工及施工监理标段（具有监理与被监理关系）的中标资格。如若出现，则优先保留施工标段的中标资格，取消监理标段的中标资格。</w:t>
      </w:r>
    </w:p>
    <w:p>
      <w:pPr>
        <w:tabs>
          <w:tab w:val="left" w:pos="1778"/>
        </w:tabs>
        <w:spacing w:line="360" w:lineRule="auto"/>
        <w:ind w:firstLine="480" w:firstLineChars="200"/>
        <w:rPr>
          <w:sz w:val="24"/>
        </w:rPr>
      </w:pPr>
      <w:r>
        <w:rPr>
          <w:color w:val="000000"/>
          <w:sz w:val="24"/>
        </w:rPr>
        <w:t>4. 评标办法</w:t>
      </w:r>
    </w:p>
    <w:p>
      <w:pPr>
        <w:spacing w:line="400" w:lineRule="exact"/>
        <w:ind w:firstLine="480" w:firstLineChars="200"/>
        <w:rPr>
          <w:color w:val="000000"/>
          <w:sz w:val="24"/>
        </w:rPr>
      </w:pPr>
      <w:r>
        <w:rPr>
          <w:color w:val="000000"/>
          <w:sz w:val="24"/>
        </w:rPr>
        <w:t>本次路面工程施工招标采用资格后审</w:t>
      </w:r>
      <w:r>
        <w:rPr>
          <w:rFonts w:hint="eastAsia"/>
          <w:color w:val="000000"/>
          <w:sz w:val="24"/>
        </w:rPr>
        <w:t>，</w:t>
      </w:r>
      <w:r>
        <w:rPr>
          <w:color w:val="000000"/>
          <w:sz w:val="24"/>
        </w:rPr>
        <w:t>合理低价法评标。</w:t>
      </w:r>
    </w:p>
    <w:p>
      <w:pPr>
        <w:spacing w:line="400" w:lineRule="exact"/>
        <w:ind w:firstLine="480" w:firstLineChars="200"/>
        <w:rPr>
          <w:color w:val="000000"/>
          <w:sz w:val="24"/>
        </w:rPr>
      </w:pPr>
      <w:r>
        <w:rPr>
          <w:color w:val="000000"/>
          <w:sz w:val="24"/>
        </w:rPr>
        <w:t>5. 招标文件的获取</w:t>
      </w:r>
    </w:p>
    <w:p>
      <w:pPr>
        <w:pStyle w:val="11"/>
        <w:adjustRightInd/>
        <w:spacing w:line="400" w:lineRule="exact"/>
        <w:ind w:firstLine="480" w:firstLineChars="200"/>
        <w:rPr>
          <w:rFonts w:ascii="Times New Roman" w:hAnsi="Times New Roman"/>
          <w:color w:val="000000"/>
          <w:sz w:val="24"/>
          <w:szCs w:val="24"/>
        </w:rPr>
      </w:pPr>
      <w:r>
        <w:rPr>
          <w:rFonts w:ascii="Times New Roman" w:hAnsi="Times New Roman"/>
          <w:color w:val="000000"/>
          <w:sz w:val="24"/>
          <w:szCs w:val="24"/>
        </w:rPr>
        <w:t>5.1 凡具备条件的投标人，请于2018年12月18日至2018年12月22日（节假日</w:t>
      </w:r>
      <w:r>
        <w:rPr>
          <w:rFonts w:hint="eastAsia" w:ascii="Times New Roman" w:hAnsi="Times New Roman"/>
          <w:color w:val="000000"/>
          <w:sz w:val="24"/>
          <w:szCs w:val="24"/>
        </w:rPr>
        <w:t>不</w:t>
      </w:r>
      <w:r>
        <w:rPr>
          <w:rFonts w:ascii="Times New Roman" w:hAnsi="Times New Roman"/>
          <w:color w:val="000000"/>
          <w:sz w:val="24"/>
          <w:szCs w:val="24"/>
        </w:rPr>
        <w:t>休</w:t>
      </w:r>
      <w:r>
        <w:rPr>
          <w:rFonts w:hint="eastAsia" w:ascii="Times New Roman" w:hAnsi="Times New Roman"/>
          <w:color w:val="000000"/>
          <w:sz w:val="24"/>
          <w:szCs w:val="24"/>
        </w:rPr>
        <w:t>息</w:t>
      </w:r>
      <w:r>
        <w:rPr>
          <w:rFonts w:ascii="Times New Roman" w:hAnsi="Times New Roman"/>
          <w:color w:val="000000"/>
          <w:sz w:val="24"/>
          <w:szCs w:val="24"/>
        </w:rPr>
        <w:t>），每日上午8：30至11:30（北京时间，下同），下午14:30至16:30，在</w:t>
      </w:r>
      <w:bookmarkStart w:id="4" w:name="_Hlk532292820"/>
      <w:r>
        <w:rPr>
          <w:rFonts w:ascii="Times New Roman" w:hAnsi="Times New Roman"/>
          <w:color w:val="000000"/>
          <w:sz w:val="24"/>
          <w:szCs w:val="24"/>
          <w:u w:val="single"/>
        </w:rPr>
        <w:t>西安市</w:t>
      </w:r>
      <w:r>
        <w:rPr>
          <w:rFonts w:hint="eastAsia" w:ascii="Times New Roman" w:hAnsi="Times New Roman"/>
          <w:color w:val="000000"/>
          <w:sz w:val="24"/>
          <w:szCs w:val="24"/>
          <w:u w:val="single"/>
        </w:rPr>
        <w:t>中江</w:t>
      </w:r>
      <w:r>
        <w:rPr>
          <w:rFonts w:ascii="Times New Roman" w:hAnsi="Times New Roman"/>
          <w:color w:val="000000"/>
          <w:sz w:val="24"/>
          <w:szCs w:val="24"/>
          <w:u w:val="single"/>
        </w:rPr>
        <w:t>酒店</w:t>
      </w:r>
      <w:bookmarkEnd w:id="4"/>
      <w:r>
        <w:rPr>
          <w:rFonts w:ascii="Times New Roman" w:hAnsi="Times New Roman"/>
          <w:color w:val="000000"/>
          <w:sz w:val="24"/>
          <w:szCs w:val="24"/>
          <w:u w:val="single"/>
        </w:rPr>
        <w:t>（详见大厅公告）</w:t>
      </w:r>
      <w:r>
        <w:rPr>
          <w:rFonts w:ascii="Times New Roman" w:hAnsi="Times New Roman"/>
          <w:color w:val="000000"/>
          <w:sz w:val="24"/>
          <w:szCs w:val="24"/>
        </w:rPr>
        <w:t>，持单位介绍信、经办人身份证原件及复印件（加盖单位公章）购买招标文件。</w:t>
      </w:r>
    </w:p>
    <w:p>
      <w:pPr>
        <w:pStyle w:val="11"/>
        <w:adjustRightInd/>
        <w:spacing w:line="400" w:lineRule="exact"/>
        <w:ind w:firstLine="480" w:firstLineChars="200"/>
        <w:rPr>
          <w:rFonts w:ascii="Times New Roman" w:hAnsi="Times New Roman"/>
          <w:color w:val="000000"/>
          <w:sz w:val="24"/>
          <w:szCs w:val="24"/>
        </w:rPr>
      </w:pPr>
      <w:r>
        <w:rPr>
          <w:rFonts w:ascii="Times New Roman" w:hAnsi="Times New Roman"/>
          <w:color w:val="000000"/>
          <w:sz w:val="24"/>
          <w:szCs w:val="24"/>
        </w:rPr>
        <w:t>5.2 投标人按组别购买招标文件，招标文件每套售价1000元，图纸（</w:t>
      </w:r>
      <w:r>
        <w:rPr>
          <w:rFonts w:hint="eastAsia" w:ascii="Times New Roman" w:hAnsi="Times New Roman"/>
          <w:color w:val="000000"/>
          <w:sz w:val="24"/>
          <w:szCs w:val="24"/>
        </w:rPr>
        <w:t>电子版</w:t>
      </w:r>
      <w:r>
        <w:rPr>
          <w:rFonts w:ascii="Times New Roman" w:hAnsi="Times New Roman"/>
          <w:color w:val="000000"/>
          <w:sz w:val="24"/>
          <w:szCs w:val="24"/>
        </w:rPr>
        <w:t>）每套售价1000元，现金发售，售后不退，仅提供收据。</w:t>
      </w:r>
    </w:p>
    <w:p>
      <w:pPr>
        <w:spacing w:line="400" w:lineRule="exact"/>
        <w:ind w:firstLine="480" w:firstLineChars="200"/>
        <w:rPr>
          <w:color w:val="000000"/>
          <w:sz w:val="24"/>
        </w:rPr>
      </w:pPr>
      <w:r>
        <w:rPr>
          <w:color w:val="000000"/>
          <w:sz w:val="24"/>
        </w:rPr>
        <w:t>6. 投标文件的递交</w:t>
      </w:r>
    </w:p>
    <w:p>
      <w:pPr>
        <w:pStyle w:val="11"/>
        <w:adjustRightInd/>
        <w:spacing w:line="400" w:lineRule="exact"/>
        <w:ind w:firstLine="480" w:firstLineChars="200"/>
        <w:rPr>
          <w:rFonts w:ascii="Times New Roman" w:hAnsi="Times New Roman"/>
          <w:color w:val="000000"/>
          <w:sz w:val="24"/>
          <w:szCs w:val="24"/>
        </w:rPr>
      </w:pPr>
      <w:r>
        <w:rPr>
          <w:rFonts w:ascii="Times New Roman" w:hAnsi="Times New Roman"/>
          <w:color w:val="000000"/>
          <w:sz w:val="24"/>
          <w:szCs w:val="24"/>
        </w:rPr>
        <w:t>6.1 递交投标文件的截止时间（投标截止时间，下同）为2019年1月7日14:00时，投标人应于当日9:00至14:00将投标文件递交至</w:t>
      </w:r>
      <w:r>
        <w:rPr>
          <w:rFonts w:ascii="Times New Roman" w:hAnsi="Times New Roman"/>
          <w:color w:val="000000"/>
          <w:sz w:val="24"/>
          <w:szCs w:val="24"/>
          <w:u w:val="single"/>
        </w:rPr>
        <w:t>西安市</w:t>
      </w:r>
      <w:r>
        <w:rPr>
          <w:rFonts w:hint="eastAsia" w:ascii="Times New Roman" w:hAnsi="Times New Roman"/>
          <w:color w:val="000000"/>
          <w:sz w:val="24"/>
          <w:szCs w:val="24"/>
          <w:u w:val="single"/>
        </w:rPr>
        <w:t>中江</w:t>
      </w:r>
      <w:r>
        <w:rPr>
          <w:rFonts w:ascii="Times New Roman" w:hAnsi="Times New Roman"/>
          <w:color w:val="000000"/>
          <w:sz w:val="24"/>
          <w:szCs w:val="24"/>
          <w:u w:val="single"/>
        </w:rPr>
        <w:t>酒店（详见大厅公告）</w:t>
      </w:r>
      <w:r>
        <w:rPr>
          <w:rFonts w:ascii="Times New Roman" w:hAnsi="Times New Roman"/>
          <w:color w:val="000000"/>
          <w:sz w:val="24"/>
          <w:szCs w:val="24"/>
        </w:rPr>
        <w:t>。</w:t>
      </w:r>
    </w:p>
    <w:p>
      <w:pPr>
        <w:pStyle w:val="11"/>
        <w:adjustRightInd/>
        <w:spacing w:line="400" w:lineRule="exact"/>
        <w:ind w:firstLine="480" w:firstLineChars="200"/>
        <w:rPr>
          <w:rFonts w:ascii="Times New Roman" w:hAnsi="Times New Roman"/>
          <w:color w:val="000000"/>
          <w:sz w:val="24"/>
          <w:szCs w:val="24"/>
        </w:rPr>
      </w:pPr>
      <w:r>
        <w:rPr>
          <w:rFonts w:ascii="Times New Roman" w:hAnsi="Times New Roman"/>
          <w:color w:val="000000"/>
          <w:sz w:val="24"/>
          <w:szCs w:val="24"/>
        </w:rPr>
        <w:t>6.2 逾期送达、未送达指定地点或不按照招标文件要求密封的投标文件，招标人将予以拒收。</w:t>
      </w:r>
    </w:p>
    <w:p>
      <w:pPr>
        <w:pStyle w:val="11"/>
        <w:adjustRightInd/>
        <w:spacing w:line="400" w:lineRule="exact"/>
        <w:ind w:firstLine="480" w:firstLineChars="200"/>
        <w:rPr>
          <w:rFonts w:ascii="Times New Roman" w:hAnsi="Times New Roman"/>
          <w:color w:val="000000"/>
          <w:sz w:val="24"/>
          <w:szCs w:val="24"/>
        </w:rPr>
      </w:pPr>
      <w:r>
        <w:rPr>
          <w:rFonts w:ascii="Times New Roman" w:hAnsi="Times New Roman"/>
          <w:color w:val="000000"/>
          <w:sz w:val="24"/>
          <w:szCs w:val="24"/>
        </w:rPr>
        <w:t>6.3 投标人须提交投标保证金：人民币200万元/投标人（现金或银行保函）</w:t>
      </w:r>
    </w:p>
    <w:p>
      <w:pPr>
        <w:tabs>
          <w:tab w:val="left" w:pos="1778"/>
        </w:tabs>
        <w:spacing w:line="400" w:lineRule="exact"/>
        <w:ind w:firstLine="480" w:firstLineChars="200"/>
        <w:rPr>
          <w:color w:val="000000"/>
          <w:sz w:val="24"/>
        </w:rPr>
      </w:pPr>
      <w:r>
        <w:rPr>
          <w:color w:val="000000"/>
          <w:sz w:val="24"/>
        </w:rPr>
        <w:t>7. 发布公告的媒介</w:t>
      </w:r>
    </w:p>
    <w:p>
      <w:pPr>
        <w:tabs>
          <w:tab w:val="left" w:pos="1778"/>
        </w:tabs>
        <w:spacing w:line="400" w:lineRule="exact"/>
        <w:ind w:firstLine="480" w:firstLineChars="200"/>
        <w:rPr>
          <w:color w:val="000000"/>
          <w:sz w:val="24"/>
        </w:rPr>
      </w:pPr>
      <w:r>
        <w:rPr>
          <w:color w:val="000000"/>
          <w:sz w:val="24"/>
        </w:rPr>
        <w:t>本次招标公告同时在陕西采购与招标网、陕西省交通运输厅、陕西省交通建设集团公司网站上发布。</w:t>
      </w:r>
    </w:p>
    <w:p>
      <w:pPr>
        <w:tabs>
          <w:tab w:val="left" w:pos="1778"/>
        </w:tabs>
        <w:spacing w:line="400" w:lineRule="exact"/>
        <w:ind w:firstLine="480" w:firstLineChars="200"/>
        <w:rPr>
          <w:color w:val="000000"/>
          <w:sz w:val="24"/>
          <w:szCs w:val="32"/>
        </w:rPr>
      </w:pPr>
      <w:r>
        <w:rPr>
          <w:color w:val="000000"/>
          <w:sz w:val="24"/>
        </w:rPr>
        <w:t>8. 自出售招标文件之</w:t>
      </w:r>
      <w:r>
        <w:rPr>
          <w:color w:val="000000"/>
          <w:sz w:val="24"/>
          <w:szCs w:val="32"/>
        </w:rPr>
        <w:t>日起，将陕西省交通建设集团公司</w:t>
      </w:r>
      <w:r>
        <w:rPr>
          <w:rFonts w:hint="eastAsia"/>
          <w:color w:val="000000"/>
          <w:sz w:val="24"/>
          <w:szCs w:val="32"/>
        </w:rPr>
        <w:t>网站</w:t>
      </w:r>
      <w:r>
        <w:rPr>
          <w:color w:val="000000"/>
          <w:sz w:val="24"/>
          <w:szCs w:val="32"/>
        </w:rPr>
        <w:t>公布项目概况、对投标人的资格审查条件、评标办法、招标人联系方式等关键内容。</w:t>
      </w:r>
    </w:p>
    <w:p>
      <w:pPr>
        <w:spacing w:line="400" w:lineRule="exact"/>
        <w:ind w:firstLine="480" w:firstLineChars="200"/>
        <w:rPr>
          <w:color w:val="000000"/>
          <w:sz w:val="24"/>
        </w:rPr>
      </w:pPr>
      <w:r>
        <w:rPr>
          <w:color w:val="000000"/>
          <w:sz w:val="24"/>
        </w:rPr>
        <w:t>9. 联系方式</w:t>
      </w:r>
    </w:p>
    <w:p>
      <w:pPr>
        <w:spacing w:line="400" w:lineRule="exact"/>
        <w:ind w:firstLine="480" w:firstLineChars="200"/>
        <w:rPr>
          <w:color w:val="000000"/>
          <w:sz w:val="24"/>
        </w:rPr>
      </w:pPr>
      <w:r>
        <w:rPr>
          <w:color w:val="000000"/>
          <w:sz w:val="24"/>
        </w:rPr>
        <w:t>招 标 人：陕西省交通建设集团公司    地    址：西安市唐延路6号</w:t>
      </w:r>
    </w:p>
    <w:p>
      <w:pPr>
        <w:spacing w:line="400" w:lineRule="exact"/>
        <w:ind w:firstLine="480" w:firstLineChars="200"/>
        <w:rPr>
          <w:color w:val="000000"/>
          <w:sz w:val="24"/>
        </w:rPr>
      </w:pPr>
      <w:r>
        <w:rPr>
          <w:color w:val="000000"/>
          <w:sz w:val="24"/>
        </w:rPr>
        <w:t xml:space="preserve">邮    编：710075                    联 系 人：李先生  </w:t>
      </w:r>
    </w:p>
    <w:p>
      <w:pPr>
        <w:spacing w:line="400" w:lineRule="exact"/>
        <w:ind w:firstLine="480" w:firstLineChars="200"/>
        <w:rPr>
          <w:color w:val="000000"/>
          <w:sz w:val="24"/>
        </w:rPr>
      </w:pPr>
      <w:r>
        <w:rPr>
          <w:color w:val="000000"/>
          <w:sz w:val="24"/>
        </w:rPr>
        <w:t>电    话：029-88869941  0915</w:t>
      </w:r>
      <w:r>
        <w:rPr>
          <w:rFonts w:hint="eastAsia"/>
          <w:color w:val="000000"/>
          <w:sz w:val="24"/>
        </w:rPr>
        <w:t>-</w:t>
      </w:r>
      <w:r>
        <w:rPr>
          <w:color w:val="000000"/>
          <w:sz w:val="24"/>
        </w:rPr>
        <w:t>8412676</w:t>
      </w:r>
    </w:p>
    <w:p>
      <w:pPr>
        <w:spacing w:line="400" w:lineRule="exact"/>
        <w:ind w:firstLine="480" w:firstLineChars="200"/>
        <w:rPr>
          <w:color w:val="000000"/>
          <w:sz w:val="24"/>
        </w:rPr>
      </w:pPr>
      <w:r>
        <w:rPr>
          <w:color w:val="000000"/>
          <w:sz w:val="24"/>
        </w:rPr>
        <w:t>传    真：0915</w:t>
      </w:r>
      <w:r>
        <w:rPr>
          <w:rFonts w:hint="eastAsia"/>
          <w:color w:val="000000"/>
          <w:sz w:val="24"/>
        </w:rPr>
        <w:t>-</w:t>
      </w:r>
      <w:r>
        <w:rPr>
          <w:color w:val="000000"/>
          <w:sz w:val="24"/>
        </w:rPr>
        <w:t>8412303</w:t>
      </w:r>
    </w:p>
    <w:p>
      <w:pPr>
        <w:spacing w:line="400" w:lineRule="exact"/>
        <w:ind w:firstLine="480" w:firstLineChars="200"/>
        <w:jc w:val="left"/>
        <w:rPr>
          <w:color w:val="000000"/>
          <w:sz w:val="24"/>
        </w:rPr>
      </w:pPr>
    </w:p>
    <w:p>
      <w:pPr>
        <w:spacing w:line="400" w:lineRule="exact"/>
        <w:ind w:firstLine="480" w:firstLineChars="200"/>
        <w:jc w:val="right"/>
        <w:rPr>
          <w:color w:val="000000"/>
          <w:sz w:val="24"/>
        </w:rPr>
      </w:pPr>
      <w:bookmarkStart w:id="6" w:name="_GoBack"/>
      <w:bookmarkEnd w:id="6"/>
      <w:r>
        <w:rPr>
          <w:rFonts w:hint="eastAsia"/>
          <w:color w:val="000000"/>
          <w:sz w:val="24"/>
        </w:rPr>
        <w:t>2</w:t>
      </w:r>
      <w:r>
        <w:rPr>
          <w:color w:val="000000"/>
          <w:sz w:val="24"/>
        </w:rPr>
        <w:t>018年12月17日</w:t>
      </w:r>
    </w:p>
    <w:p>
      <w:pPr>
        <w:spacing w:line="400" w:lineRule="exact"/>
        <w:ind w:firstLine="480" w:firstLineChars="200"/>
        <w:jc w:val="right"/>
        <w:rPr>
          <w:color w:val="000000"/>
          <w:sz w:val="24"/>
        </w:rPr>
      </w:pPr>
    </w:p>
    <w:p>
      <w:pPr>
        <w:spacing w:line="400" w:lineRule="exact"/>
        <w:ind w:firstLine="480" w:firstLineChars="200"/>
        <w:jc w:val="right"/>
        <w:rPr>
          <w:color w:val="000000"/>
          <w:sz w:val="24"/>
        </w:rPr>
      </w:pPr>
    </w:p>
    <w:p>
      <w:pPr>
        <w:tabs>
          <w:tab w:val="left" w:pos="1778"/>
        </w:tabs>
        <w:spacing w:line="360" w:lineRule="exact"/>
        <w:jc w:val="left"/>
        <w:rPr>
          <w:b/>
          <w:color w:val="000000"/>
          <w:szCs w:val="21"/>
        </w:rPr>
      </w:pPr>
      <w:bookmarkStart w:id="5" w:name="_Hlk521679861"/>
      <w:r>
        <w:rPr>
          <w:b/>
          <w:color w:val="000000"/>
          <w:szCs w:val="21"/>
        </w:rPr>
        <w:t>注：（1）招标公告及文件中</w:t>
      </w:r>
      <w:r>
        <w:rPr>
          <w:rFonts w:hint="eastAsia"/>
          <w:b/>
          <w:color w:val="000000"/>
          <w:szCs w:val="21"/>
        </w:rPr>
        <w:t>要求投标人提供的各类证照</w:t>
      </w:r>
      <w:r>
        <w:rPr>
          <w:b/>
          <w:color w:val="000000"/>
          <w:szCs w:val="21"/>
        </w:rPr>
        <w:t>复印件均指彩色扫描件或彩色复印件</w:t>
      </w:r>
      <w:r>
        <w:rPr>
          <w:rFonts w:hint="eastAsia"/>
          <w:b/>
          <w:color w:val="000000"/>
          <w:szCs w:val="21"/>
        </w:rPr>
        <w:t>，其他资料的复印件可为黑白扫描件或黑白复印件，扫描件或复印件内容应清晰可辩，否则评审时不予认可</w:t>
      </w:r>
      <w:r>
        <w:rPr>
          <w:b/>
          <w:color w:val="000000"/>
          <w:szCs w:val="21"/>
        </w:rPr>
        <w:t>。</w:t>
      </w:r>
    </w:p>
    <w:p>
      <w:pPr>
        <w:tabs>
          <w:tab w:val="left" w:pos="1778"/>
        </w:tabs>
        <w:spacing w:line="400" w:lineRule="exact"/>
        <w:ind w:firstLine="282" w:firstLineChars="134"/>
        <w:rPr>
          <w:sz w:val="24"/>
        </w:rPr>
      </w:pPr>
      <w:r>
        <w:rPr>
          <w:b/>
          <w:color w:val="000000"/>
          <w:szCs w:val="21"/>
        </w:rPr>
        <w:t>（2）招标公告及文件中提到的货币单位除有特别说明外，均指人民币元。</w:t>
      </w:r>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05B97"/>
    <w:rsid w:val="000017C9"/>
    <w:rsid w:val="000334C5"/>
    <w:rsid w:val="00036A91"/>
    <w:rsid w:val="00044E11"/>
    <w:rsid w:val="0006234D"/>
    <w:rsid w:val="000712F3"/>
    <w:rsid w:val="000A5119"/>
    <w:rsid w:val="000C38BA"/>
    <w:rsid w:val="000C4631"/>
    <w:rsid w:val="000C56D2"/>
    <w:rsid w:val="000F6DA9"/>
    <w:rsid w:val="0012076C"/>
    <w:rsid w:val="00171197"/>
    <w:rsid w:val="001E22D0"/>
    <w:rsid w:val="001F3BB5"/>
    <w:rsid w:val="00205511"/>
    <w:rsid w:val="002144CB"/>
    <w:rsid w:val="00314AF0"/>
    <w:rsid w:val="0032599F"/>
    <w:rsid w:val="00337F16"/>
    <w:rsid w:val="003448F3"/>
    <w:rsid w:val="003926DF"/>
    <w:rsid w:val="0039488F"/>
    <w:rsid w:val="003A3456"/>
    <w:rsid w:val="003D2908"/>
    <w:rsid w:val="003D7EEC"/>
    <w:rsid w:val="003E1A54"/>
    <w:rsid w:val="003E6A2C"/>
    <w:rsid w:val="00401177"/>
    <w:rsid w:val="00414299"/>
    <w:rsid w:val="00425A23"/>
    <w:rsid w:val="00440557"/>
    <w:rsid w:val="00483191"/>
    <w:rsid w:val="0049209E"/>
    <w:rsid w:val="004B0E4E"/>
    <w:rsid w:val="004F152E"/>
    <w:rsid w:val="005028EE"/>
    <w:rsid w:val="00512684"/>
    <w:rsid w:val="00514CAF"/>
    <w:rsid w:val="005337F1"/>
    <w:rsid w:val="00533B14"/>
    <w:rsid w:val="00541D11"/>
    <w:rsid w:val="005D59EF"/>
    <w:rsid w:val="005E1425"/>
    <w:rsid w:val="00670B12"/>
    <w:rsid w:val="00683B8B"/>
    <w:rsid w:val="00692538"/>
    <w:rsid w:val="006C0DCF"/>
    <w:rsid w:val="006C565C"/>
    <w:rsid w:val="00732A66"/>
    <w:rsid w:val="007658D7"/>
    <w:rsid w:val="007B56DB"/>
    <w:rsid w:val="008325A7"/>
    <w:rsid w:val="0084756B"/>
    <w:rsid w:val="00851C45"/>
    <w:rsid w:val="0088695D"/>
    <w:rsid w:val="008A5BFE"/>
    <w:rsid w:val="008B4D7F"/>
    <w:rsid w:val="008D4B39"/>
    <w:rsid w:val="008F056C"/>
    <w:rsid w:val="008F3A0D"/>
    <w:rsid w:val="0090351B"/>
    <w:rsid w:val="00903F00"/>
    <w:rsid w:val="00954112"/>
    <w:rsid w:val="0096394E"/>
    <w:rsid w:val="00976C02"/>
    <w:rsid w:val="00A06BBB"/>
    <w:rsid w:val="00A505D8"/>
    <w:rsid w:val="00A82693"/>
    <w:rsid w:val="00A90620"/>
    <w:rsid w:val="00A92F2A"/>
    <w:rsid w:val="00A931C7"/>
    <w:rsid w:val="00AB6779"/>
    <w:rsid w:val="00AB784E"/>
    <w:rsid w:val="00BC483C"/>
    <w:rsid w:val="00BD2F4A"/>
    <w:rsid w:val="00BE4627"/>
    <w:rsid w:val="00C355F2"/>
    <w:rsid w:val="00C4107B"/>
    <w:rsid w:val="00C6319D"/>
    <w:rsid w:val="00C80FF4"/>
    <w:rsid w:val="00CC4699"/>
    <w:rsid w:val="00CD38A6"/>
    <w:rsid w:val="00CD3BB6"/>
    <w:rsid w:val="00CE4DD1"/>
    <w:rsid w:val="00D03A74"/>
    <w:rsid w:val="00D06D9F"/>
    <w:rsid w:val="00D17A50"/>
    <w:rsid w:val="00D30026"/>
    <w:rsid w:val="00D3411B"/>
    <w:rsid w:val="00D66736"/>
    <w:rsid w:val="00D67A10"/>
    <w:rsid w:val="00D82DC5"/>
    <w:rsid w:val="00D97686"/>
    <w:rsid w:val="00DE01DE"/>
    <w:rsid w:val="00DF196B"/>
    <w:rsid w:val="00E00582"/>
    <w:rsid w:val="00E2295D"/>
    <w:rsid w:val="00E24CF7"/>
    <w:rsid w:val="00F05B97"/>
    <w:rsid w:val="00F75C65"/>
    <w:rsid w:val="00F91FFE"/>
    <w:rsid w:val="00FC5FBE"/>
    <w:rsid w:val="00FD3CBD"/>
    <w:rsid w:val="14B532BB"/>
    <w:rsid w:val="1DFD50E1"/>
    <w:rsid w:val="240D338E"/>
    <w:rsid w:val="252170A2"/>
    <w:rsid w:val="27280F8C"/>
    <w:rsid w:val="3AD914A8"/>
    <w:rsid w:val="52FD33A6"/>
    <w:rsid w:val="6D7C045F"/>
    <w:rsid w:val="7E164BAA"/>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0"/>
    <w:unhideWhenUsed/>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Hyperlink"/>
    <w:basedOn w:val="5"/>
    <w:qFormat/>
    <w:uiPriority w:val="99"/>
    <w:rPr>
      <w:color w:val="0000FF"/>
      <w:u w:val="single"/>
    </w:rPr>
  </w:style>
  <w:style w:type="character" w:customStyle="1" w:styleId="8">
    <w:name w:val="页眉 字符"/>
    <w:basedOn w:val="5"/>
    <w:link w:val="4"/>
    <w:semiHidden/>
    <w:qFormat/>
    <w:uiPriority w:val="99"/>
    <w:rPr>
      <w:sz w:val="18"/>
      <w:szCs w:val="18"/>
    </w:rPr>
  </w:style>
  <w:style w:type="character" w:customStyle="1" w:styleId="9">
    <w:name w:val="页脚 字符"/>
    <w:basedOn w:val="5"/>
    <w:link w:val="3"/>
    <w:semiHidden/>
    <w:qFormat/>
    <w:uiPriority w:val="99"/>
    <w:rPr>
      <w:sz w:val="18"/>
      <w:szCs w:val="18"/>
    </w:rPr>
  </w:style>
  <w:style w:type="character" w:customStyle="1" w:styleId="10">
    <w:name w:val="批注框文本 字符"/>
    <w:basedOn w:val="5"/>
    <w:link w:val="2"/>
    <w:semiHidden/>
    <w:qFormat/>
    <w:uiPriority w:val="99"/>
    <w:rPr>
      <w:rFonts w:ascii="Times New Roman" w:hAnsi="Times New Roman" w:eastAsia="宋体" w:cs="Times New Roman"/>
      <w:sz w:val="18"/>
      <w:szCs w:val="18"/>
    </w:rPr>
  </w:style>
  <w:style w:type="paragraph" w:customStyle="1" w:styleId="11">
    <w:name w:val="纯文本1"/>
    <w:basedOn w:val="1"/>
    <w:qFormat/>
    <w:uiPriority w:val="0"/>
    <w:pPr>
      <w:adjustRightInd w:val="0"/>
      <w:textAlignment w:val="baseline"/>
    </w:pPr>
    <w:rPr>
      <w:rFonts w:ascii="宋体" w:hAnsi="Courier New"/>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Micorsoft</Company>
  <Pages>4</Pages>
  <Words>523</Words>
  <Characters>2983</Characters>
  <Lines>24</Lines>
  <Paragraphs>6</Paragraphs>
  <ScaleCrop>false</ScaleCrop>
  <LinksUpToDate>false</LinksUpToDate>
  <CharactersWithSpaces>3500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2016-08-15T06:41:00Z</dcterms:created>
  <dc:creator>user</dc:creator>
  <cp:lastModifiedBy>lyt</cp:lastModifiedBy>
  <cp:lastPrinted>2018-12-16T11:55:00Z</cp:lastPrinted>
  <dcterms:modified xsi:type="dcterms:W3CDTF">2018-12-18T07:14:28Z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