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5D6A29">
      <w:pPr>
        <w:tabs>
          <w:tab w:val="left" w:pos="1778"/>
        </w:tabs>
        <w:spacing w:line="760" w:lineRule="exact"/>
        <w:jc w:val="center"/>
        <w:rPr>
          <w:rFonts w:hint="eastAsia" w:ascii="Times New Roman" w:hAnsiTheme="minorEastAsia" w:eastAsiaTheme="minorEastAsia"/>
          <w:b/>
          <w:sz w:val="36"/>
          <w:szCs w:val="36"/>
        </w:rPr>
      </w:pPr>
      <w:r>
        <w:rPr>
          <w:rFonts w:hint="eastAsia" w:ascii="Times New Roman" w:hAnsiTheme="minorEastAsia" w:eastAsiaTheme="minorEastAsia"/>
          <w:b/>
          <w:sz w:val="36"/>
          <w:szCs w:val="36"/>
        </w:rPr>
        <w:t>国家高速公路银百线安康至岚皋（陕渝界）高速公路</w:t>
      </w:r>
    </w:p>
    <w:p w14:paraId="1646124B">
      <w:pPr>
        <w:tabs>
          <w:tab w:val="left" w:pos="1778"/>
        </w:tabs>
        <w:spacing w:line="760" w:lineRule="exact"/>
        <w:jc w:val="center"/>
        <w:rPr>
          <w:rFonts w:hint="eastAsia" w:ascii="Times New Roman" w:hAnsiTheme="minorEastAsia" w:eastAsiaTheme="minorEastAsia"/>
          <w:b/>
          <w:sz w:val="36"/>
          <w:szCs w:val="36"/>
        </w:rPr>
      </w:pPr>
      <w:r>
        <w:rPr>
          <w:rFonts w:hint="eastAsia" w:ascii="Times New Roman" w:hAnsiTheme="minorEastAsia" w:eastAsiaTheme="minorEastAsia"/>
          <w:b/>
          <w:sz w:val="36"/>
          <w:szCs w:val="36"/>
        </w:rPr>
        <w:t>岚皋至陕渝界段房建施工监理</w:t>
      </w:r>
      <w:r>
        <w:rPr>
          <w:rFonts w:ascii="Times New Roman" w:hAnsiTheme="minorEastAsia" w:eastAsiaTheme="minorEastAsia"/>
          <w:b/>
          <w:sz w:val="36"/>
          <w:szCs w:val="36"/>
        </w:rPr>
        <w:t>招标</w:t>
      </w:r>
      <w:r>
        <w:rPr>
          <w:rFonts w:hint="eastAsia" w:ascii="Times New Roman" w:hAnsiTheme="minorEastAsia" w:eastAsiaTheme="minorEastAsia"/>
          <w:b/>
          <w:sz w:val="36"/>
          <w:szCs w:val="36"/>
        </w:rPr>
        <w:t>关键内容公示</w:t>
      </w:r>
    </w:p>
    <w:p w14:paraId="66B685FC">
      <w:pPr>
        <w:spacing w:line="360" w:lineRule="auto"/>
        <w:rPr>
          <w:rFonts w:hint="eastAsia" w:ascii="黑体" w:hAnsi="黑体" w:eastAsia="黑体" w:cs="黑体"/>
          <w:color w:val="000000"/>
          <w:sz w:val="32"/>
          <w:szCs w:val="32"/>
        </w:rPr>
      </w:pPr>
    </w:p>
    <w:p w14:paraId="47724AE7">
      <w:pPr>
        <w:spacing w:line="360" w:lineRule="auto"/>
        <w:rPr>
          <w:rFonts w:ascii="Times New Roman" w:hAnsi="Times New Roman" w:eastAsiaTheme="minorEastAsia"/>
          <w:color w:val="000000"/>
          <w:sz w:val="24"/>
        </w:rPr>
      </w:pPr>
      <w:r>
        <w:rPr>
          <w:rFonts w:hint="eastAsia" w:ascii="黑体" w:hAnsi="黑体" w:eastAsia="黑体" w:cs="黑体"/>
          <w:color w:val="000000"/>
          <w:sz w:val="32"/>
          <w:szCs w:val="32"/>
        </w:rPr>
        <w:t>一、项目概况</w:t>
      </w:r>
    </w:p>
    <w:p w14:paraId="2C223A72">
      <w:pPr>
        <w:spacing w:line="360" w:lineRule="auto"/>
        <w:ind w:left="60" w:firstLine="640" w:firstLineChars="200"/>
        <w:jc w:val="left"/>
        <w:rPr>
          <w:rFonts w:hint="eastAsia" w:ascii="仿宋" w:hAnsi="仿宋" w:eastAsia="仿宋" w:cs="宋体"/>
          <w:color w:val="000000"/>
          <w:sz w:val="32"/>
        </w:rPr>
      </w:pPr>
      <w:r>
        <w:rPr>
          <w:rFonts w:hint="eastAsia" w:ascii="仿宋" w:hAnsi="仿宋" w:eastAsia="仿宋" w:cs="宋体"/>
          <w:color w:val="000000"/>
          <w:sz w:val="32"/>
        </w:rPr>
        <w:t>本项目路线起于安康市汉滨区月河河口北岸，与十（堰）天（水）高速公路衔接，止于陕渝界大巴山隧道内的两省交界处，与在建的重庆市开县至城口高速公路相接，路线全长88.583公里。全线采用双向四车道高速公路技术标准，其中岚皋至陕渝界段（K48+400～K89+559）设计速度80公里/小时，路基宽度25.5米。其他技术指标按照部颁《公路工程技术标准》（JTGB01-2014）规定执行。</w:t>
      </w:r>
    </w:p>
    <w:p w14:paraId="39E6F5D2">
      <w:pPr>
        <w:spacing w:line="360" w:lineRule="auto"/>
        <w:rPr>
          <w:rFonts w:hint="eastAsia" w:ascii="黑体" w:hAnsi="黑体" w:eastAsia="黑体" w:cs="黑体"/>
          <w:color w:val="000000"/>
          <w:sz w:val="32"/>
          <w:szCs w:val="32"/>
          <w:lang w:eastAsia="en-US"/>
        </w:rPr>
      </w:pPr>
      <w:r>
        <w:rPr>
          <w:rFonts w:hint="eastAsia" w:ascii="黑体" w:hAnsi="黑体" w:eastAsia="黑体" w:cs="黑体"/>
          <w:color w:val="000000"/>
          <w:sz w:val="32"/>
          <w:szCs w:val="32"/>
        </w:rPr>
        <w:t>二</w:t>
      </w:r>
      <w:r>
        <w:rPr>
          <w:rFonts w:hint="eastAsia" w:ascii="黑体" w:hAnsi="黑体" w:eastAsia="黑体" w:cs="黑体"/>
          <w:color w:val="000000"/>
          <w:sz w:val="32"/>
          <w:szCs w:val="32"/>
          <w:lang w:eastAsia="en-US"/>
        </w:rPr>
        <w:t>、投标人资格要求</w:t>
      </w:r>
    </w:p>
    <w:p w14:paraId="0855BD65">
      <w:pPr>
        <w:spacing w:line="360" w:lineRule="auto"/>
        <w:ind w:left="60" w:firstLine="640" w:firstLineChars="200"/>
        <w:jc w:val="left"/>
        <w:rPr>
          <w:rFonts w:hint="eastAsia" w:ascii="仿宋" w:hAnsi="仿宋" w:eastAsia="仿宋" w:cs="宋体"/>
          <w:color w:val="000000"/>
          <w:sz w:val="32"/>
        </w:rPr>
      </w:pPr>
      <w:r>
        <w:rPr>
          <w:rFonts w:hint="eastAsia" w:ascii="仿宋" w:hAnsi="仿宋" w:eastAsia="仿宋" w:cs="宋体"/>
          <w:color w:val="000000"/>
          <w:sz w:val="32"/>
        </w:rPr>
        <w:t>1.资格审查条件</w:t>
      </w:r>
    </w:p>
    <w:p w14:paraId="51FD5826">
      <w:pPr>
        <w:spacing w:line="360" w:lineRule="auto"/>
        <w:ind w:left="60" w:firstLine="640" w:firstLineChars="200"/>
        <w:jc w:val="left"/>
        <w:rPr>
          <w:rFonts w:hint="eastAsia" w:ascii="仿宋" w:hAnsi="仿宋" w:eastAsia="仿宋" w:cs="宋体"/>
          <w:color w:val="000000"/>
          <w:sz w:val="32"/>
        </w:rPr>
      </w:pPr>
      <w:r>
        <w:rPr>
          <w:rFonts w:hint="eastAsia" w:ascii="仿宋" w:hAnsi="仿宋" w:eastAsia="仿宋" w:cs="宋体"/>
          <w:color w:val="000000"/>
          <w:sz w:val="32"/>
        </w:rPr>
        <w:t>本次招标要求投标人满足下列各项资格审查条件，并在人员等方面具有相应的监理服务能力。</w:t>
      </w:r>
    </w:p>
    <w:p w14:paraId="0534241F">
      <w:pPr>
        <w:spacing w:line="360" w:lineRule="auto"/>
        <w:ind w:left="60" w:firstLine="640" w:firstLineChars="200"/>
        <w:jc w:val="left"/>
        <w:rPr>
          <w:rFonts w:hint="eastAsia" w:ascii="仿宋" w:hAnsi="仿宋" w:eastAsia="仿宋" w:cs="宋体"/>
          <w:color w:val="000000"/>
          <w:sz w:val="32"/>
        </w:rPr>
      </w:pPr>
      <w:r>
        <w:rPr>
          <w:rFonts w:hint="eastAsia" w:ascii="仿宋" w:hAnsi="仿宋" w:eastAsia="仿宋" w:cs="宋体"/>
          <w:color w:val="000000"/>
          <w:sz w:val="32"/>
        </w:rPr>
        <w:t>(1)资质最低要求</w:t>
      </w:r>
    </w:p>
    <w:tbl>
      <w:tblPr>
        <w:tblStyle w:val="9"/>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7585"/>
      </w:tblGrid>
      <w:tr w14:paraId="45B95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487" w:type="dxa"/>
            <w:noWrap w:val="0"/>
            <w:vAlign w:val="center"/>
          </w:tcPr>
          <w:p w14:paraId="4A49095F">
            <w:pPr>
              <w:tabs>
                <w:tab w:val="left" w:pos="1778"/>
              </w:tabs>
              <w:jc w:val="center"/>
              <w:rPr>
                <w:rFonts w:ascii="仿宋_GB2312" w:hAnsi="仿宋" w:eastAsia="仿宋_GB2312"/>
                <w:b/>
                <w:color w:val="000000"/>
                <w:sz w:val="24"/>
                <w:szCs w:val="24"/>
              </w:rPr>
            </w:pPr>
            <w:r>
              <w:rPr>
                <w:rFonts w:hint="eastAsia" w:ascii="仿宋_GB2312" w:hAnsi="仿宋" w:eastAsia="仿宋_GB2312" w:cs="宋体"/>
                <w:b/>
                <w:color w:val="000000"/>
                <w:kern w:val="0"/>
                <w:sz w:val="24"/>
                <w:szCs w:val="24"/>
              </w:rPr>
              <w:t>标段</w:t>
            </w:r>
          </w:p>
        </w:tc>
        <w:tc>
          <w:tcPr>
            <w:tcW w:w="7585" w:type="dxa"/>
            <w:noWrap w:val="0"/>
            <w:vAlign w:val="center"/>
          </w:tcPr>
          <w:p w14:paraId="7DC25A2A">
            <w:pPr>
              <w:tabs>
                <w:tab w:val="left" w:pos="1778"/>
              </w:tabs>
              <w:jc w:val="center"/>
              <w:rPr>
                <w:rFonts w:ascii="仿宋_GB2312" w:hAnsi="仿宋" w:eastAsia="仿宋_GB2312"/>
                <w:b/>
                <w:color w:val="000000"/>
                <w:sz w:val="24"/>
                <w:szCs w:val="24"/>
              </w:rPr>
            </w:pPr>
            <w:r>
              <w:rPr>
                <w:rFonts w:hint="eastAsia" w:ascii="仿宋_GB2312" w:hAnsi="仿宋" w:eastAsia="仿宋_GB2312"/>
                <w:b/>
                <w:color w:val="000000"/>
                <w:sz w:val="24"/>
                <w:szCs w:val="24"/>
              </w:rPr>
              <w:t>资  质  要  求</w:t>
            </w:r>
          </w:p>
        </w:tc>
      </w:tr>
      <w:tr w14:paraId="51FDA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7" w:type="dxa"/>
            <w:noWrap w:val="0"/>
            <w:vAlign w:val="center"/>
          </w:tcPr>
          <w:p w14:paraId="26509573">
            <w:pPr>
              <w:jc w:val="center"/>
              <w:rPr>
                <w:rFonts w:hint="eastAsia" w:ascii="仿宋_GB2312" w:hAnsi="仿宋" w:eastAsia="仿宋"/>
                <w:color w:val="000000"/>
                <w:sz w:val="24"/>
                <w:szCs w:val="24"/>
                <w:lang w:eastAsia="zh-CN"/>
              </w:rPr>
            </w:pPr>
            <w:r>
              <w:rPr>
                <w:rFonts w:hint="eastAsia" w:ascii="仿宋" w:hAnsi="仿宋" w:eastAsia="仿宋" w:cs="仿宋"/>
                <w:color w:val="000000"/>
                <w:sz w:val="24"/>
                <w:szCs w:val="24"/>
              </w:rPr>
              <w:t>AL-</w:t>
            </w:r>
            <w:r>
              <w:rPr>
                <w:rFonts w:hint="eastAsia" w:ascii="仿宋" w:hAnsi="仿宋" w:eastAsia="仿宋" w:cs="仿宋"/>
                <w:color w:val="000000"/>
                <w:sz w:val="24"/>
                <w:szCs w:val="24"/>
                <w:lang w:eastAsia="zh-CN"/>
              </w:rPr>
              <w:t>JF02总监办</w:t>
            </w:r>
          </w:p>
        </w:tc>
        <w:tc>
          <w:tcPr>
            <w:tcW w:w="7585" w:type="dxa"/>
            <w:noWrap w:val="0"/>
            <w:vAlign w:val="center"/>
          </w:tcPr>
          <w:p w14:paraId="3CB3669E">
            <w:pPr>
              <w:widowControl/>
              <w:rPr>
                <w:rFonts w:ascii="仿宋_GB2312" w:hAnsi="仿宋" w:eastAsia="仿宋_GB2312"/>
                <w:color w:val="000000"/>
                <w:sz w:val="24"/>
                <w:szCs w:val="24"/>
              </w:rPr>
            </w:pPr>
            <w:r>
              <w:rPr>
                <w:rFonts w:hint="eastAsia" w:ascii="仿宋" w:hAnsi="仿宋" w:eastAsia="仿宋" w:cs="仿宋"/>
                <w:color w:val="000000"/>
                <w:sz w:val="24"/>
                <w:szCs w:val="24"/>
              </w:rPr>
              <w:t>具有独立法人资格；具备交通运输部审批的公路工程甲级监理资质</w:t>
            </w:r>
            <w:r>
              <w:rPr>
                <w:rFonts w:hint="eastAsia" w:ascii="仿宋" w:hAnsi="仿宋" w:eastAsia="仿宋" w:cs="仿宋"/>
                <w:color w:val="000000"/>
                <w:sz w:val="24"/>
                <w:szCs w:val="24"/>
                <w:lang w:val="en-US" w:eastAsia="zh-CN"/>
              </w:rPr>
              <w:t>或以上资质</w:t>
            </w:r>
            <w:r>
              <w:rPr>
                <w:rFonts w:hint="eastAsia" w:ascii="仿宋" w:hAnsi="仿宋" w:eastAsia="仿宋" w:cs="仿宋"/>
                <w:color w:val="000000"/>
                <w:sz w:val="24"/>
                <w:szCs w:val="24"/>
              </w:rPr>
              <w:t>。</w:t>
            </w:r>
          </w:p>
        </w:tc>
      </w:tr>
    </w:tbl>
    <w:p w14:paraId="7ED93979">
      <w:pPr>
        <w:spacing w:line="360" w:lineRule="auto"/>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（2）业绩最低要求</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7585"/>
      </w:tblGrid>
      <w:tr w14:paraId="27D37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487" w:type="dxa"/>
            <w:noWrap w:val="0"/>
            <w:vAlign w:val="center"/>
          </w:tcPr>
          <w:p w14:paraId="5DB679AC">
            <w:pPr>
              <w:tabs>
                <w:tab w:val="left" w:pos="1778"/>
              </w:tabs>
              <w:jc w:val="center"/>
              <w:rPr>
                <w:rFonts w:ascii="仿宋_GB2312" w:hAnsi="仿宋" w:eastAsia="仿宋_GB2312"/>
                <w:b/>
                <w:color w:val="000000"/>
                <w:sz w:val="24"/>
                <w:szCs w:val="24"/>
              </w:rPr>
            </w:pPr>
            <w:r>
              <w:rPr>
                <w:rFonts w:hint="eastAsia" w:ascii="仿宋_GB2312" w:hAnsi="仿宋" w:eastAsia="仿宋_GB2312" w:cs="宋体"/>
                <w:b/>
                <w:color w:val="000000"/>
                <w:kern w:val="0"/>
                <w:sz w:val="24"/>
                <w:szCs w:val="24"/>
              </w:rPr>
              <w:t>标段</w:t>
            </w:r>
          </w:p>
        </w:tc>
        <w:tc>
          <w:tcPr>
            <w:tcW w:w="7585" w:type="dxa"/>
            <w:noWrap w:val="0"/>
            <w:vAlign w:val="center"/>
          </w:tcPr>
          <w:p w14:paraId="46042D61">
            <w:pPr>
              <w:tabs>
                <w:tab w:val="left" w:pos="1778"/>
              </w:tabs>
              <w:jc w:val="center"/>
              <w:rPr>
                <w:rFonts w:ascii="仿宋_GB2312" w:hAnsi="仿宋" w:eastAsia="仿宋_GB2312"/>
                <w:b/>
                <w:color w:val="000000"/>
                <w:sz w:val="24"/>
                <w:szCs w:val="24"/>
              </w:rPr>
            </w:pPr>
            <w:r>
              <w:rPr>
                <w:rFonts w:hint="eastAsia" w:ascii="仿宋_GB2312" w:hAnsi="仿宋" w:eastAsia="仿宋_GB2312"/>
                <w:b/>
                <w:color w:val="000000"/>
                <w:sz w:val="24"/>
                <w:szCs w:val="24"/>
              </w:rPr>
              <w:t>业  绩  要  求</w:t>
            </w:r>
          </w:p>
        </w:tc>
      </w:tr>
      <w:tr w14:paraId="56048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7" w:type="dxa"/>
            <w:noWrap w:val="0"/>
            <w:vAlign w:val="center"/>
          </w:tcPr>
          <w:p w14:paraId="117AC19E">
            <w:pPr>
              <w:jc w:val="center"/>
              <w:rPr>
                <w:rFonts w:hint="eastAsia" w:ascii="仿宋_GB2312" w:hAnsi="仿宋" w:eastAsia="仿宋"/>
                <w:color w:val="000000"/>
                <w:sz w:val="24"/>
                <w:szCs w:val="24"/>
                <w:lang w:eastAsia="zh-CN"/>
              </w:rPr>
            </w:pPr>
            <w:r>
              <w:rPr>
                <w:rFonts w:hint="eastAsia" w:ascii="仿宋" w:hAnsi="仿宋" w:eastAsia="仿宋" w:cs="仿宋"/>
                <w:color w:val="000000"/>
                <w:kern w:val="0"/>
                <w:sz w:val="24"/>
              </w:rPr>
              <w:t>AL-JF02</w:t>
            </w:r>
          </w:p>
        </w:tc>
        <w:tc>
          <w:tcPr>
            <w:tcW w:w="7585" w:type="dxa"/>
            <w:noWrap w:val="0"/>
            <w:vAlign w:val="center"/>
          </w:tcPr>
          <w:p w14:paraId="517CBA77">
            <w:pPr>
              <w:rPr>
                <w:rFonts w:ascii="仿宋" w:hAnsi="仿宋" w:eastAsia="仿宋" w:cs="仿宋"/>
                <w:color w:val="000000"/>
                <w:sz w:val="24"/>
                <w:szCs w:val="24"/>
              </w:rPr>
            </w:pPr>
            <w:r>
              <w:rPr>
                <w:rFonts w:hint="eastAsia" w:ascii="仿宋" w:hAnsi="仿宋" w:eastAsia="仿宋" w:cs="仿宋"/>
                <w:color w:val="000000"/>
                <w:sz w:val="24"/>
              </w:rPr>
              <w:t>2019年1月1日至投标截止时间，独立完成过</w:t>
            </w:r>
            <w:r>
              <w:rPr>
                <w:rFonts w:hint="eastAsia" w:ascii="仿宋" w:hAnsi="仿宋" w:eastAsia="仿宋" w:cs="仿宋"/>
                <w:color w:val="000000"/>
                <w:sz w:val="24"/>
                <w:lang w:val="en-US" w:eastAsia="zh-CN"/>
              </w:rPr>
              <w:t>1</w:t>
            </w:r>
            <w:r>
              <w:rPr>
                <w:rFonts w:hint="eastAsia" w:ascii="仿宋" w:hAnsi="仿宋" w:eastAsia="仿宋" w:cs="仿宋"/>
                <w:color w:val="000000"/>
                <w:sz w:val="24"/>
              </w:rPr>
              <w:t>个房屋建筑工程（建筑面积不小于5000平方米）施工监理合同段。</w:t>
            </w:r>
          </w:p>
        </w:tc>
      </w:tr>
    </w:tbl>
    <w:p w14:paraId="5A9391A9">
      <w:pPr>
        <w:widowControl/>
        <w:rPr>
          <w:rFonts w:hint="eastAsia" w:ascii="仿宋" w:hAnsi="仿宋" w:eastAsia="仿宋" w:cs="仿宋"/>
          <w:b/>
          <w:bCs/>
          <w:color w:val="000000"/>
          <w:sz w:val="24"/>
        </w:rPr>
      </w:pPr>
      <w:r>
        <w:rPr>
          <w:rFonts w:hint="eastAsia" w:ascii="仿宋" w:hAnsi="仿宋" w:eastAsia="仿宋" w:cs="仿宋"/>
          <w:b/>
          <w:bCs/>
          <w:color w:val="000000"/>
          <w:sz w:val="24"/>
        </w:rPr>
        <w:t>说明：业绩的完成和时间要求以交工验收为准，以下相同。</w:t>
      </w:r>
    </w:p>
    <w:p w14:paraId="12EE65C5">
      <w:pPr>
        <w:spacing w:line="360" w:lineRule="auto"/>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（3）信誉最低要求</w:t>
      </w:r>
    </w:p>
    <w:tbl>
      <w:tblPr>
        <w:tblStyle w:val="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0"/>
        <w:gridCol w:w="6921"/>
      </w:tblGrid>
      <w:tr w14:paraId="0BD13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50" w:type="dxa"/>
            <w:noWrap w:val="0"/>
            <w:vAlign w:val="center"/>
          </w:tcPr>
          <w:p w14:paraId="37AEF6B3">
            <w:pPr>
              <w:tabs>
                <w:tab w:val="left" w:pos="1778"/>
              </w:tabs>
              <w:jc w:val="center"/>
              <w:rPr>
                <w:rFonts w:ascii="仿宋_GB2312" w:hAnsi="仿宋" w:eastAsia="仿宋_GB2312" w:cs="仿宋"/>
                <w:b/>
                <w:color w:val="000000"/>
                <w:sz w:val="24"/>
              </w:rPr>
            </w:pPr>
            <w:r>
              <w:rPr>
                <w:rFonts w:hint="eastAsia" w:ascii="仿宋_GB2312" w:hAnsi="仿宋" w:eastAsia="仿宋_GB2312" w:cs="仿宋"/>
                <w:b/>
                <w:color w:val="000000"/>
                <w:sz w:val="24"/>
              </w:rPr>
              <w:t>标段</w:t>
            </w:r>
          </w:p>
        </w:tc>
        <w:tc>
          <w:tcPr>
            <w:tcW w:w="6921" w:type="dxa"/>
            <w:noWrap w:val="0"/>
            <w:vAlign w:val="center"/>
          </w:tcPr>
          <w:p w14:paraId="393ED481">
            <w:pPr>
              <w:tabs>
                <w:tab w:val="left" w:pos="1778"/>
              </w:tabs>
              <w:jc w:val="center"/>
              <w:rPr>
                <w:rFonts w:ascii="仿宋_GB2312" w:hAnsi="仿宋" w:eastAsia="仿宋_GB2312" w:cs="仿宋"/>
                <w:b/>
                <w:color w:val="000000"/>
                <w:sz w:val="24"/>
              </w:rPr>
            </w:pPr>
            <w:r>
              <w:rPr>
                <w:rFonts w:hint="eastAsia" w:ascii="仿宋_GB2312" w:hAnsi="仿宋" w:eastAsia="仿宋_GB2312" w:cs="仿宋"/>
                <w:b/>
                <w:color w:val="000000"/>
                <w:sz w:val="24"/>
              </w:rPr>
              <w:t>信  誉  要  求</w:t>
            </w:r>
          </w:p>
        </w:tc>
      </w:tr>
      <w:tr w14:paraId="0E595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2150" w:type="dxa"/>
            <w:noWrap w:val="0"/>
            <w:vAlign w:val="center"/>
          </w:tcPr>
          <w:p w14:paraId="3D182952">
            <w:pPr>
              <w:rPr>
                <w:rFonts w:hint="eastAsia" w:ascii="仿宋" w:hAnsi="仿宋" w:eastAsia="仿宋" w:cs="仿宋"/>
                <w:color w:val="000000"/>
                <w:sz w:val="24"/>
                <w:lang w:eastAsia="zh-CN"/>
              </w:rPr>
            </w:pPr>
            <w:r>
              <w:rPr>
                <w:rFonts w:hint="eastAsia" w:ascii="仿宋" w:hAnsi="仿宋" w:eastAsia="仿宋" w:cs="仿宋"/>
                <w:color w:val="000000"/>
                <w:sz w:val="24"/>
              </w:rPr>
              <w:t>AL-</w:t>
            </w:r>
            <w:r>
              <w:rPr>
                <w:rFonts w:hint="eastAsia" w:ascii="仿宋" w:hAnsi="仿宋" w:eastAsia="仿宋" w:cs="仿宋"/>
                <w:color w:val="000000"/>
                <w:sz w:val="24"/>
                <w:lang w:eastAsia="zh-CN"/>
              </w:rPr>
              <w:t>JF02总监办</w:t>
            </w:r>
          </w:p>
        </w:tc>
        <w:tc>
          <w:tcPr>
            <w:tcW w:w="6921" w:type="dxa"/>
            <w:noWrap w:val="0"/>
            <w:vAlign w:val="center"/>
          </w:tcPr>
          <w:p w14:paraId="73B43783">
            <w:pPr>
              <w:rPr>
                <w:rFonts w:hint="eastAsia" w:ascii="仿宋" w:hAnsi="仿宋" w:eastAsia="仿宋" w:cs="仿宋"/>
                <w:color w:val="000000"/>
                <w:sz w:val="24"/>
              </w:rPr>
            </w:pPr>
            <w:r>
              <w:rPr>
                <w:rFonts w:hint="eastAsia" w:ascii="仿宋" w:hAnsi="仿宋" w:eastAsia="仿宋" w:cs="仿宋"/>
                <w:color w:val="000000"/>
                <w:sz w:val="24"/>
                <w:lang w:val="en-US" w:eastAsia="zh-CN"/>
              </w:rPr>
              <w:t>1.</w:t>
            </w:r>
            <w:r>
              <w:rPr>
                <w:rFonts w:hint="eastAsia" w:ascii="仿宋" w:hAnsi="仿宋" w:eastAsia="仿宋" w:cs="仿宋"/>
                <w:color w:val="000000"/>
                <w:sz w:val="24"/>
              </w:rPr>
              <w:t>未被交通运输部或陕西省交通运输厅列为信用评价等级D级且处于有效期内。</w:t>
            </w:r>
          </w:p>
          <w:p w14:paraId="62DC8CF4">
            <w:pPr>
              <w:pStyle w:val="2"/>
              <w:rPr>
                <w:rFonts w:hint="eastAsia"/>
              </w:rPr>
            </w:pPr>
            <w:r>
              <w:rPr>
                <w:rFonts w:hint="eastAsia" w:ascii="仿宋" w:hAnsi="仿宋" w:eastAsia="仿宋" w:cs="仿宋"/>
                <w:color w:val="000000"/>
                <w:szCs w:val="21"/>
                <w:lang w:val="en-US" w:eastAsia="zh-CN"/>
              </w:rPr>
              <w:t>2.</w:t>
            </w:r>
            <w:r>
              <w:rPr>
                <w:rFonts w:ascii="仿宋" w:hAnsi="仿宋" w:eastAsia="仿宋" w:cs="仿宋"/>
                <w:color w:val="000000"/>
                <w:szCs w:val="21"/>
              </w:rPr>
              <w:t>未被陕西省建设主管部门取消招标项目所在地的投标资格且处于有效期内。</w:t>
            </w:r>
          </w:p>
        </w:tc>
      </w:tr>
    </w:tbl>
    <w:p w14:paraId="67C0A642">
      <w:pPr>
        <w:spacing w:line="360" w:lineRule="auto"/>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（4）主要人员最低要求</w:t>
      </w:r>
    </w:p>
    <w:tbl>
      <w:tblPr>
        <w:tblStyle w:val="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7"/>
        <w:gridCol w:w="1203"/>
        <w:gridCol w:w="680"/>
        <w:gridCol w:w="5021"/>
      </w:tblGrid>
      <w:tr w14:paraId="34591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2167" w:type="dxa"/>
            <w:noWrap w:val="0"/>
            <w:vAlign w:val="center"/>
          </w:tcPr>
          <w:p w14:paraId="60D8C462">
            <w:pPr>
              <w:tabs>
                <w:tab w:val="left" w:pos="1778"/>
              </w:tabs>
              <w:jc w:val="center"/>
              <w:rPr>
                <w:rFonts w:ascii="仿宋_GB2312" w:hAnsi="仿宋" w:eastAsia="仿宋_GB2312" w:cs="仿宋"/>
                <w:b/>
                <w:bCs/>
                <w:sz w:val="24"/>
              </w:rPr>
            </w:pPr>
            <w:r>
              <w:rPr>
                <w:rFonts w:hint="eastAsia" w:ascii="仿宋_GB2312" w:hAnsi="仿宋" w:eastAsia="仿宋_GB2312" w:cs="仿宋"/>
                <w:b/>
                <w:bCs/>
                <w:sz w:val="24"/>
              </w:rPr>
              <w:t>标段</w:t>
            </w:r>
          </w:p>
        </w:tc>
        <w:tc>
          <w:tcPr>
            <w:tcW w:w="1203" w:type="dxa"/>
            <w:noWrap w:val="0"/>
            <w:vAlign w:val="center"/>
          </w:tcPr>
          <w:p w14:paraId="5D2713D4">
            <w:pPr>
              <w:tabs>
                <w:tab w:val="left" w:pos="1778"/>
              </w:tabs>
              <w:jc w:val="center"/>
              <w:rPr>
                <w:rFonts w:ascii="仿宋_GB2312" w:hAnsi="仿宋" w:eastAsia="仿宋_GB2312" w:cs="仿宋"/>
                <w:b/>
                <w:bCs/>
                <w:sz w:val="24"/>
              </w:rPr>
            </w:pPr>
            <w:r>
              <w:rPr>
                <w:rFonts w:hint="eastAsia" w:ascii="仿宋_GB2312" w:hAnsi="仿宋" w:eastAsia="仿宋_GB2312" w:cs="仿宋"/>
                <w:b/>
                <w:bCs/>
                <w:sz w:val="24"/>
              </w:rPr>
              <w:t>人员</w:t>
            </w:r>
          </w:p>
        </w:tc>
        <w:tc>
          <w:tcPr>
            <w:tcW w:w="680" w:type="dxa"/>
            <w:noWrap w:val="0"/>
            <w:vAlign w:val="center"/>
          </w:tcPr>
          <w:p w14:paraId="01DAF83E">
            <w:pPr>
              <w:tabs>
                <w:tab w:val="left" w:pos="1778"/>
              </w:tabs>
              <w:jc w:val="center"/>
              <w:rPr>
                <w:rFonts w:ascii="仿宋_GB2312" w:hAnsi="仿宋" w:eastAsia="仿宋_GB2312" w:cs="仿宋"/>
                <w:b/>
                <w:bCs/>
                <w:sz w:val="24"/>
              </w:rPr>
            </w:pPr>
            <w:r>
              <w:rPr>
                <w:rFonts w:hint="eastAsia" w:ascii="仿宋_GB2312" w:hAnsi="仿宋" w:eastAsia="仿宋_GB2312" w:cs="仿宋"/>
                <w:b/>
                <w:bCs/>
                <w:sz w:val="24"/>
              </w:rPr>
              <w:t>数量</w:t>
            </w:r>
          </w:p>
        </w:tc>
        <w:tc>
          <w:tcPr>
            <w:tcW w:w="5021" w:type="dxa"/>
            <w:noWrap w:val="0"/>
            <w:vAlign w:val="center"/>
          </w:tcPr>
          <w:p w14:paraId="3AE18245">
            <w:pPr>
              <w:tabs>
                <w:tab w:val="left" w:pos="1778"/>
              </w:tabs>
              <w:jc w:val="center"/>
              <w:rPr>
                <w:rFonts w:ascii="仿宋_GB2312" w:hAnsi="仿宋" w:eastAsia="仿宋_GB2312" w:cs="仿宋"/>
                <w:b/>
                <w:bCs/>
                <w:color w:val="000000"/>
                <w:sz w:val="24"/>
              </w:rPr>
            </w:pPr>
            <w:r>
              <w:rPr>
                <w:rFonts w:hint="eastAsia" w:ascii="仿宋_GB2312" w:hAnsi="仿宋" w:eastAsia="仿宋_GB2312" w:cs="仿宋"/>
                <w:b/>
                <w:bCs/>
                <w:sz w:val="24"/>
              </w:rPr>
              <w:t>资  格  要  求</w:t>
            </w:r>
          </w:p>
        </w:tc>
      </w:tr>
      <w:tr w14:paraId="3CD80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9" w:hRule="atLeast"/>
          <w:jc w:val="center"/>
        </w:trPr>
        <w:tc>
          <w:tcPr>
            <w:tcW w:w="2167" w:type="dxa"/>
            <w:noWrap w:val="0"/>
            <w:vAlign w:val="center"/>
          </w:tcPr>
          <w:p w14:paraId="16EB5C08">
            <w:pPr>
              <w:widowControl/>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AL-</w:t>
            </w:r>
            <w:r>
              <w:rPr>
                <w:rFonts w:hint="eastAsia" w:ascii="仿宋" w:hAnsi="仿宋" w:eastAsia="仿宋" w:cs="仿宋"/>
                <w:color w:val="000000"/>
                <w:sz w:val="24"/>
                <w:szCs w:val="24"/>
                <w:lang w:eastAsia="zh-CN"/>
              </w:rPr>
              <w:t>JF02总监办</w:t>
            </w:r>
          </w:p>
        </w:tc>
        <w:tc>
          <w:tcPr>
            <w:tcW w:w="1203" w:type="dxa"/>
            <w:noWrap w:val="0"/>
            <w:vAlign w:val="center"/>
          </w:tcPr>
          <w:p w14:paraId="7E2E89AA">
            <w:pPr>
              <w:widowControl/>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总监理</w:t>
            </w:r>
            <w:r>
              <w:rPr>
                <w:rFonts w:hint="eastAsia" w:ascii="仿宋" w:hAnsi="仿宋" w:eastAsia="仿宋" w:cs="仿宋"/>
                <w:color w:val="000000"/>
                <w:sz w:val="24"/>
                <w:szCs w:val="24"/>
              </w:rPr>
              <w:t>工程师</w:t>
            </w:r>
          </w:p>
        </w:tc>
        <w:tc>
          <w:tcPr>
            <w:tcW w:w="680" w:type="dxa"/>
            <w:noWrap w:val="0"/>
            <w:vAlign w:val="center"/>
          </w:tcPr>
          <w:p w14:paraId="27CFD08F">
            <w:pPr>
              <w:widowControl/>
              <w:rPr>
                <w:rFonts w:hint="eastAsia" w:ascii="仿宋" w:hAnsi="仿宋" w:eastAsia="仿宋" w:cs="仿宋"/>
                <w:color w:val="000000"/>
                <w:sz w:val="24"/>
                <w:szCs w:val="24"/>
              </w:rPr>
            </w:pPr>
            <w:r>
              <w:rPr>
                <w:rFonts w:hint="eastAsia" w:ascii="仿宋" w:hAnsi="仿宋" w:eastAsia="仿宋" w:cs="仿宋"/>
                <w:color w:val="000000"/>
                <w:sz w:val="24"/>
                <w:szCs w:val="24"/>
              </w:rPr>
              <w:t>1</w:t>
            </w:r>
          </w:p>
        </w:tc>
        <w:tc>
          <w:tcPr>
            <w:tcW w:w="5021" w:type="dxa"/>
            <w:noWrap w:val="0"/>
            <w:vAlign w:val="center"/>
          </w:tcPr>
          <w:p w14:paraId="62B4E661">
            <w:pPr>
              <w:widowControl/>
              <w:rPr>
                <w:rFonts w:hint="eastAsia" w:ascii="仿宋" w:hAnsi="仿宋" w:eastAsia="仿宋" w:cs="仿宋"/>
                <w:color w:val="000000"/>
                <w:sz w:val="24"/>
                <w:szCs w:val="24"/>
              </w:rPr>
            </w:pPr>
            <w:r>
              <w:rPr>
                <w:rFonts w:hint="eastAsia" w:ascii="仿宋" w:hAnsi="仿宋" w:eastAsia="仿宋" w:cs="仿宋"/>
                <w:color w:val="000000"/>
                <w:sz w:val="24"/>
                <w:szCs w:val="24"/>
              </w:rPr>
              <w:t>建筑工程相关专业高级或以上技术职称，住房和城乡建设部颁发的房屋建筑工程专业注册监理工程师证书；2019年1月1日至投标截止时间，至少担任过1个房建工程（建筑面积不小于5000平方米）施工的总监理工程师或驻地监理工程师职务。</w:t>
            </w:r>
          </w:p>
        </w:tc>
      </w:tr>
    </w:tbl>
    <w:p w14:paraId="67A74C47">
      <w:pPr>
        <w:widowControl/>
        <w:rPr>
          <w:rFonts w:hint="eastAsia" w:ascii="仿宋" w:hAnsi="仿宋" w:eastAsia="仿宋" w:cs="仿宋"/>
          <w:b/>
          <w:bCs/>
          <w:color w:val="000000"/>
          <w:sz w:val="24"/>
        </w:rPr>
      </w:pPr>
      <w:r>
        <w:rPr>
          <w:rFonts w:hint="eastAsia" w:ascii="仿宋" w:hAnsi="仿宋" w:eastAsia="仿宋" w:cs="仿宋"/>
          <w:b/>
          <w:bCs/>
          <w:color w:val="000000"/>
          <w:sz w:val="24"/>
        </w:rPr>
        <w:t>说明：以上人员均要求无在岗项目，即指目前未在其他项目上任职，或虽在其他项目上任职但本项目中标后能够从该项目撤离。</w:t>
      </w:r>
    </w:p>
    <w:p w14:paraId="160DB8AD">
      <w:pPr>
        <w:spacing w:line="360" w:lineRule="auto"/>
        <w:ind w:left="60" w:firstLine="640" w:firstLineChars="200"/>
        <w:jc w:val="left"/>
        <w:rPr>
          <w:rFonts w:hint="eastAsia" w:ascii="仿宋" w:hAnsi="仿宋" w:eastAsia="仿宋" w:cs="宋体"/>
          <w:color w:val="000000"/>
          <w:sz w:val="32"/>
        </w:rPr>
      </w:pPr>
      <w:r>
        <w:rPr>
          <w:rFonts w:hint="eastAsia" w:ascii="仿宋" w:hAnsi="仿宋" w:eastAsia="仿宋" w:cs="宋体"/>
          <w:color w:val="000000"/>
          <w:sz w:val="32"/>
        </w:rPr>
        <w:t>（5）拟投入的其他监理人员在投标时不需填报，但须按招标文件规定做出相关承诺。人员最低要求在招标文件提供的合同附件中明确，具体人选名单由招标人和中标人在合同谈判阶段确定，经招标人审批后作为派驻本标段监理人员并作为合同履约考核的依据。如中标人拟派驻的监理人员数量和资格条件不满足合同附件的要求，招标人将取消其中标资格。</w:t>
      </w:r>
    </w:p>
    <w:p w14:paraId="5FC83A28">
      <w:pPr>
        <w:spacing w:line="360" w:lineRule="auto"/>
        <w:ind w:left="60" w:firstLine="640" w:firstLineChars="200"/>
        <w:jc w:val="left"/>
        <w:rPr>
          <w:rFonts w:hint="eastAsia" w:ascii="仿宋" w:hAnsi="仿宋" w:eastAsia="仿宋" w:cs="宋体"/>
          <w:color w:val="000000"/>
          <w:sz w:val="32"/>
        </w:rPr>
      </w:pPr>
      <w:r>
        <w:rPr>
          <w:rFonts w:hint="eastAsia" w:ascii="仿宋" w:hAnsi="仿宋" w:eastAsia="仿宋" w:cs="宋体"/>
          <w:color w:val="000000"/>
          <w:sz w:val="32"/>
        </w:rPr>
        <w:t>2.本次招标不接受联合体投标。</w:t>
      </w:r>
    </w:p>
    <w:p w14:paraId="279EB22C">
      <w:pPr>
        <w:spacing w:line="360" w:lineRule="auto"/>
        <w:ind w:left="60" w:firstLine="640" w:firstLineChars="200"/>
        <w:jc w:val="left"/>
        <w:rPr>
          <w:rFonts w:hint="eastAsia" w:ascii="仿宋" w:hAnsi="仿宋" w:eastAsia="仿宋" w:cs="宋体"/>
          <w:color w:val="000000"/>
          <w:sz w:val="32"/>
        </w:rPr>
      </w:pPr>
      <w:r>
        <w:rPr>
          <w:rFonts w:hint="eastAsia" w:ascii="仿宋" w:hAnsi="仿宋" w:eastAsia="仿宋" w:cs="宋体"/>
          <w:color w:val="000000"/>
          <w:sz w:val="32"/>
        </w:rPr>
        <w:t>3.投标人应进入交通运输部“全国公路建设市场信用信息管理系统”中的公路工程施工监理资质企业名录，且投标人名称和资质与该名录中的相应企业名称和资质完全一致。</w:t>
      </w:r>
    </w:p>
    <w:p w14:paraId="34B6099B">
      <w:pPr>
        <w:spacing w:line="360" w:lineRule="auto"/>
        <w:ind w:left="60" w:firstLine="640" w:firstLineChars="200"/>
        <w:jc w:val="left"/>
        <w:rPr>
          <w:rFonts w:hint="eastAsia" w:ascii="仿宋" w:hAnsi="仿宋" w:eastAsia="仿宋" w:cs="宋体"/>
          <w:color w:val="000000"/>
          <w:sz w:val="32"/>
        </w:rPr>
      </w:pPr>
      <w:r>
        <w:rPr>
          <w:rFonts w:hint="eastAsia" w:ascii="仿宋" w:hAnsi="仿宋" w:eastAsia="仿宋" w:cs="宋体"/>
          <w:color w:val="000000"/>
          <w:sz w:val="32"/>
        </w:rPr>
        <w:t>4.单位负责人为同一人或存在控股、管理关系的不同单位，不得同时参加同一标段的投标，否则相关投标均无效。</w:t>
      </w:r>
    </w:p>
    <w:p w14:paraId="2E1DD981">
      <w:pPr>
        <w:spacing w:line="360" w:lineRule="auto"/>
        <w:ind w:left="60" w:firstLine="640" w:firstLineChars="200"/>
        <w:jc w:val="left"/>
        <w:rPr>
          <w:rFonts w:hint="eastAsia" w:ascii="仿宋" w:hAnsi="仿宋" w:eastAsia="仿宋" w:cs="宋体"/>
          <w:color w:val="000000"/>
          <w:sz w:val="32"/>
        </w:rPr>
      </w:pPr>
      <w:r>
        <w:rPr>
          <w:rFonts w:hint="eastAsia" w:ascii="仿宋" w:hAnsi="仿宋" w:eastAsia="仿宋" w:cs="宋体"/>
          <w:color w:val="000000"/>
          <w:sz w:val="32"/>
        </w:rPr>
        <w:t>5.同一单位以及单位负责人为同一人或者存在控股、管理关系的不同单位，不能同时获得施工标段及对应施工监理标段的中标资格(具有监理与被监理关系)。如若出现，将优先保留其施工标段的中标资格，取消其施工监理标段的中标资格。</w:t>
      </w:r>
    </w:p>
    <w:p w14:paraId="6E388BA6">
      <w:pPr>
        <w:spacing w:line="360" w:lineRule="auto"/>
        <w:ind w:left="60" w:firstLine="640" w:firstLineChars="200"/>
        <w:jc w:val="left"/>
        <w:rPr>
          <w:rFonts w:ascii="仿宋" w:hAnsi="仿宋" w:eastAsia="仿宋" w:cs="宋体"/>
          <w:color w:val="000000"/>
          <w:sz w:val="32"/>
        </w:rPr>
      </w:pPr>
      <w:r>
        <w:rPr>
          <w:rFonts w:hint="eastAsia" w:ascii="仿宋" w:hAnsi="仿宋" w:eastAsia="仿宋" w:cs="宋体"/>
          <w:color w:val="000000"/>
          <w:sz w:val="32"/>
        </w:rPr>
        <w:t>6.在“信用中国”网站中被列入失信被执行人名单的投标人，不得参加投标。</w:t>
      </w:r>
    </w:p>
    <w:p w14:paraId="3E752196">
      <w:pPr>
        <w:spacing w:line="360" w:lineRule="auto"/>
        <w:rPr>
          <w:rFonts w:hint="eastAsia" w:ascii="黑体" w:hAnsi="黑体" w:eastAsia="黑体" w:cs="黑体"/>
          <w:color w:val="000000"/>
          <w:sz w:val="32"/>
          <w:szCs w:val="32"/>
        </w:rPr>
      </w:pPr>
      <w:r>
        <w:rPr>
          <w:rFonts w:hint="eastAsia" w:ascii="黑体" w:hAnsi="黑体" w:eastAsia="黑体" w:cs="黑体"/>
          <w:color w:val="000000"/>
          <w:sz w:val="32"/>
          <w:szCs w:val="32"/>
        </w:rPr>
        <w:t>二</w:t>
      </w:r>
      <w:r>
        <w:rPr>
          <w:rFonts w:hint="eastAsia" w:ascii="黑体" w:hAnsi="黑体" w:eastAsia="黑体" w:cs="黑体"/>
          <w:color w:val="000000"/>
          <w:sz w:val="32"/>
          <w:szCs w:val="32"/>
          <w:lang w:eastAsia="en-US"/>
        </w:rPr>
        <w:t>、</w:t>
      </w:r>
      <w:r>
        <w:rPr>
          <w:rFonts w:hint="eastAsia" w:ascii="黑体" w:hAnsi="黑体" w:eastAsia="黑体" w:cs="黑体"/>
          <w:color w:val="000000"/>
          <w:sz w:val="32"/>
          <w:szCs w:val="32"/>
        </w:rPr>
        <w:t>评标办法</w:t>
      </w:r>
    </w:p>
    <w:tbl>
      <w:tblPr>
        <w:tblStyle w:val="9"/>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25"/>
        <w:gridCol w:w="309"/>
        <w:gridCol w:w="1560"/>
        <w:gridCol w:w="1134"/>
        <w:gridCol w:w="4677"/>
      </w:tblGrid>
      <w:tr w14:paraId="4AB2E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809" w:type="dxa"/>
            <w:gridSpan w:val="3"/>
            <w:vAlign w:val="center"/>
          </w:tcPr>
          <w:p w14:paraId="7B4C3E46">
            <w:pPr>
              <w:jc w:val="center"/>
              <w:rPr>
                <w:b/>
                <w:bCs/>
                <w:color w:val="000000"/>
                <w:szCs w:val="21"/>
              </w:rPr>
            </w:pPr>
            <w:r>
              <w:rPr>
                <w:b/>
                <w:bCs/>
                <w:color w:val="000000"/>
                <w:szCs w:val="21"/>
              </w:rPr>
              <w:t>条款号</w:t>
            </w:r>
          </w:p>
        </w:tc>
        <w:tc>
          <w:tcPr>
            <w:tcW w:w="7371" w:type="dxa"/>
            <w:gridSpan w:val="3"/>
            <w:vAlign w:val="center"/>
          </w:tcPr>
          <w:p w14:paraId="36FE092D">
            <w:pPr>
              <w:jc w:val="center"/>
              <w:rPr>
                <w:b/>
                <w:bCs/>
                <w:color w:val="000000"/>
                <w:szCs w:val="21"/>
              </w:rPr>
            </w:pPr>
            <w:r>
              <w:rPr>
                <w:b/>
                <w:bCs/>
                <w:color w:val="000000"/>
                <w:szCs w:val="21"/>
              </w:rPr>
              <w:t>编列内容</w:t>
            </w:r>
          </w:p>
        </w:tc>
      </w:tr>
      <w:tr w14:paraId="7E1F9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4C2F7CD9">
            <w:pPr>
              <w:jc w:val="center"/>
              <w:rPr>
                <w:color w:val="000000"/>
                <w:szCs w:val="21"/>
              </w:rPr>
            </w:pPr>
            <w:r>
              <w:rPr>
                <w:color w:val="000000"/>
                <w:szCs w:val="21"/>
              </w:rPr>
              <w:t>1</w:t>
            </w:r>
          </w:p>
        </w:tc>
        <w:tc>
          <w:tcPr>
            <w:tcW w:w="1134" w:type="dxa"/>
            <w:gridSpan w:val="2"/>
            <w:vAlign w:val="center"/>
          </w:tcPr>
          <w:p w14:paraId="54D576A9">
            <w:pPr>
              <w:jc w:val="center"/>
              <w:rPr>
                <w:color w:val="000000"/>
                <w:szCs w:val="21"/>
              </w:rPr>
            </w:pPr>
            <w:r>
              <w:rPr>
                <w:color w:val="000000"/>
                <w:szCs w:val="21"/>
              </w:rPr>
              <w:t>评标方法</w:t>
            </w:r>
          </w:p>
        </w:tc>
        <w:tc>
          <w:tcPr>
            <w:tcW w:w="7371" w:type="dxa"/>
            <w:gridSpan w:val="3"/>
            <w:vAlign w:val="center"/>
          </w:tcPr>
          <w:p w14:paraId="1C360577">
            <w:pPr>
              <w:spacing w:line="276" w:lineRule="auto"/>
              <w:ind w:firstLine="420" w:firstLineChars="200"/>
              <w:rPr>
                <w:rFonts w:hint="eastAsia"/>
              </w:rPr>
            </w:pPr>
            <w:bookmarkStart w:id="0" w:name="_Hlk528496662"/>
            <w:r>
              <w:rPr>
                <w:rFonts w:hint="eastAsia"/>
              </w:rPr>
              <w:t>本次评标采用综合评估法，资格后审。</w:t>
            </w:r>
          </w:p>
          <w:p w14:paraId="5F7C786D">
            <w:pPr>
              <w:spacing w:line="276" w:lineRule="auto"/>
              <w:ind w:firstLine="420" w:firstLineChars="200"/>
              <w:rPr>
                <w:rFonts w:hint="eastAsia"/>
              </w:rPr>
            </w:pPr>
            <w:r>
              <w:rPr>
                <w:rFonts w:hint="eastAsia"/>
              </w:rPr>
              <w:t>评标委员会对满足招标文件实质性要求的投标文件，按招标文件规定的评分标准进行打分，并按得分由高到低顺序推荐中标候选人，但投标报价低于其成本的除外。</w:t>
            </w:r>
          </w:p>
          <w:p w14:paraId="4524D167">
            <w:pPr>
              <w:spacing w:line="276" w:lineRule="auto"/>
              <w:ind w:firstLine="420" w:firstLineChars="200"/>
              <w:rPr>
                <w:rFonts w:hint="eastAsia"/>
              </w:rPr>
            </w:pPr>
            <w:r>
              <w:rPr>
                <w:rFonts w:hint="eastAsia"/>
              </w:rPr>
              <w:t xml:space="preserve">综合评分相等时，评标委员会依次按照以下优先顺序推荐中标候选人： </w:t>
            </w:r>
          </w:p>
          <w:p w14:paraId="30823429">
            <w:pPr>
              <w:spacing w:line="276" w:lineRule="auto"/>
              <w:ind w:firstLine="420" w:firstLineChars="200"/>
              <w:rPr>
                <w:rFonts w:hint="eastAsia"/>
              </w:rPr>
            </w:pPr>
            <w:r>
              <w:rPr>
                <w:rFonts w:hint="eastAsia"/>
              </w:rPr>
              <w:t>（1）评标价低的投标人优先；</w:t>
            </w:r>
          </w:p>
          <w:p w14:paraId="0E17D746">
            <w:pPr>
              <w:spacing w:line="276" w:lineRule="auto"/>
              <w:ind w:firstLine="420" w:firstLineChars="200"/>
              <w:rPr>
                <w:rFonts w:hint="eastAsia"/>
              </w:rPr>
            </w:pPr>
            <w:r>
              <w:rPr>
                <w:rFonts w:hint="eastAsia"/>
              </w:rPr>
              <w:t>（2）根据陕西省交通运输厅《关于陕西省2023年度公路建设市场从业企业信用评价结果应用的通知》（陕交函〔2024〕665号），评为较高信用等级的投标人优先；</w:t>
            </w:r>
          </w:p>
          <w:p w14:paraId="43AA4BC1">
            <w:pPr>
              <w:spacing w:line="276" w:lineRule="auto"/>
              <w:ind w:firstLine="420" w:firstLineChars="200"/>
              <w:rPr>
                <w:rFonts w:hint="eastAsia"/>
              </w:rPr>
            </w:pPr>
            <w:r>
              <w:rPr>
                <w:rFonts w:hint="eastAsia"/>
              </w:rPr>
              <w:t>（3）</w:t>
            </w:r>
            <w:bookmarkStart w:id="1" w:name="_Hlk518562565"/>
            <w:r>
              <w:rPr>
                <w:rFonts w:hint="eastAsia"/>
              </w:rPr>
              <w:t>技术建议书得分较高的投标人优先。</w:t>
            </w:r>
            <w:bookmarkEnd w:id="1"/>
            <w:r>
              <w:rPr>
                <w:rFonts w:hint="eastAsia"/>
              </w:rPr>
              <w:t xml:space="preserve"> </w:t>
            </w:r>
          </w:p>
          <w:bookmarkEnd w:id="0"/>
          <w:p w14:paraId="77291535">
            <w:pPr>
              <w:spacing w:line="276" w:lineRule="auto"/>
              <w:ind w:firstLine="420" w:firstLineChars="200"/>
              <w:rPr>
                <w:rFonts w:hint="eastAsia"/>
              </w:rPr>
            </w:pPr>
            <w:r>
              <w:t>同一单位以及单位负责人为同一人或者存在控股、管理关系的不同单位，不能同时获得对应工程施工及施工监理标段的中标资格（具有监理与被监理关系）。如若出现，将优先保留施工标段投标人的中标资格，取消施工监理标段投标人</w:t>
            </w:r>
            <w:r>
              <w:rPr>
                <w:rFonts w:hint="eastAsia"/>
              </w:rPr>
              <w:t>的</w:t>
            </w:r>
            <w:r>
              <w:t>中标资格。</w:t>
            </w:r>
          </w:p>
        </w:tc>
      </w:tr>
      <w:tr w14:paraId="43F78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trPr>
        <w:tc>
          <w:tcPr>
            <w:tcW w:w="675" w:type="dxa"/>
            <w:vAlign w:val="center"/>
          </w:tcPr>
          <w:p w14:paraId="1D6D56CE">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2.1.1</w:t>
            </w:r>
          </w:p>
        </w:tc>
        <w:tc>
          <w:tcPr>
            <w:tcW w:w="1134" w:type="dxa"/>
            <w:gridSpan w:val="2"/>
            <w:vAlign w:val="center"/>
          </w:tcPr>
          <w:p w14:paraId="06A7D051">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形式评审与响应性评审标准</w:t>
            </w:r>
          </w:p>
        </w:tc>
        <w:tc>
          <w:tcPr>
            <w:tcW w:w="7371" w:type="dxa"/>
            <w:gridSpan w:val="3"/>
            <w:vAlign w:val="center"/>
          </w:tcPr>
          <w:p w14:paraId="6EEF5EBB">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第一个信封（商务及技术文件）评审标准：</w:t>
            </w:r>
          </w:p>
          <w:p w14:paraId="70122BAF">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（1）投标文件按照招标文件规定的格式、内容填写，字迹清晰可辨：</w:t>
            </w:r>
          </w:p>
          <w:p w14:paraId="0422CD3E">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a．投标函按招标文件规定填报了项目名称、标段号、补遗书编号（如有）、监理服务期、工程质量要求及安全目标；</w:t>
            </w:r>
          </w:p>
          <w:p w14:paraId="46286FF5">
            <w:pPr>
              <w:ind w:firstLine="420" w:firstLineChars="200"/>
              <w:jc w:val="left"/>
              <w:rPr>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b．</w:t>
            </w:r>
            <w:r>
              <w:rPr>
                <w:color w:val="000000" w:themeColor="text1"/>
                <w:szCs w:val="18"/>
                <w:highlight w:val="none"/>
                <w14:textFill>
                  <w14:solidFill>
                    <w14:schemeClr w14:val="tx1"/>
                  </w14:solidFill>
                </w14:textFill>
              </w:rPr>
              <w:t>投标文件组成齐全完整，</w:t>
            </w:r>
            <w:r>
              <w:rPr>
                <w:rFonts w:hint="eastAsia"/>
                <w:color w:val="000000" w:themeColor="text1"/>
                <w:szCs w:val="18"/>
                <w:highlight w:val="none"/>
                <w14:textFill>
                  <w14:solidFill>
                    <w14:schemeClr w14:val="tx1"/>
                  </w14:solidFill>
                </w14:textFill>
              </w:rPr>
              <w:t>提供的相关资料符合招标文件规定，</w:t>
            </w:r>
            <w:r>
              <w:rPr>
                <w:color w:val="000000" w:themeColor="text1"/>
                <w:szCs w:val="18"/>
                <w:highlight w:val="none"/>
                <w14:textFill>
                  <w14:solidFill>
                    <w14:schemeClr w14:val="tx1"/>
                  </w14:solidFill>
                </w14:textFill>
              </w:rPr>
              <w:t>内容均按规定填写</w:t>
            </w:r>
            <w:r>
              <w:rPr>
                <w:rFonts w:hint="eastAsia"/>
                <w:color w:val="000000" w:themeColor="text1"/>
                <w:szCs w:val="18"/>
                <w:highlight w:val="none"/>
                <w14:textFill>
                  <w14:solidFill>
                    <w14:schemeClr w14:val="tx1"/>
                  </w14:solidFill>
                </w14:textFill>
              </w:rPr>
              <w:t>（包括相应备注、附表所要求的内容）</w:t>
            </w:r>
            <w:r>
              <w:rPr>
                <w:color w:val="000000" w:themeColor="text1"/>
                <w:szCs w:val="18"/>
                <w:highlight w:val="none"/>
                <w14:textFill>
                  <w14:solidFill>
                    <w14:schemeClr w14:val="tx1"/>
                  </w14:solidFill>
                </w14:textFill>
              </w:rPr>
              <w:t>。</w:t>
            </w:r>
          </w:p>
          <w:p w14:paraId="185BD8D5">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（2）投标文件上法定代表人或其委托代理人的</w:t>
            </w:r>
            <w:r>
              <w:rPr>
                <w:color w:val="000000" w:themeColor="text1"/>
                <w:szCs w:val="18"/>
                <w:highlight w:val="none"/>
                <w14:textFill>
                  <w14:solidFill>
                    <w14:schemeClr w14:val="tx1"/>
                  </w14:solidFill>
                </w14:textFill>
              </w:rPr>
              <w:t>签字</w:t>
            </w:r>
            <w:r>
              <w:rPr>
                <w:rFonts w:hint="eastAsia"/>
                <w:color w:val="000000" w:themeColor="text1"/>
                <w:szCs w:val="18"/>
                <w:highlight w:val="none"/>
                <w14:textFill>
                  <w14:solidFill>
                    <w14:schemeClr w14:val="tx1"/>
                  </w14:solidFill>
                </w14:textFill>
              </w:rPr>
              <w:t>或盖章</w:t>
            </w:r>
            <w:r>
              <w:rPr>
                <w:rFonts w:hint="eastAsia" w:ascii="宋体" w:hAnsi="宋体" w:cs="宋体"/>
                <w:color w:val="000000" w:themeColor="text1"/>
                <w:szCs w:val="18"/>
                <w:highlight w:val="none"/>
                <w14:textFill>
                  <w14:solidFill>
                    <w14:schemeClr w14:val="tx1"/>
                  </w14:solidFill>
                </w14:textFill>
              </w:rPr>
              <w:t>、投标人的单位章盖章齐全，符合招标文件规定。</w:t>
            </w:r>
          </w:p>
          <w:p w14:paraId="169A1A28">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（3）投标人按照招标文件规定提供了投标保证金：</w:t>
            </w:r>
          </w:p>
          <w:p w14:paraId="30EA1B8B">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a．投标保证金金额符合招标文件规定的金额，且投标保证金有效期不少于投标有效期；</w:t>
            </w:r>
          </w:p>
          <w:p w14:paraId="202F6104">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b．若投标保证金采用现金或支票形式提交，投标人应在递交投标文件截止时间之前，将投标保证金由投标人的基本账户转入招标人指定账户；</w:t>
            </w:r>
          </w:p>
          <w:p w14:paraId="54A98ECC">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c．若投标保证金采用银行保函形式提交，银行保函的格式、开具保函的银行均满足招标文件要求，且在递交投标文件截止时间之前向招标人提交了银行保函原件及权限说明（如有）。</w:t>
            </w:r>
          </w:p>
          <w:p w14:paraId="07D818BB">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（4）投标人法定代表人授权委托代理人签署投标文件的，须提交授权委托书，且授权人和被授权人均在授权委托书上</w:t>
            </w:r>
            <w:r>
              <w:rPr>
                <w:color w:val="000000" w:themeColor="text1"/>
                <w:szCs w:val="18"/>
                <w:highlight w:val="none"/>
                <w14:textFill>
                  <w14:solidFill>
                    <w14:schemeClr w14:val="tx1"/>
                  </w14:solidFill>
                </w14:textFill>
              </w:rPr>
              <w:t>签字</w:t>
            </w:r>
            <w:r>
              <w:rPr>
                <w:rFonts w:hint="eastAsia"/>
                <w:color w:val="000000" w:themeColor="text1"/>
                <w:szCs w:val="18"/>
                <w:highlight w:val="none"/>
                <w14:textFill>
                  <w14:solidFill>
                    <w14:schemeClr w14:val="tx1"/>
                  </w14:solidFill>
                </w14:textFill>
              </w:rPr>
              <w:t>或盖章</w:t>
            </w:r>
            <w:r>
              <w:rPr>
                <w:rFonts w:hint="eastAsia" w:ascii="宋体" w:hAnsi="宋体" w:cs="宋体"/>
                <w:color w:val="000000" w:themeColor="text1"/>
                <w:szCs w:val="18"/>
                <w:highlight w:val="none"/>
                <w14:textFill>
                  <w14:solidFill>
                    <w14:schemeClr w14:val="tx1"/>
                  </w14:solidFill>
                </w14:textFill>
              </w:rPr>
              <w:t>。</w:t>
            </w:r>
          </w:p>
          <w:p w14:paraId="083971A3">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（5）投标人法定代表人亲自签署投标文件的，提供了法定代表人身份证明，且法定代表人在法定代表人身份证明上</w:t>
            </w:r>
            <w:r>
              <w:rPr>
                <w:color w:val="000000" w:themeColor="text1"/>
                <w:szCs w:val="18"/>
                <w:highlight w:val="none"/>
                <w14:textFill>
                  <w14:solidFill>
                    <w14:schemeClr w14:val="tx1"/>
                  </w14:solidFill>
                </w14:textFill>
              </w:rPr>
              <w:t>签字</w:t>
            </w:r>
            <w:r>
              <w:rPr>
                <w:rFonts w:hint="eastAsia"/>
                <w:color w:val="000000" w:themeColor="text1"/>
                <w:szCs w:val="18"/>
                <w:highlight w:val="none"/>
                <w14:textFill>
                  <w14:solidFill>
                    <w14:schemeClr w14:val="tx1"/>
                  </w14:solidFill>
                </w14:textFill>
              </w:rPr>
              <w:t>或盖章</w:t>
            </w:r>
            <w:r>
              <w:rPr>
                <w:rFonts w:hint="eastAsia" w:ascii="宋体" w:hAnsi="宋体" w:cs="宋体"/>
                <w:color w:val="000000" w:themeColor="text1"/>
                <w:szCs w:val="18"/>
                <w:highlight w:val="none"/>
                <w14:textFill>
                  <w14:solidFill>
                    <w14:schemeClr w14:val="tx1"/>
                  </w14:solidFill>
                </w14:textFill>
              </w:rPr>
              <w:t>。</w:t>
            </w:r>
          </w:p>
          <w:p w14:paraId="1EC93A6E">
            <w:pPr>
              <w:ind w:firstLine="420" w:firstLineChars="200"/>
              <w:jc w:val="left"/>
              <w:rPr>
                <w:rFonts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（6）投标人未以联合体形式投标。</w:t>
            </w:r>
          </w:p>
          <w:p w14:paraId="28D35AFD">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w:t>
            </w:r>
            <w:r>
              <w:rPr>
                <w:rFonts w:ascii="宋体" w:hAnsi="宋体" w:cs="宋体"/>
                <w:color w:val="000000" w:themeColor="text1"/>
                <w:szCs w:val="18"/>
                <w:highlight w:val="none"/>
                <w14:textFill>
                  <w14:solidFill>
                    <w14:schemeClr w14:val="tx1"/>
                  </w14:solidFill>
                </w14:textFill>
              </w:rPr>
              <w:t>7</w:t>
            </w:r>
            <w:r>
              <w:rPr>
                <w:rFonts w:hint="eastAsia" w:ascii="宋体" w:hAnsi="宋体" w:cs="宋体"/>
                <w:color w:val="000000" w:themeColor="text1"/>
                <w:szCs w:val="18"/>
                <w:highlight w:val="none"/>
                <w14:textFill>
                  <w14:solidFill>
                    <w14:schemeClr w14:val="tx1"/>
                  </w14:solidFill>
                </w14:textFill>
              </w:rPr>
              <w:t>）同一投标人未提交两个以上不同的投标文件。</w:t>
            </w:r>
          </w:p>
          <w:p w14:paraId="4F566B42">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w:t>
            </w:r>
            <w:r>
              <w:rPr>
                <w:rFonts w:ascii="宋体" w:hAnsi="宋体" w:cs="宋体"/>
                <w:color w:val="000000" w:themeColor="text1"/>
                <w:szCs w:val="18"/>
                <w:highlight w:val="none"/>
                <w14:textFill>
                  <w14:solidFill>
                    <w14:schemeClr w14:val="tx1"/>
                  </w14:solidFill>
                </w14:textFill>
              </w:rPr>
              <w:t>8</w:t>
            </w:r>
            <w:r>
              <w:rPr>
                <w:rFonts w:hint="eastAsia" w:ascii="宋体" w:hAnsi="宋体" w:cs="宋体"/>
                <w:color w:val="000000" w:themeColor="text1"/>
                <w:szCs w:val="18"/>
                <w:highlight w:val="none"/>
                <w14:textFill>
                  <w14:solidFill>
                    <w14:schemeClr w14:val="tx1"/>
                  </w14:solidFill>
                </w14:textFill>
              </w:rPr>
              <w:t>）投标文件中未出现有关投标报价的内容。</w:t>
            </w:r>
          </w:p>
          <w:p w14:paraId="415DAA87">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w:t>
            </w:r>
            <w:r>
              <w:rPr>
                <w:rFonts w:ascii="宋体" w:hAnsi="宋体" w:cs="宋体"/>
                <w:color w:val="000000" w:themeColor="text1"/>
                <w:szCs w:val="18"/>
                <w:highlight w:val="none"/>
                <w14:textFill>
                  <w14:solidFill>
                    <w14:schemeClr w14:val="tx1"/>
                  </w14:solidFill>
                </w14:textFill>
              </w:rPr>
              <w:t>9</w:t>
            </w:r>
            <w:r>
              <w:rPr>
                <w:rFonts w:hint="eastAsia" w:ascii="宋体" w:hAnsi="宋体" w:cs="宋体"/>
                <w:color w:val="000000" w:themeColor="text1"/>
                <w:szCs w:val="18"/>
                <w:highlight w:val="none"/>
                <w14:textFill>
                  <w14:solidFill>
                    <w14:schemeClr w14:val="tx1"/>
                  </w14:solidFill>
                </w14:textFill>
              </w:rPr>
              <w:t>）投标文件载明的招标项目完成期限符合招标文件规定的时限。</w:t>
            </w:r>
          </w:p>
          <w:p w14:paraId="4163D7EE">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w:t>
            </w:r>
            <w:r>
              <w:rPr>
                <w:rFonts w:ascii="宋体" w:hAnsi="宋体" w:cs="宋体"/>
                <w:color w:val="000000" w:themeColor="text1"/>
                <w:szCs w:val="18"/>
                <w:highlight w:val="none"/>
                <w14:textFill>
                  <w14:solidFill>
                    <w14:schemeClr w14:val="tx1"/>
                  </w14:solidFill>
                </w14:textFill>
              </w:rPr>
              <w:t>10</w:t>
            </w:r>
            <w:r>
              <w:rPr>
                <w:rFonts w:hint="eastAsia" w:ascii="宋体" w:hAnsi="宋体" w:cs="宋体"/>
                <w:color w:val="000000" w:themeColor="text1"/>
                <w:szCs w:val="18"/>
                <w:highlight w:val="none"/>
                <w14:textFill>
                  <w14:solidFill>
                    <w14:schemeClr w14:val="tx1"/>
                  </w14:solidFill>
                </w14:textFill>
              </w:rPr>
              <w:t>）投标文件对招标文件的实质性要求和条件作出响应。</w:t>
            </w:r>
          </w:p>
          <w:p w14:paraId="2E5FABF7">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（1</w:t>
            </w:r>
            <w:r>
              <w:rPr>
                <w:rFonts w:ascii="宋体" w:hAnsi="宋体" w:cs="宋体"/>
                <w:color w:val="000000" w:themeColor="text1"/>
                <w:szCs w:val="18"/>
                <w:highlight w:val="none"/>
                <w14:textFill>
                  <w14:solidFill>
                    <w14:schemeClr w14:val="tx1"/>
                  </w14:solidFill>
                </w14:textFill>
              </w:rPr>
              <w:t>1</w:t>
            </w:r>
            <w:r>
              <w:rPr>
                <w:rFonts w:hint="eastAsia" w:ascii="宋体" w:hAnsi="宋体" w:cs="宋体"/>
                <w:color w:val="000000" w:themeColor="text1"/>
                <w:szCs w:val="18"/>
                <w:highlight w:val="none"/>
                <w14:textFill>
                  <w14:solidFill>
                    <w14:schemeClr w14:val="tx1"/>
                  </w14:solidFill>
                </w14:textFill>
              </w:rPr>
              <w:t>）权利义务符合招标文件规定：</w:t>
            </w:r>
          </w:p>
          <w:p w14:paraId="2754E8CA">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a.投标人应接受招标文件规定的风险划分原则，未提出新的风险划分办法；</w:t>
            </w:r>
          </w:p>
          <w:p w14:paraId="7F7360D9">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b.投标人未增加招标人的责任范围，或减少投标人义务；</w:t>
            </w:r>
          </w:p>
          <w:p w14:paraId="08577260">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c.投标人未提出不同的计量、支付办法；</w:t>
            </w:r>
          </w:p>
          <w:p w14:paraId="1DCB8500">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d.投标人未对合同纠纷、事故处理办法提出异议；</w:t>
            </w:r>
          </w:p>
          <w:p w14:paraId="23BA065A">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e.投标人在投标活动中无欺诈行为；</w:t>
            </w:r>
          </w:p>
          <w:p w14:paraId="32926AC3">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f.投标人未对合同条款有重要保留；</w:t>
            </w:r>
          </w:p>
          <w:p w14:paraId="361679EE">
            <w:pPr>
              <w:autoSpaceDE w:val="0"/>
              <w:autoSpaceDN w:val="0"/>
              <w:adjustRightInd w:val="0"/>
              <w:ind w:firstLine="420" w:firstLineChars="200"/>
              <w:rPr>
                <w:rFonts w:ascii="Times New Roman" w:hAnsi="Times New Roman"/>
                <w:color w:val="000000" w:themeColor="text1"/>
                <w:szCs w:val="21"/>
                <w:highlight w:val="none"/>
                <w14:textFill>
                  <w14:solidFill>
                    <w14:schemeClr w14:val="tx1"/>
                  </w14:solidFill>
                </w14:textFill>
              </w:rPr>
            </w:pPr>
            <w:r>
              <w:rPr>
                <w:rFonts w:ascii="Times New Roman" w:hAnsi="Times New Roman"/>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12</w:t>
            </w:r>
            <w:r>
              <w:rPr>
                <w:rFonts w:ascii="Times New Roman" w:hAnsi="Times New Roman"/>
                <w:color w:val="000000" w:themeColor="text1"/>
                <w:szCs w:val="21"/>
                <w:highlight w:val="none"/>
                <w14:textFill>
                  <w14:solidFill>
                    <w14:schemeClr w14:val="tx1"/>
                  </w14:solidFill>
                </w14:textFill>
              </w:rPr>
              <w:t>）投标文件正、副本份数符合招标文件第二章“投标人须知”第3.7.4项规定</w:t>
            </w:r>
            <w:r>
              <w:rPr>
                <w:rFonts w:hint="eastAsia" w:ascii="Times New Roman" w:hAnsi="Times New Roman"/>
                <w:color w:val="000000" w:themeColor="text1"/>
                <w:szCs w:val="21"/>
                <w:highlight w:val="none"/>
                <w14:textFill>
                  <w14:solidFill>
                    <w14:schemeClr w14:val="tx1"/>
                  </w14:solidFill>
                </w14:textFill>
              </w:rPr>
              <w:t>（若采用纸质文件评标）</w:t>
            </w:r>
            <w:r>
              <w:rPr>
                <w:rFonts w:ascii="Times New Roman" w:hAnsi="Times New Roman"/>
                <w:color w:val="000000" w:themeColor="text1"/>
                <w:szCs w:val="21"/>
                <w:highlight w:val="none"/>
                <w14:textFill>
                  <w14:solidFill>
                    <w14:schemeClr w14:val="tx1"/>
                  </w14:solidFill>
                </w14:textFill>
              </w:rPr>
              <w:t>。</w:t>
            </w:r>
          </w:p>
          <w:p w14:paraId="1750770E">
            <w:pPr>
              <w:autoSpaceDE w:val="0"/>
              <w:autoSpaceDN w:val="0"/>
              <w:adjustRightInd w:val="0"/>
              <w:ind w:firstLine="420" w:firstLineChars="200"/>
              <w:rPr>
                <w:rFonts w:ascii="Times New Roman" w:hAnsi="Times New Roman"/>
                <w:color w:val="000000" w:themeColor="text1"/>
                <w:szCs w:val="21"/>
                <w:highlight w:val="none"/>
                <w14:textFill>
                  <w14:solidFill>
                    <w14:schemeClr w14:val="tx1"/>
                  </w14:solidFill>
                </w14:textFill>
              </w:rPr>
            </w:pPr>
            <w:r>
              <w:rPr>
                <w:rFonts w:ascii="Times New Roman" w:hAnsi="Times New Roman"/>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13</w:t>
            </w:r>
            <w:r>
              <w:rPr>
                <w:rFonts w:ascii="Times New Roman" w:hAnsi="Times New Roman"/>
                <w:color w:val="000000" w:themeColor="text1"/>
                <w:szCs w:val="21"/>
                <w:highlight w:val="none"/>
                <w14:textFill>
                  <w14:solidFill>
                    <w14:schemeClr w14:val="tx1"/>
                  </w14:solidFill>
                </w14:textFill>
              </w:rPr>
              <w:t>）投标文件封套、投标函标明的标段、单位名称及内容一致</w:t>
            </w:r>
            <w:r>
              <w:rPr>
                <w:rFonts w:hint="eastAsia" w:ascii="Times New Roman" w:hAnsi="Times New Roman"/>
                <w:color w:val="000000" w:themeColor="text1"/>
                <w:szCs w:val="21"/>
                <w:highlight w:val="none"/>
                <w14:textFill>
                  <w14:solidFill>
                    <w14:schemeClr w14:val="tx1"/>
                  </w14:solidFill>
                </w14:textFill>
              </w:rPr>
              <w:t>（若采用纸质文件评标）</w:t>
            </w:r>
            <w:r>
              <w:rPr>
                <w:rFonts w:ascii="Times New Roman" w:hAnsi="Times New Roman"/>
                <w:color w:val="000000" w:themeColor="text1"/>
                <w:szCs w:val="21"/>
                <w:highlight w:val="none"/>
                <w14:textFill>
                  <w14:solidFill>
                    <w14:schemeClr w14:val="tx1"/>
                  </w14:solidFill>
                </w14:textFill>
              </w:rPr>
              <w:t>。</w:t>
            </w:r>
          </w:p>
          <w:p w14:paraId="04F41487">
            <w:pPr>
              <w:autoSpaceDE w:val="0"/>
              <w:autoSpaceDN w:val="0"/>
              <w:adjustRightInd w:val="0"/>
              <w:ind w:firstLine="420" w:firstLineChars="200"/>
              <w:rPr>
                <w:rFonts w:ascii="Times New Roman" w:hAnsi="Times New Roman" w:eastAsia="等线"/>
                <w:color w:val="000000" w:themeColor="text1"/>
                <w:szCs w:val="21"/>
                <w:highlight w:val="none"/>
                <w14:textFill>
                  <w14:solidFill>
                    <w14:schemeClr w14:val="tx1"/>
                  </w14:solidFill>
                </w14:textFill>
              </w:rPr>
            </w:pPr>
            <w:r>
              <w:rPr>
                <w:rFonts w:ascii="Times New Roman" w:hAnsi="Times New Roman"/>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14</w:t>
            </w:r>
            <w:r>
              <w:rPr>
                <w:rFonts w:ascii="Times New Roman" w:hAnsi="Times New Roman"/>
                <w:color w:val="000000" w:themeColor="text1"/>
                <w:szCs w:val="21"/>
                <w:highlight w:val="none"/>
                <w14:textFill>
                  <w14:solidFill>
                    <w14:schemeClr w14:val="tx1"/>
                  </w14:solidFill>
                </w14:textFill>
              </w:rPr>
              <w:t>）不同投标人的投标文件未相互混装</w:t>
            </w:r>
            <w:r>
              <w:rPr>
                <w:rFonts w:hint="eastAsia" w:ascii="Times New Roman" w:hAnsi="Times New Roman"/>
                <w:color w:val="000000" w:themeColor="text1"/>
                <w:szCs w:val="21"/>
                <w:highlight w:val="none"/>
                <w14:textFill>
                  <w14:solidFill>
                    <w14:schemeClr w14:val="tx1"/>
                  </w14:solidFill>
                </w14:textFill>
              </w:rPr>
              <w:t>（若采用纸质文件评标）</w:t>
            </w:r>
            <w:r>
              <w:rPr>
                <w:rFonts w:ascii="Times New Roman" w:hAnsi="等线" w:eastAsia="等线"/>
                <w:color w:val="000000" w:themeColor="text1"/>
                <w:szCs w:val="21"/>
                <w:highlight w:val="none"/>
                <w14:textFill>
                  <w14:solidFill>
                    <w14:schemeClr w14:val="tx1"/>
                  </w14:solidFill>
                </w14:textFill>
              </w:rPr>
              <w:t>。</w:t>
            </w:r>
          </w:p>
          <w:p w14:paraId="22C43A9D">
            <w:pPr>
              <w:spacing w:line="276" w:lineRule="auto"/>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第二个信封（报价文件）评审标准：</w:t>
            </w:r>
          </w:p>
          <w:p w14:paraId="5D095C05">
            <w:pPr>
              <w:snapToGrid w:val="0"/>
              <w:spacing w:line="240" w:lineRule="atLeas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（1）投标文件按招标文件规定的格式、内容填写，字迹清晰可辨，内容齐全完整：</w:t>
            </w:r>
          </w:p>
          <w:p w14:paraId="4B1C147E">
            <w:pPr>
              <w:snapToGrid w:val="0"/>
              <w:spacing w:line="240" w:lineRule="atLeas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a．投标函按招标文件规定填报了项目名称、标段号、补遗书编号（如有）、投标价（包括大写金额和小写金额）；</w:t>
            </w:r>
          </w:p>
          <w:p w14:paraId="0F4AF61A">
            <w:pPr>
              <w:snapToGrid w:val="0"/>
              <w:spacing w:line="240" w:lineRule="atLeas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b．已标价报价清单说明文字与招标文件规定一致，未进行实质性修改和删减；</w:t>
            </w:r>
          </w:p>
          <w:p w14:paraId="49CFEC22">
            <w:pPr>
              <w:snapToGrid w:val="0"/>
              <w:spacing w:line="240" w:lineRule="atLeas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c．投标文件组成齐全完整，</w:t>
            </w:r>
            <w:r>
              <w:rPr>
                <w:rFonts w:hint="eastAsia"/>
                <w:color w:val="000000" w:themeColor="text1"/>
                <w:szCs w:val="21"/>
                <w:highlight w:val="none"/>
                <w14:textFill>
                  <w14:solidFill>
                    <w14:schemeClr w14:val="tx1"/>
                  </w14:solidFill>
                </w14:textFill>
              </w:rPr>
              <w:t>提供的相关资料符合招标文件规定，</w:t>
            </w:r>
            <w:r>
              <w:rPr>
                <w:color w:val="000000" w:themeColor="text1"/>
                <w:szCs w:val="21"/>
                <w:highlight w:val="none"/>
                <w14:textFill>
                  <w14:solidFill>
                    <w14:schemeClr w14:val="tx1"/>
                  </w14:solidFill>
                </w14:textFill>
              </w:rPr>
              <w:t>内容均按规定填写</w:t>
            </w:r>
            <w:r>
              <w:rPr>
                <w:rFonts w:hint="eastAsia"/>
                <w:color w:val="000000" w:themeColor="text1"/>
                <w:szCs w:val="18"/>
                <w:highlight w:val="none"/>
                <w14:textFill>
                  <w14:solidFill>
                    <w14:schemeClr w14:val="tx1"/>
                  </w14:solidFill>
                </w14:textFill>
              </w:rPr>
              <w:t>（包括相应备注、附表所要求的内容）</w:t>
            </w:r>
            <w:r>
              <w:rPr>
                <w:color w:val="000000" w:themeColor="text1"/>
                <w:szCs w:val="21"/>
                <w:highlight w:val="none"/>
                <w14:textFill>
                  <w14:solidFill>
                    <w14:schemeClr w14:val="tx1"/>
                  </w14:solidFill>
                </w14:textFill>
              </w:rPr>
              <w:t>。</w:t>
            </w:r>
          </w:p>
          <w:p w14:paraId="48A2A007">
            <w:pPr>
              <w:snapToGrid w:val="0"/>
              <w:spacing w:line="240" w:lineRule="atLeas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（2）投标文件上法定代表人或其委托代理人的签字</w:t>
            </w:r>
            <w:r>
              <w:rPr>
                <w:rFonts w:hint="eastAsia"/>
                <w:color w:val="000000" w:themeColor="text1"/>
                <w:szCs w:val="21"/>
                <w:highlight w:val="none"/>
                <w14:textFill>
                  <w14:solidFill>
                    <w14:schemeClr w14:val="tx1"/>
                  </w14:solidFill>
                </w14:textFill>
              </w:rPr>
              <w:t>或盖章</w:t>
            </w:r>
            <w:r>
              <w:rPr>
                <w:color w:val="000000" w:themeColor="text1"/>
                <w:szCs w:val="21"/>
                <w:highlight w:val="none"/>
                <w14:textFill>
                  <w14:solidFill>
                    <w14:schemeClr w14:val="tx1"/>
                  </w14:solidFill>
                </w14:textFill>
              </w:rPr>
              <w:t>、投标人的单位章盖章齐全，符合招标文件规定。</w:t>
            </w:r>
          </w:p>
          <w:p w14:paraId="21E217EB">
            <w:pPr>
              <w:spacing w:line="276" w:lineRule="auto"/>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（3）投标报价</w:t>
            </w:r>
            <w:r>
              <w:rPr>
                <w:rFonts w:hint="eastAsia"/>
                <w:color w:val="000000" w:themeColor="text1"/>
                <w:szCs w:val="21"/>
                <w:highlight w:val="none"/>
                <w14:textFill>
                  <w14:solidFill>
                    <w14:schemeClr w14:val="tx1"/>
                  </w14:solidFill>
                </w14:textFill>
              </w:rPr>
              <w:t>未超过</w:t>
            </w:r>
            <w:r>
              <w:rPr>
                <w:color w:val="000000" w:themeColor="text1"/>
                <w:szCs w:val="21"/>
                <w:highlight w:val="none"/>
                <w14:textFill>
                  <w14:solidFill>
                    <w14:schemeClr w14:val="tx1"/>
                  </w14:solidFill>
                </w14:textFill>
              </w:rPr>
              <w:t>最高投标限价</w:t>
            </w:r>
            <w:r>
              <w:rPr>
                <w:rFonts w:hint="eastAsia"/>
                <w:color w:val="000000" w:themeColor="text1"/>
                <w:szCs w:val="21"/>
                <w:highlight w:val="none"/>
                <w14:textFill>
                  <w14:solidFill>
                    <w14:schemeClr w14:val="tx1"/>
                  </w14:solidFill>
                </w14:textFill>
              </w:rPr>
              <w:t>。</w:t>
            </w:r>
          </w:p>
          <w:p w14:paraId="79BC5102">
            <w:pPr>
              <w:spacing w:line="276" w:lineRule="auto"/>
              <w:rPr>
                <w:rFonts w:hint="eastAsia"/>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4</w:t>
            </w:r>
            <w:r>
              <w:rPr>
                <w:color w:val="000000" w:themeColor="text1"/>
                <w:szCs w:val="21"/>
                <w:highlight w:val="none"/>
                <w14:textFill>
                  <w14:solidFill>
                    <w14:schemeClr w14:val="tx1"/>
                  </w14:solidFill>
                </w14:textFill>
              </w:rPr>
              <w:t>）投标报价大写金额能够确定具体数值</w:t>
            </w:r>
            <w:r>
              <w:rPr>
                <w:rFonts w:hint="eastAsia"/>
                <w:color w:val="000000" w:themeColor="text1"/>
                <w:szCs w:val="21"/>
                <w:highlight w:val="none"/>
                <w14:textFill>
                  <w14:solidFill>
                    <w14:schemeClr w14:val="tx1"/>
                  </w14:solidFill>
                </w14:textFill>
              </w:rPr>
              <w:t>。</w:t>
            </w:r>
          </w:p>
          <w:p w14:paraId="487CB43C">
            <w:pPr>
              <w:spacing w:line="276" w:lineRule="auto"/>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5</w:t>
            </w:r>
            <w:r>
              <w:rPr>
                <w:color w:val="000000" w:themeColor="text1"/>
                <w:szCs w:val="21"/>
                <w:highlight w:val="none"/>
                <w14:textFill>
                  <w14:solidFill>
                    <w14:schemeClr w14:val="tx1"/>
                  </w14:solidFill>
                </w14:textFill>
              </w:rPr>
              <w:t>）同一投标人未提交两个以上不同的投标报价。</w:t>
            </w:r>
          </w:p>
          <w:p w14:paraId="731B3B09">
            <w:pPr>
              <w:autoSpaceDE w:val="0"/>
              <w:autoSpaceDN w:val="0"/>
              <w:adjustRightInd w:val="0"/>
              <w:rPr>
                <w:rFonts w:ascii="Times New Roman" w:hAnsi="Times New Roman"/>
                <w:color w:val="000000" w:themeColor="text1"/>
                <w:szCs w:val="21"/>
                <w:highlight w:val="none"/>
                <w14:textFill>
                  <w14:solidFill>
                    <w14:schemeClr w14:val="tx1"/>
                  </w14:solidFill>
                </w14:textFill>
              </w:rPr>
            </w:pPr>
            <w:r>
              <w:rPr>
                <w:rFonts w:ascii="Times New Roman" w:hAnsi="Times New Roman"/>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6</w:t>
            </w:r>
            <w:r>
              <w:rPr>
                <w:rFonts w:ascii="Times New Roman" w:hAnsi="Times New Roman"/>
                <w:color w:val="000000" w:themeColor="text1"/>
                <w:szCs w:val="21"/>
                <w:highlight w:val="none"/>
                <w14:textFill>
                  <w14:solidFill>
                    <w14:schemeClr w14:val="tx1"/>
                  </w14:solidFill>
                </w14:textFill>
              </w:rPr>
              <w:t>）投标文件正、副本份数符合招标文件第二章“投标人须知”第3.7.4项规定</w:t>
            </w:r>
            <w:r>
              <w:rPr>
                <w:rFonts w:hint="eastAsia" w:ascii="Times New Roman" w:hAnsi="Times New Roman"/>
                <w:color w:val="000000" w:themeColor="text1"/>
                <w:szCs w:val="21"/>
                <w:highlight w:val="none"/>
                <w14:textFill>
                  <w14:solidFill>
                    <w14:schemeClr w14:val="tx1"/>
                  </w14:solidFill>
                </w14:textFill>
              </w:rPr>
              <w:t>（若采用纸质文件评标）</w:t>
            </w:r>
            <w:r>
              <w:rPr>
                <w:rFonts w:ascii="Times New Roman" w:hAnsi="Times New Roman"/>
                <w:color w:val="000000" w:themeColor="text1"/>
                <w:szCs w:val="21"/>
                <w:highlight w:val="none"/>
                <w14:textFill>
                  <w14:solidFill>
                    <w14:schemeClr w14:val="tx1"/>
                  </w14:solidFill>
                </w14:textFill>
              </w:rPr>
              <w:t>。</w:t>
            </w:r>
          </w:p>
          <w:p w14:paraId="76B4AEEB">
            <w:pPr>
              <w:autoSpaceDE w:val="0"/>
              <w:autoSpaceDN w:val="0"/>
              <w:adjustRightInd w:val="0"/>
              <w:rPr>
                <w:rFonts w:ascii="Times New Roman" w:hAnsi="Times New Roman"/>
                <w:color w:val="000000" w:themeColor="text1"/>
                <w:szCs w:val="21"/>
                <w:highlight w:val="none"/>
                <w14:textFill>
                  <w14:solidFill>
                    <w14:schemeClr w14:val="tx1"/>
                  </w14:solidFill>
                </w14:textFill>
              </w:rPr>
            </w:pPr>
            <w:r>
              <w:rPr>
                <w:rFonts w:ascii="Times New Roman" w:hAnsi="Times New Roman"/>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7</w:t>
            </w:r>
            <w:r>
              <w:rPr>
                <w:rFonts w:ascii="Times New Roman" w:hAnsi="Times New Roman"/>
                <w:color w:val="000000" w:themeColor="text1"/>
                <w:szCs w:val="21"/>
                <w:highlight w:val="none"/>
                <w14:textFill>
                  <w14:solidFill>
                    <w14:schemeClr w14:val="tx1"/>
                  </w14:solidFill>
                </w14:textFill>
              </w:rPr>
              <w:t>）投标文件封套、投标函标明的标段号、单位名称及内容一致</w:t>
            </w:r>
            <w:r>
              <w:rPr>
                <w:rFonts w:hint="eastAsia" w:ascii="Times New Roman" w:hAnsi="Times New Roman"/>
                <w:color w:val="000000" w:themeColor="text1"/>
                <w:szCs w:val="21"/>
                <w:highlight w:val="none"/>
                <w14:textFill>
                  <w14:solidFill>
                    <w14:schemeClr w14:val="tx1"/>
                  </w14:solidFill>
                </w14:textFill>
              </w:rPr>
              <w:t>（若采用纸质文件评标）</w:t>
            </w:r>
            <w:r>
              <w:rPr>
                <w:rFonts w:ascii="Times New Roman" w:hAnsi="Times New Roman"/>
                <w:color w:val="000000" w:themeColor="text1"/>
                <w:szCs w:val="21"/>
                <w:highlight w:val="none"/>
                <w14:textFill>
                  <w14:solidFill>
                    <w14:schemeClr w14:val="tx1"/>
                  </w14:solidFill>
                </w14:textFill>
              </w:rPr>
              <w:t>。</w:t>
            </w:r>
          </w:p>
          <w:p w14:paraId="0CA767E2">
            <w:pPr>
              <w:autoSpaceDE w:val="0"/>
              <w:autoSpaceDN w:val="0"/>
              <w:adjustRightInd w:val="0"/>
              <w:rPr>
                <w:rFonts w:ascii="Times New Roman" w:hAnsi="Times New Roman"/>
                <w:color w:val="000000" w:themeColor="text1"/>
                <w:szCs w:val="21"/>
                <w:highlight w:val="none"/>
                <w14:textFill>
                  <w14:solidFill>
                    <w14:schemeClr w14:val="tx1"/>
                  </w14:solidFill>
                </w14:textFill>
              </w:rPr>
            </w:pPr>
            <w:r>
              <w:rPr>
                <w:rFonts w:ascii="Times New Roman" w:hAnsi="Times New Roman"/>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8</w:t>
            </w:r>
            <w:r>
              <w:rPr>
                <w:rFonts w:ascii="Times New Roman" w:hAnsi="Times New Roman"/>
                <w:color w:val="000000" w:themeColor="text1"/>
                <w:szCs w:val="21"/>
                <w:highlight w:val="none"/>
                <w14:textFill>
                  <w14:solidFill>
                    <w14:schemeClr w14:val="tx1"/>
                  </w14:solidFill>
                </w14:textFill>
              </w:rPr>
              <w:t>）不同投标人的投标文件未相互混装</w:t>
            </w:r>
            <w:r>
              <w:rPr>
                <w:rFonts w:hint="eastAsia" w:ascii="Times New Roman" w:hAnsi="Times New Roman"/>
                <w:color w:val="000000" w:themeColor="text1"/>
                <w:szCs w:val="21"/>
                <w:highlight w:val="none"/>
                <w14:textFill>
                  <w14:solidFill>
                    <w14:schemeClr w14:val="tx1"/>
                  </w14:solidFill>
                </w14:textFill>
              </w:rPr>
              <w:t>（若采用纸质文件评标）</w:t>
            </w:r>
            <w:r>
              <w:rPr>
                <w:rFonts w:ascii="Times New Roman" w:hAnsi="Times New Roman"/>
                <w:color w:val="000000" w:themeColor="text1"/>
                <w:szCs w:val="21"/>
                <w:highlight w:val="none"/>
                <w14:textFill>
                  <w14:solidFill>
                    <w14:schemeClr w14:val="tx1"/>
                  </w14:solidFill>
                </w14:textFill>
              </w:rPr>
              <w:t>。</w:t>
            </w:r>
          </w:p>
          <w:p w14:paraId="0D48FBFB">
            <w:pPr>
              <w:spacing w:line="276" w:lineRule="auto"/>
              <w:rPr>
                <w:b/>
                <w:color w:val="000000" w:themeColor="text1"/>
                <w:szCs w:val="21"/>
                <w:highlight w:val="none"/>
                <w14:textFill>
                  <w14:solidFill>
                    <w14:schemeClr w14:val="tx1"/>
                  </w14:solidFill>
                </w14:textFill>
              </w:rPr>
            </w:pPr>
          </w:p>
        </w:tc>
      </w:tr>
      <w:tr w14:paraId="75F88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0AD4D1F5">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2.1.2</w:t>
            </w:r>
          </w:p>
        </w:tc>
        <w:tc>
          <w:tcPr>
            <w:tcW w:w="1134" w:type="dxa"/>
            <w:gridSpan w:val="2"/>
            <w:vAlign w:val="center"/>
          </w:tcPr>
          <w:p w14:paraId="218748DF">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资格评审标准</w:t>
            </w:r>
          </w:p>
        </w:tc>
        <w:tc>
          <w:tcPr>
            <w:tcW w:w="7371" w:type="dxa"/>
            <w:gridSpan w:val="3"/>
            <w:vAlign w:val="center"/>
          </w:tcPr>
          <w:p w14:paraId="5E035493">
            <w:pP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（1）投标人具备有效的营业执照、监理资质证书和基本账户开户许可证</w:t>
            </w:r>
            <w:r>
              <w:rPr>
                <w:rFonts w:hint="eastAsia"/>
                <w:color w:val="000000" w:themeColor="text1"/>
                <w:highlight w:val="none"/>
                <w14:textFill>
                  <w14:solidFill>
                    <w14:schemeClr w14:val="tx1"/>
                  </w14:solidFill>
                </w14:textFill>
              </w:rPr>
              <w:t>（或基本账户存款信息单）</w:t>
            </w:r>
            <w:r>
              <w:rPr>
                <w:color w:val="000000" w:themeColor="text1"/>
                <w:highlight w:val="none"/>
                <w14:textFill>
                  <w14:solidFill>
                    <w14:schemeClr w14:val="tx1"/>
                  </w14:solidFill>
                </w14:textFill>
              </w:rPr>
              <w:t>。</w:t>
            </w:r>
          </w:p>
          <w:p w14:paraId="40D062C5">
            <w:pP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（2）投标人的资质等级符合第二章“投标人须知前附表”附录规定。</w:t>
            </w:r>
          </w:p>
          <w:p w14:paraId="1569F177">
            <w:pP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（3）投标人的类似项目业绩符合第二章“投标人须知前附表”附录规定。</w:t>
            </w:r>
          </w:p>
          <w:p w14:paraId="1C612A2A">
            <w:pP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（4）投标人的信誉符合第二章“投标人须知前附表”附录规定。</w:t>
            </w:r>
          </w:p>
          <w:p w14:paraId="569B4F1E">
            <w:pP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（5）投标人的</w:t>
            </w:r>
            <w:r>
              <w:rPr>
                <w:rFonts w:hint="eastAsia"/>
                <w:color w:val="000000" w:themeColor="text1"/>
                <w:highlight w:val="none"/>
                <w14:textFill>
                  <w14:solidFill>
                    <w14:schemeClr w14:val="tx1"/>
                  </w14:solidFill>
                </w14:textFill>
              </w:rPr>
              <w:t>驻地</w:t>
            </w:r>
            <w:r>
              <w:rPr>
                <w:color w:val="000000" w:themeColor="text1"/>
                <w:highlight w:val="none"/>
                <w14:textFill>
                  <w14:solidFill>
                    <w14:schemeClr w14:val="tx1"/>
                  </w14:solidFill>
                </w14:textFill>
              </w:rPr>
              <w:t>监理工程师资格、在岗情况符合第二章“投标人须知前附表”附录规定。</w:t>
            </w:r>
          </w:p>
          <w:p w14:paraId="1F372524">
            <w:pP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（6）投标人不存在第二章“投标人须知”第1.4.3项及第1.4.4项规定的任何一种情形。</w:t>
            </w:r>
          </w:p>
          <w:p w14:paraId="2198977E">
            <w:pPr>
              <w:rPr>
                <w:rFonts w:hint="eastAsia"/>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（7）投标人符合第二章“投标人须知”第1.4.5项规定。</w:t>
            </w:r>
          </w:p>
        </w:tc>
      </w:tr>
      <w:tr w14:paraId="39F9D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8" w:hRule="atLeast"/>
        </w:trPr>
        <w:tc>
          <w:tcPr>
            <w:tcW w:w="675" w:type="dxa"/>
            <w:vAlign w:val="center"/>
          </w:tcPr>
          <w:p w14:paraId="5A415307">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2.2.1</w:t>
            </w:r>
          </w:p>
        </w:tc>
        <w:tc>
          <w:tcPr>
            <w:tcW w:w="1134" w:type="dxa"/>
            <w:gridSpan w:val="2"/>
            <w:vAlign w:val="center"/>
          </w:tcPr>
          <w:p w14:paraId="171B212A">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分值构成</w:t>
            </w:r>
          </w:p>
          <w:p w14:paraId="06D41823">
            <w:pPr>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w:t>
            </w:r>
            <w:r>
              <w:rPr>
                <w:color w:val="000000" w:themeColor="text1"/>
                <w:szCs w:val="21"/>
                <w:highlight w:val="none"/>
                <w14:textFill>
                  <w14:solidFill>
                    <w14:schemeClr w14:val="tx1"/>
                  </w14:solidFill>
                </w14:textFill>
              </w:rPr>
              <w:t>总分100分）</w:t>
            </w:r>
          </w:p>
        </w:tc>
        <w:tc>
          <w:tcPr>
            <w:tcW w:w="7371" w:type="dxa"/>
            <w:gridSpan w:val="3"/>
            <w:vAlign w:val="center"/>
          </w:tcPr>
          <w:p w14:paraId="11AE9BF5">
            <w:pPr>
              <w:jc w:val="left"/>
              <w:rPr>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第一个信封（商务及技术文件）评分分值构成：</w:t>
            </w:r>
          </w:p>
          <w:p w14:paraId="72A1C40B">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技术建议书：</w:t>
            </w:r>
            <w:r>
              <w:rPr>
                <w:rFonts w:hint="eastAsia"/>
                <w:color w:val="000000" w:themeColor="text1"/>
                <w:szCs w:val="21"/>
                <w:highlight w:val="none"/>
                <w:u w:val="single"/>
                <w14:textFill>
                  <w14:solidFill>
                    <w14:schemeClr w14:val="tx1"/>
                  </w14:solidFill>
                </w14:textFill>
              </w:rPr>
              <w:t>3</w:t>
            </w:r>
            <w:r>
              <w:rPr>
                <w:color w:val="000000" w:themeColor="text1"/>
                <w:szCs w:val="21"/>
                <w:highlight w:val="none"/>
                <w:u w:val="single"/>
                <w14:textFill>
                  <w14:solidFill>
                    <w14:schemeClr w14:val="tx1"/>
                  </w14:solidFill>
                </w14:textFill>
              </w:rPr>
              <w:t>5</w:t>
            </w:r>
            <w:r>
              <w:rPr>
                <w:color w:val="000000" w:themeColor="text1"/>
                <w:szCs w:val="21"/>
                <w:highlight w:val="none"/>
                <w14:textFill>
                  <w14:solidFill>
                    <w14:schemeClr w14:val="tx1"/>
                  </w14:solidFill>
                </w14:textFill>
              </w:rPr>
              <w:t>分</w:t>
            </w:r>
          </w:p>
          <w:p w14:paraId="42EAC31F">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主要人员：</w:t>
            </w:r>
            <w:r>
              <w:rPr>
                <w:rFonts w:hint="eastAsia"/>
                <w:color w:val="000000" w:themeColor="text1"/>
                <w:szCs w:val="21"/>
                <w:highlight w:val="none"/>
                <w:u w:val="single"/>
                <w14:textFill>
                  <w14:solidFill>
                    <w14:schemeClr w14:val="tx1"/>
                  </w14:solidFill>
                </w14:textFill>
              </w:rPr>
              <w:t>2</w:t>
            </w:r>
            <w:r>
              <w:rPr>
                <w:color w:val="000000" w:themeColor="text1"/>
                <w:szCs w:val="21"/>
                <w:highlight w:val="none"/>
                <w:u w:val="single"/>
                <w14:textFill>
                  <w14:solidFill>
                    <w14:schemeClr w14:val="tx1"/>
                  </w14:solidFill>
                </w14:textFill>
              </w:rPr>
              <w:t>5</w:t>
            </w:r>
            <w:r>
              <w:rPr>
                <w:color w:val="000000" w:themeColor="text1"/>
                <w:szCs w:val="21"/>
                <w:highlight w:val="none"/>
                <w14:textFill>
                  <w14:solidFill>
                    <w14:schemeClr w14:val="tx1"/>
                  </w14:solidFill>
                </w14:textFill>
              </w:rPr>
              <w:t>分</w:t>
            </w:r>
          </w:p>
          <w:p w14:paraId="434C501B">
            <w:pPr>
              <w:jc w:val="left"/>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监理</w:t>
            </w:r>
            <w:r>
              <w:rPr>
                <w:color w:val="000000" w:themeColor="text1"/>
                <w:szCs w:val="21"/>
                <w:highlight w:val="none"/>
                <w14:textFill>
                  <w14:solidFill>
                    <w14:schemeClr w14:val="tx1"/>
                  </w14:solidFill>
                </w14:textFill>
              </w:rPr>
              <w:t>业绩：</w:t>
            </w:r>
            <w:r>
              <w:rPr>
                <w:color w:val="000000" w:themeColor="text1"/>
                <w:szCs w:val="21"/>
                <w:highlight w:val="none"/>
                <w:u w:val="single"/>
                <w14:textFill>
                  <w14:solidFill>
                    <w14:schemeClr w14:val="tx1"/>
                  </w14:solidFill>
                </w14:textFill>
              </w:rPr>
              <w:t>25</w:t>
            </w:r>
            <w:r>
              <w:rPr>
                <w:color w:val="000000" w:themeColor="text1"/>
                <w:szCs w:val="21"/>
                <w:highlight w:val="none"/>
                <w14:textFill>
                  <w14:solidFill>
                    <w14:schemeClr w14:val="tx1"/>
                  </w14:solidFill>
                </w14:textFill>
              </w:rPr>
              <w:t>分</w:t>
            </w:r>
          </w:p>
          <w:p w14:paraId="61A9FF76">
            <w:pPr>
              <w:jc w:val="left"/>
              <w:rPr>
                <w:rFonts w:hint="eastAsia"/>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履约信誉：</w:t>
            </w:r>
            <w:r>
              <w:rPr>
                <w:color w:val="000000" w:themeColor="text1"/>
                <w:szCs w:val="21"/>
                <w:highlight w:val="none"/>
                <w:u w:val="single"/>
                <w14:textFill>
                  <w14:solidFill>
                    <w14:schemeClr w14:val="tx1"/>
                  </w14:solidFill>
                </w14:textFill>
              </w:rPr>
              <w:t>5</w:t>
            </w:r>
            <w:r>
              <w:rPr>
                <w:color w:val="000000" w:themeColor="text1"/>
                <w:szCs w:val="21"/>
                <w:highlight w:val="none"/>
                <w14:textFill>
                  <w14:solidFill>
                    <w14:schemeClr w14:val="tx1"/>
                  </w14:solidFill>
                </w14:textFill>
              </w:rPr>
              <w:t>分</w:t>
            </w:r>
          </w:p>
          <w:p w14:paraId="51BA4209">
            <w:pPr>
              <w:pStyle w:val="2"/>
              <w:rPr>
                <w:rFonts w:hint="eastAsia" w:ascii="Times New Roman" w:hAnsi="Times New Roman"/>
                <w:color w:val="000000" w:themeColor="text1"/>
                <w:sz w:val="21"/>
                <w:szCs w:val="21"/>
                <w:highlight w:val="none"/>
                <w14:textFill>
                  <w14:solidFill>
                    <w14:schemeClr w14:val="tx1"/>
                  </w14:solidFill>
                </w14:textFill>
              </w:rPr>
            </w:pPr>
            <w:r>
              <w:rPr>
                <w:rFonts w:hint="eastAsia" w:ascii="Times New Roman" w:hAnsi="Times New Roman"/>
                <w:color w:val="000000" w:themeColor="text1"/>
                <w:sz w:val="21"/>
                <w:szCs w:val="21"/>
                <w:highlight w:val="none"/>
                <w14:textFill>
                  <w14:solidFill>
                    <w14:schemeClr w14:val="tx1"/>
                  </w14:solidFill>
                </w14:textFill>
              </w:rPr>
              <w:t>投标人的商务和技术得分为上述四项得分之和。</w:t>
            </w:r>
          </w:p>
          <w:p w14:paraId="718429E2">
            <w:pPr>
              <w:jc w:val="left"/>
              <w:rPr>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第二个信封（报价文件）评分分值构成：</w:t>
            </w:r>
          </w:p>
          <w:p w14:paraId="7647C267">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评标价：</w:t>
            </w:r>
            <w:r>
              <w:rPr>
                <w:color w:val="000000" w:themeColor="text1"/>
                <w:szCs w:val="21"/>
                <w:highlight w:val="none"/>
                <w:u w:val="single"/>
                <w14:textFill>
                  <w14:solidFill>
                    <w14:schemeClr w14:val="tx1"/>
                  </w14:solidFill>
                </w14:textFill>
              </w:rPr>
              <w:t>10</w:t>
            </w:r>
            <w:r>
              <w:rPr>
                <w:color w:val="000000" w:themeColor="text1"/>
                <w:szCs w:val="21"/>
                <w:highlight w:val="none"/>
                <w14:textFill>
                  <w14:solidFill>
                    <w14:schemeClr w14:val="tx1"/>
                  </w14:solidFill>
                </w14:textFill>
              </w:rPr>
              <w:t>分</w:t>
            </w:r>
          </w:p>
        </w:tc>
      </w:tr>
      <w:tr w14:paraId="1F150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675" w:type="dxa"/>
            <w:vAlign w:val="center"/>
          </w:tcPr>
          <w:p w14:paraId="41456460">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2.2.2</w:t>
            </w:r>
          </w:p>
        </w:tc>
        <w:tc>
          <w:tcPr>
            <w:tcW w:w="1134" w:type="dxa"/>
            <w:gridSpan w:val="2"/>
            <w:vAlign w:val="center"/>
          </w:tcPr>
          <w:p w14:paraId="1E288374">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评标基准价计算方法</w:t>
            </w:r>
          </w:p>
        </w:tc>
        <w:tc>
          <w:tcPr>
            <w:tcW w:w="7371" w:type="dxa"/>
            <w:gridSpan w:val="3"/>
            <w:vAlign w:val="center"/>
          </w:tcPr>
          <w:p w14:paraId="1347C50C">
            <w:pPr>
              <w:snapToGrid w:val="0"/>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在开标现场，招标人将当场计算并宣布评标基准价。</w:t>
            </w:r>
          </w:p>
          <w:p w14:paraId="435F10E9">
            <w:pPr>
              <w:snapToGrid w:val="0"/>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（1）评标价的确定：</w:t>
            </w:r>
          </w:p>
          <w:p w14:paraId="31189349">
            <w:pPr>
              <w:snapToGrid w:val="0"/>
              <w:rPr>
                <w:rFonts w:hint="eastAsia"/>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评标价D</w:t>
            </w:r>
            <w:r>
              <w:rPr>
                <w:color w:val="000000" w:themeColor="text1"/>
                <w:szCs w:val="21"/>
                <w:highlight w:val="none"/>
                <w:vertAlign w:val="subscript"/>
                <w14:textFill>
                  <w14:solidFill>
                    <w14:schemeClr w14:val="tx1"/>
                  </w14:solidFill>
                </w14:textFill>
              </w:rPr>
              <w:t>i</w:t>
            </w:r>
            <w:r>
              <w:rPr>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投标函文字报价-暂估价-暂列金额</w:t>
            </w:r>
          </w:p>
          <w:p w14:paraId="16D72CCA">
            <w:pPr>
              <w:snapToGrid w:val="0"/>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（2）评标价基准价的计算</w:t>
            </w:r>
          </w:p>
          <w:p w14:paraId="57DE0FFB">
            <w:pPr>
              <w:snapToGrid w:val="0"/>
              <w:rPr>
                <w:rFonts w:hint="eastAsia"/>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评标基准价计算方法参照陕西省交通运输厅《陕西省公路工程建设项目招投标管理办法》陕交发〔2022〕50号执行。</w:t>
            </w:r>
          </w:p>
          <w:p w14:paraId="51E2D7CC">
            <w:pPr>
              <w:snapToGrid w:val="0"/>
              <w:rPr>
                <w:rFonts w:hint="eastAsia" w:ascii="宋体" w:hAnsi="宋体" w:cs="宋体"/>
                <w:color w:val="000000" w:themeColor="text1"/>
                <w:szCs w:val="21"/>
                <w:highlight w:val="none"/>
                <w14:textFill>
                  <w14:solidFill>
                    <w14:schemeClr w14:val="tx1"/>
                  </w14:solidFill>
                </w14:textFill>
              </w:rPr>
            </w:pPr>
            <w:r>
              <w:rPr>
                <w:rFonts w:cs="宋体" w:asciiTheme="minorEastAsia" w:hAnsiTheme="minorEastAsia" w:eastAsiaTheme="minorEastAsia"/>
                <w:color w:val="000000" w:themeColor="text1"/>
                <w:highlight w:val="none"/>
                <w14:textFill>
                  <w14:solidFill>
                    <w14:schemeClr w14:val="tx1"/>
                  </w14:solidFill>
                </w14:textFill>
              </w:rPr>
              <w:drawing>
                <wp:anchor distT="0" distB="0" distL="114300" distR="114300" simplePos="0" relativeHeight="251659264" behindDoc="0" locked="0" layoutInCell="1" allowOverlap="1">
                  <wp:simplePos x="0" y="0"/>
                  <wp:positionH relativeFrom="page">
                    <wp:posOffset>214630</wp:posOffset>
                  </wp:positionH>
                  <wp:positionV relativeFrom="page">
                    <wp:posOffset>1271270</wp:posOffset>
                  </wp:positionV>
                  <wp:extent cx="1770380" cy="369570"/>
                  <wp:effectExtent l="19050" t="0" r="0" b="0"/>
                  <wp:wrapTopAndBottom/>
                  <wp:docPr id="38" name="对象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对象 1"/>
                          <pic:cNvPicPr>
                            <a:picLocks noChangeAspect="1" noChangeArrowheads="1"/>
                          </pic:cNvPicPr>
                        </pic:nvPicPr>
                        <pic:blipFill>
                          <a:blip r:embed="rId4" cstate="print"/>
                          <a:srcRect/>
                          <a:stretch>
                            <a:fillRect/>
                          </a:stretch>
                        </pic:blipFill>
                        <pic:spPr>
                          <a:xfrm>
                            <a:off x="0" y="0"/>
                            <a:ext cx="1770380" cy="369570"/>
                          </a:xfrm>
                          <a:prstGeom prst="rect">
                            <a:avLst/>
                          </a:prstGeom>
                          <a:noFill/>
                        </pic:spPr>
                      </pic:pic>
                    </a:graphicData>
                  </a:graphic>
                </wp:anchor>
              </w:drawing>
            </w:r>
            <w:r>
              <w:rPr>
                <w:rFonts w:hint="eastAsia" w:ascii="宋体" w:hAnsi="宋体" w:cs="宋体"/>
                <w:color w:val="000000" w:themeColor="text1"/>
                <w:szCs w:val="21"/>
                <w:highlight w:val="none"/>
                <w14:textFill>
                  <w14:solidFill>
                    <w14:schemeClr w14:val="tx1"/>
                  </w14:solidFill>
                </w14:textFill>
              </w:rPr>
              <w:t>评标价去掉</w:t>
            </w:r>
            <w:r>
              <w:rPr>
                <w:color w:val="000000" w:themeColor="text1"/>
                <w:szCs w:val="21"/>
                <w:highlight w:val="none"/>
                <w14:textFill>
                  <w14:solidFill>
                    <w14:schemeClr w14:val="tx1"/>
                  </w14:solidFill>
                </w14:textFill>
              </w:rPr>
              <w:t>n1</w:t>
            </w:r>
            <w:r>
              <w:rPr>
                <w:rFonts w:hint="eastAsia" w:ascii="宋体" w:hAnsi="宋体" w:cs="宋体"/>
                <w:color w:val="000000" w:themeColor="text1"/>
                <w:szCs w:val="21"/>
                <w:highlight w:val="none"/>
                <w14:textFill>
                  <w14:solidFill>
                    <w14:schemeClr w14:val="tx1"/>
                  </w14:solidFill>
                </w14:textFill>
              </w:rPr>
              <w:t>个最高评标价和</w:t>
            </w:r>
            <w:r>
              <w:rPr>
                <w:color w:val="000000" w:themeColor="text1"/>
                <w:szCs w:val="21"/>
                <w:highlight w:val="none"/>
                <w14:textFill>
                  <w14:solidFill>
                    <w14:schemeClr w14:val="tx1"/>
                  </w14:solidFill>
                </w14:textFill>
              </w:rPr>
              <w:t>n2</w:t>
            </w:r>
            <w:r>
              <w:rPr>
                <w:rFonts w:hint="eastAsia" w:ascii="宋体" w:hAnsi="宋体" w:cs="宋体"/>
                <w:color w:val="000000" w:themeColor="text1"/>
                <w:szCs w:val="21"/>
                <w:highlight w:val="none"/>
                <w14:textFill>
                  <w14:solidFill>
                    <w14:schemeClr w14:val="tx1"/>
                  </w14:solidFill>
                </w14:textFill>
              </w:rPr>
              <w:t>个最低评标价后平均值作为评标基准价P。</w:t>
            </w:r>
          </w:p>
          <w:p w14:paraId="330125C1">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式中：Di—投标人的有效评标价，指除投标人须知前附表5.2.4项不参与评标基准价计算的情形之外，剩余所有投标人的评标价。</w:t>
            </w:r>
          </w:p>
          <w:p w14:paraId="4E123AB3">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N—有效评标价的个数；</w:t>
            </w:r>
          </w:p>
          <w:p w14:paraId="2C62B9D9">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n1、n2的取值：</w:t>
            </w:r>
          </w:p>
          <w:p w14:paraId="628084FC">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当N&lt;6时，n1、n2均取0；</w:t>
            </w:r>
          </w:p>
          <w:p w14:paraId="777A9880">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当N≥6时，n1在取值区间1～M-1中随机抽取（最小为1），n2在取值区间1～M+1中随机抽取，M=N/4，M去尾取整。</w:t>
            </w:r>
          </w:p>
          <w:p w14:paraId="3539685A">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（3）评标基准价的确定</w:t>
            </w:r>
          </w:p>
          <w:p w14:paraId="7665164A">
            <w:pP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在评标过程中，评标委员会应对招标人计算的评标基准价进行复核，存在计算错误的应予以修正并在评标报告中作出说明。除此之外，评标基准价在整个评标期间保持不变，不随任何因素发生变化。</w:t>
            </w:r>
          </w:p>
        </w:tc>
      </w:tr>
      <w:tr w14:paraId="396BA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675" w:type="dxa"/>
            <w:vAlign w:val="center"/>
          </w:tcPr>
          <w:p w14:paraId="05BA2B79">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2.2.3</w:t>
            </w:r>
          </w:p>
        </w:tc>
        <w:tc>
          <w:tcPr>
            <w:tcW w:w="1134" w:type="dxa"/>
            <w:gridSpan w:val="2"/>
            <w:vAlign w:val="center"/>
          </w:tcPr>
          <w:p w14:paraId="522265F9">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投标报价的偏差率</w:t>
            </w:r>
          </w:p>
          <w:p w14:paraId="0CAED0F6">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计算公式</w:t>
            </w:r>
          </w:p>
        </w:tc>
        <w:tc>
          <w:tcPr>
            <w:tcW w:w="7371" w:type="dxa"/>
            <w:gridSpan w:val="3"/>
            <w:vAlign w:val="center"/>
          </w:tcPr>
          <w:p w14:paraId="29931621">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偏差率=100%</w:t>
            </w:r>
            <w:r>
              <w:rPr>
                <w:color w:val="000000" w:themeColor="text1"/>
                <w:highlight w:val="none"/>
                <w14:textFill>
                  <w14:solidFill>
                    <w14:schemeClr w14:val="tx1"/>
                  </w14:solidFill>
                </w14:textFill>
              </w:rPr>
              <w:t>×</w:t>
            </w:r>
            <w:r>
              <w:rPr>
                <w:color w:val="000000" w:themeColor="text1"/>
                <w:szCs w:val="21"/>
                <w:highlight w:val="none"/>
                <w14:textFill>
                  <w14:solidFill>
                    <w14:schemeClr w14:val="tx1"/>
                  </w14:solidFill>
                </w14:textFill>
              </w:rPr>
              <w:t>（投标人评标价－评标基准价）/评标基准价；</w:t>
            </w:r>
          </w:p>
          <w:p w14:paraId="0AC4C2A3">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偏差率保留两位小数。</w:t>
            </w:r>
          </w:p>
        </w:tc>
      </w:tr>
      <w:tr w14:paraId="20609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4503" w:type="dxa"/>
            <w:gridSpan w:val="5"/>
            <w:vAlign w:val="center"/>
          </w:tcPr>
          <w:p w14:paraId="721CD2D2">
            <w:pPr>
              <w:jc w:val="center"/>
              <w:rPr>
                <w:b/>
                <w:color w:val="000000" w:themeColor="text1"/>
                <w:szCs w:val="21"/>
                <w:highlight w:val="none"/>
                <w14:textFill>
                  <w14:solidFill>
                    <w14:schemeClr w14:val="tx1"/>
                  </w14:solidFill>
                </w14:textFill>
              </w:rPr>
            </w:pPr>
            <w:bookmarkStart w:id="2" w:name="_Hlk532292370"/>
            <w:r>
              <w:rPr>
                <w:b/>
                <w:color w:val="000000" w:themeColor="text1"/>
                <w:szCs w:val="21"/>
                <w:highlight w:val="none"/>
                <w14:textFill>
                  <w14:solidFill>
                    <w14:schemeClr w14:val="tx1"/>
                  </w14:solidFill>
                </w14:textFill>
              </w:rPr>
              <w:t>评分因素与权重分值</w:t>
            </w:r>
          </w:p>
        </w:tc>
        <w:tc>
          <w:tcPr>
            <w:tcW w:w="4677" w:type="dxa"/>
            <w:vMerge w:val="restart"/>
            <w:vAlign w:val="center"/>
          </w:tcPr>
          <w:p w14:paraId="56D0B946">
            <w:pPr>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评分标准</w:t>
            </w:r>
          </w:p>
        </w:tc>
      </w:tr>
      <w:tr w14:paraId="14BA1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35816741">
            <w:pPr>
              <w:jc w:val="center"/>
              <w:rPr>
                <w:b/>
                <w:color w:val="000000" w:themeColor="text1"/>
                <w:szCs w:val="21"/>
                <w:highlight w:val="none"/>
                <w14:textFill>
                  <w14:solidFill>
                    <w14:schemeClr w14:val="tx1"/>
                  </w14:solidFill>
                </w14:textFill>
              </w:rPr>
            </w:pPr>
            <w:bookmarkStart w:id="3" w:name="_Hlk528497069"/>
            <w:r>
              <w:rPr>
                <w:b/>
                <w:color w:val="000000" w:themeColor="text1"/>
                <w:szCs w:val="21"/>
                <w:highlight w:val="none"/>
                <w14:textFill>
                  <w14:solidFill>
                    <w14:schemeClr w14:val="tx1"/>
                  </w14:solidFill>
                </w14:textFill>
              </w:rPr>
              <w:t>条款号</w:t>
            </w:r>
          </w:p>
        </w:tc>
        <w:tc>
          <w:tcPr>
            <w:tcW w:w="2694" w:type="dxa"/>
            <w:gridSpan w:val="3"/>
            <w:vAlign w:val="center"/>
          </w:tcPr>
          <w:p w14:paraId="4062EF1F">
            <w:pPr>
              <w:jc w:val="center"/>
              <w:rPr>
                <w:b/>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评分因素</w:t>
            </w:r>
          </w:p>
        </w:tc>
        <w:tc>
          <w:tcPr>
            <w:tcW w:w="1134" w:type="dxa"/>
            <w:vAlign w:val="center"/>
          </w:tcPr>
          <w:p w14:paraId="2E7C4F2E">
            <w:pPr>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分值</w:t>
            </w:r>
          </w:p>
        </w:tc>
        <w:tc>
          <w:tcPr>
            <w:tcW w:w="4677" w:type="dxa"/>
            <w:vMerge w:val="continue"/>
            <w:vAlign w:val="center"/>
          </w:tcPr>
          <w:p w14:paraId="71F66628">
            <w:pPr>
              <w:jc w:val="left"/>
              <w:rPr>
                <w:color w:val="000000" w:themeColor="text1"/>
                <w:szCs w:val="21"/>
                <w:highlight w:val="none"/>
                <w14:textFill>
                  <w14:solidFill>
                    <w14:schemeClr w14:val="tx1"/>
                  </w14:solidFill>
                </w14:textFill>
              </w:rPr>
            </w:pPr>
          </w:p>
        </w:tc>
      </w:tr>
      <w:bookmarkEnd w:id="2"/>
      <w:bookmarkEnd w:id="3"/>
      <w:tr w14:paraId="5C574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14:paraId="418CEE5A">
            <w:pPr>
              <w:jc w:val="center"/>
              <w:rPr>
                <w:b/>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t>2.2.4（1）</w:t>
            </w:r>
          </w:p>
        </w:tc>
        <w:tc>
          <w:tcPr>
            <w:tcW w:w="2694" w:type="dxa"/>
            <w:gridSpan w:val="3"/>
            <w:vAlign w:val="center"/>
          </w:tcPr>
          <w:p w14:paraId="56A0BC46">
            <w:pPr>
              <w:jc w:val="center"/>
              <w:rPr>
                <w:b/>
                <w:bCs/>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t>技术建议书</w:t>
            </w:r>
          </w:p>
        </w:tc>
        <w:tc>
          <w:tcPr>
            <w:tcW w:w="1134" w:type="dxa"/>
            <w:vAlign w:val="center"/>
          </w:tcPr>
          <w:p w14:paraId="6F63B181">
            <w:pPr>
              <w:jc w:val="center"/>
              <w:rPr>
                <w:b/>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t>35分</w:t>
            </w:r>
          </w:p>
        </w:tc>
        <w:tc>
          <w:tcPr>
            <w:tcW w:w="4677" w:type="dxa"/>
            <w:vAlign w:val="center"/>
          </w:tcPr>
          <w:p w14:paraId="5E9D872A">
            <w:pPr>
              <w:jc w:val="left"/>
              <w:rPr>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t>见详细评分标准一</w:t>
            </w:r>
          </w:p>
        </w:tc>
      </w:tr>
      <w:tr w14:paraId="21A13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14:paraId="1B2FDA7A">
            <w:pPr>
              <w:jc w:val="center"/>
              <w:rPr>
                <w:b/>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t>2.2.4（2）</w:t>
            </w:r>
          </w:p>
        </w:tc>
        <w:tc>
          <w:tcPr>
            <w:tcW w:w="2694" w:type="dxa"/>
            <w:gridSpan w:val="3"/>
            <w:vAlign w:val="center"/>
          </w:tcPr>
          <w:p w14:paraId="15DD3524">
            <w:pPr>
              <w:jc w:val="center"/>
              <w:rPr>
                <w:b/>
                <w:bCs/>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t>主要人员</w:t>
            </w:r>
          </w:p>
        </w:tc>
        <w:tc>
          <w:tcPr>
            <w:tcW w:w="1134" w:type="dxa"/>
            <w:vAlign w:val="center"/>
          </w:tcPr>
          <w:p w14:paraId="624C701B">
            <w:pPr>
              <w:jc w:val="center"/>
              <w:rPr>
                <w:b/>
                <w:color w:val="000000" w:themeColor="text1"/>
                <w:szCs w:val="21"/>
                <w:highlight w:val="none"/>
                <w14:textFill>
                  <w14:solidFill>
                    <w14:schemeClr w14:val="tx1"/>
                  </w14:solidFill>
                </w14:textFill>
              </w:rPr>
            </w:pPr>
            <w:r>
              <w:rPr>
                <w:rFonts w:eastAsia="等线"/>
                <w:color w:val="000000" w:themeColor="text1"/>
                <w:highlight w:val="none"/>
                <w14:textFill>
                  <w14:solidFill>
                    <w14:schemeClr w14:val="tx1"/>
                  </w14:solidFill>
                </w14:textFill>
              </w:rPr>
              <w:t>25分</w:t>
            </w:r>
          </w:p>
        </w:tc>
        <w:tc>
          <w:tcPr>
            <w:tcW w:w="4677" w:type="dxa"/>
            <w:vAlign w:val="center"/>
          </w:tcPr>
          <w:p w14:paraId="2975A755">
            <w:pPr>
              <w:jc w:val="left"/>
              <w:rPr>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t>见详细评分标准二</w:t>
            </w:r>
          </w:p>
        </w:tc>
      </w:tr>
      <w:tr w14:paraId="3011F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40663868">
            <w:pPr>
              <w:jc w:val="center"/>
              <w:rPr>
                <w:b/>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t>2.2.4（3）</w:t>
            </w:r>
          </w:p>
        </w:tc>
        <w:tc>
          <w:tcPr>
            <w:tcW w:w="2694" w:type="dxa"/>
            <w:gridSpan w:val="3"/>
            <w:vAlign w:val="center"/>
          </w:tcPr>
          <w:p w14:paraId="2C8EC7B2">
            <w:pPr>
              <w:jc w:val="center"/>
              <w:rPr>
                <w:b/>
                <w:bCs/>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t>评标价</w:t>
            </w:r>
          </w:p>
        </w:tc>
        <w:tc>
          <w:tcPr>
            <w:tcW w:w="1134" w:type="dxa"/>
            <w:vAlign w:val="center"/>
          </w:tcPr>
          <w:p w14:paraId="7C8FD04D">
            <w:pPr>
              <w:jc w:val="center"/>
              <w:rPr>
                <w:b/>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t>10分</w:t>
            </w:r>
          </w:p>
        </w:tc>
        <w:tc>
          <w:tcPr>
            <w:tcW w:w="4677" w:type="dxa"/>
            <w:vAlign w:val="center"/>
          </w:tcPr>
          <w:p w14:paraId="3437159B">
            <w:pPr>
              <w:pStyle w:val="15"/>
              <w:ind w:firstLine="10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评标价得分计算公式示例：</w:t>
            </w:r>
          </w:p>
          <w:p w14:paraId="4044AA0F">
            <w:pPr>
              <w:pStyle w:val="15"/>
              <w:ind w:firstLine="10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（1）如果投标人的评标价&gt;评标基准价，则评标价得分=10</w:t>
            </w:r>
            <w:r>
              <w:rPr>
                <w:color w:val="000000" w:themeColor="text1"/>
                <w:szCs w:val="21"/>
                <w:highlight w:val="none"/>
                <w14:textFill>
                  <w14:solidFill>
                    <w14:schemeClr w14:val="tx1"/>
                  </w14:solidFill>
                </w14:textFill>
              </w:rPr>
              <w:t>－</w:t>
            </w:r>
            <w:r>
              <w:rPr>
                <w:color w:val="000000" w:themeColor="text1"/>
                <w:highlight w:val="none"/>
                <w14:textFill>
                  <w14:solidFill>
                    <w14:schemeClr w14:val="tx1"/>
                  </w14:solidFill>
                </w14:textFill>
              </w:rPr>
              <w:t>偏差率×100×E</w:t>
            </w:r>
            <w:r>
              <w:rPr>
                <w:color w:val="000000" w:themeColor="text1"/>
                <w:highlight w:val="none"/>
                <w:vertAlign w:val="subscript"/>
                <w14:textFill>
                  <w14:solidFill>
                    <w14:schemeClr w14:val="tx1"/>
                  </w14:solidFill>
                </w14:textFill>
              </w:rPr>
              <w:t>1</w:t>
            </w:r>
            <w:r>
              <w:rPr>
                <w:color w:val="000000" w:themeColor="text1"/>
                <w:highlight w:val="none"/>
                <w14:textFill>
                  <w14:solidFill>
                    <w14:schemeClr w14:val="tx1"/>
                  </w14:solidFill>
                </w14:textFill>
              </w:rPr>
              <w:t>；</w:t>
            </w:r>
          </w:p>
          <w:p w14:paraId="253CD79E">
            <w:pPr>
              <w:pStyle w:val="15"/>
              <w:ind w:firstLine="10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（2）如果投标人的评标价≤评标基准价，则评标价得分=10+偏差率×100×E</w:t>
            </w:r>
            <w:r>
              <w:rPr>
                <w:color w:val="000000" w:themeColor="text1"/>
                <w:highlight w:val="none"/>
                <w:vertAlign w:val="subscript"/>
                <w14:textFill>
                  <w14:solidFill>
                    <w14:schemeClr w14:val="tx1"/>
                  </w14:solidFill>
                </w14:textFill>
              </w:rPr>
              <w:t>2</w:t>
            </w:r>
            <w:r>
              <w:rPr>
                <w:color w:val="000000" w:themeColor="text1"/>
                <w:highlight w:val="none"/>
                <w14:textFill>
                  <w14:solidFill>
                    <w14:schemeClr w14:val="tx1"/>
                  </w14:solidFill>
                </w14:textFill>
              </w:rPr>
              <w:t>。</w:t>
            </w:r>
          </w:p>
          <w:p w14:paraId="2A289DE5">
            <w:pPr>
              <w:pStyle w:val="15"/>
              <w:ind w:firstLine="10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其中：E</w:t>
            </w:r>
            <w:r>
              <w:rPr>
                <w:color w:val="000000" w:themeColor="text1"/>
                <w:highlight w:val="none"/>
                <w:vertAlign w:val="subscript"/>
                <w14:textFill>
                  <w14:solidFill>
                    <w14:schemeClr w14:val="tx1"/>
                  </w14:solidFill>
                </w14:textFill>
              </w:rPr>
              <w:t>1</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0.2</w:t>
            </w:r>
            <w:r>
              <w:rPr>
                <w:color w:val="000000" w:themeColor="text1"/>
                <w:highlight w:val="none"/>
                <w14:textFill>
                  <w14:solidFill>
                    <w14:schemeClr w14:val="tx1"/>
                  </w14:solidFill>
                </w14:textFill>
              </w:rPr>
              <w:t>，是评标价每高于评标基准价一个百分点的扣分值；E</w:t>
            </w:r>
            <w:r>
              <w:rPr>
                <w:color w:val="000000" w:themeColor="text1"/>
                <w:highlight w:val="none"/>
                <w:vertAlign w:val="subscript"/>
                <w14:textFill>
                  <w14:solidFill>
                    <w14:schemeClr w14:val="tx1"/>
                  </w14:solidFill>
                </w14:textFill>
              </w:rPr>
              <w:t>2</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0.1</w:t>
            </w:r>
            <w:r>
              <w:rPr>
                <w:color w:val="000000" w:themeColor="text1"/>
                <w:highlight w:val="none"/>
                <w14:textFill>
                  <w14:solidFill>
                    <w14:schemeClr w14:val="tx1"/>
                  </w14:solidFill>
                </w14:textFill>
              </w:rPr>
              <w:t>，是评标价每低于评标基准价一个百分点的扣分值；</w:t>
            </w:r>
          </w:p>
          <w:p w14:paraId="733E1755">
            <w:pPr>
              <w:jc w:val="left"/>
              <w:rPr>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t>评标价得分分值保留小数点后两位，小数点后第三位“四舍五入”；评标价得分最低为0分。</w:t>
            </w:r>
          </w:p>
        </w:tc>
      </w:tr>
      <w:tr w14:paraId="4B7D9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Merge w:val="restart"/>
            <w:vAlign w:val="center"/>
          </w:tcPr>
          <w:p w14:paraId="3CB4E31B">
            <w:pPr>
              <w:jc w:val="center"/>
              <w:rPr>
                <w:b/>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t>2.2.4（4）</w:t>
            </w:r>
          </w:p>
        </w:tc>
        <w:tc>
          <w:tcPr>
            <w:tcW w:w="825" w:type="dxa"/>
            <w:vMerge w:val="restart"/>
            <w:vAlign w:val="center"/>
          </w:tcPr>
          <w:p w14:paraId="027961F9">
            <w:pPr>
              <w:jc w:val="center"/>
              <w:rPr>
                <w:b/>
                <w:bCs/>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t>其他因素</w:t>
            </w:r>
          </w:p>
        </w:tc>
        <w:tc>
          <w:tcPr>
            <w:tcW w:w="1869" w:type="dxa"/>
            <w:gridSpan w:val="2"/>
            <w:vAlign w:val="center"/>
          </w:tcPr>
          <w:p w14:paraId="05B034CC">
            <w:pPr>
              <w:jc w:val="center"/>
              <w:rPr>
                <w:b/>
                <w:bCs/>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t>业  绩</w:t>
            </w:r>
          </w:p>
        </w:tc>
        <w:tc>
          <w:tcPr>
            <w:tcW w:w="1134" w:type="dxa"/>
            <w:vAlign w:val="center"/>
          </w:tcPr>
          <w:p w14:paraId="53E63773">
            <w:pPr>
              <w:jc w:val="center"/>
              <w:rPr>
                <w:b/>
                <w:color w:val="000000" w:themeColor="text1"/>
                <w:szCs w:val="21"/>
                <w:highlight w:val="none"/>
                <w14:textFill>
                  <w14:solidFill>
                    <w14:schemeClr w14:val="tx1"/>
                  </w14:solidFill>
                </w14:textFill>
              </w:rPr>
            </w:pPr>
            <w:r>
              <w:rPr>
                <w:rFonts w:eastAsia="等线"/>
                <w:color w:val="000000" w:themeColor="text1"/>
                <w:highlight w:val="none"/>
                <w14:textFill>
                  <w14:solidFill>
                    <w14:schemeClr w14:val="tx1"/>
                  </w14:solidFill>
                </w14:textFill>
              </w:rPr>
              <w:t>25分</w:t>
            </w:r>
          </w:p>
        </w:tc>
        <w:tc>
          <w:tcPr>
            <w:tcW w:w="4677" w:type="dxa"/>
            <w:vAlign w:val="center"/>
          </w:tcPr>
          <w:p w14:paraId="41EA103C">
            <w:pPr>
              <w:jc w:val="lef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见详细评分标准三</w:t>
            </w:r>
          </w:p>
        </w:tc>
      </w:tr>
      <w:tr w14:paraId="3B6C2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Merge w:val="continue"/>
            <w:vAlign w:val="center"/>
          </w:tcPr>
          <w:p w14:paraId="2B984C4A">
            <w:pPr>
              <w:jc w:val="center"/>
              <w:rPr>
                <w:b/>
                <w:color w:val="000000" w:themeColor="text1"/>
                <w:szCs w:val="21"/>
                <w:highlight w:val="none"/>
                <w14:textFill>
                  <w14:solidFill>
                    <w14:schemeClr w14:val="tx1"/>
                  </w14:solidFill>
                </w14:textFill>
              </w:rPr>
            </w:pPr>
          </w:p>
        </w:tc>
        <w:tc>
          <w:tcPr>
            <w:tcW w:w="825" w:type="dxa"/>
            <w:vMerge w:val="continue"/>
            <w:vAlign w:val="center"/>
          </w:tcPr>
          <w:p w14:paraId="0CB37BF1">
            <w:pPr>
              <w:jc w:val="center"/>
              <w:rPr>
                <w:b/>
                <w:bCs/>
                <w:color w:val="000000" w:themeColor="text1"/>
                <w:szCs w:val="21"/>
                <w:highlight w:val="none"/>
                <w14:textFill>
                  <w14:solidFill>
                    <w14:schemeClr w14:val="tx1"/>
                  </w14:solidFill>
                </w14:textFill>
              </w:rPr>
            </w:pPr>
          </w:p>
        </w:tc>
        <w:tc>
          <w:tcPr>
            <w:tcW w:w="1869" w:type="dxa"/>
            <w:gridSpan w:val="2"/>
            <w:vAlign w:val="center"/>
          </w:tcPr>
          <w:p w14:paraId="5CA683D9">
            <w:pPr>
              <w:jc w:val="center"/>
              <w:rPr>
                <w:b/>
                <w:bCs/>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t>履约信誉</w:t>
            </w:r>
          </w:p>
        </w:tc>
        <w:tc>
          <w:tcPr>
            <w:tcW w:w="1134" w:type="dxa"/>
            <w:vAlign w:val="center"/>
          </w:tcPr>
          <w:p w14:paraId="7B1CF79E">
            <w:pPr>
              <w:jc w:val="center"/>
              <w:rPr>
                <w:b/>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t>5分</w:t>
            </w:r>
          </w:p>
        </w:tc>
        <w:tc>
          <w:tcPr>
            <w:tcW w:w="4677" w:type="dxa"/>
            <w:vAlign w:val="center"/>
          </w:tcPr>
          <w:p w14:paraId="215455CC">
            <w:pPr>
              <w:jc w:val="lef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见详细评分标准四</w:t>
            </w:r>
          </w:p>
        </w:tc>
      </w:tr>
      <w:tr w14:paraId="00C5B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6" w:hRule="atLeast"/>
        </w:trPr>
        <w:tc>
          <w:tcPr>
            <w:tcW w:w="675" w:type="dxa"/>
            <w:vAlign w:val="center"/>
          </w:tcPr>
          <w:p w14:paraId="40308D3B">
            <w:pPr>
              <w:jc w:val="center"/>
              <w:rPr>
                <w:rFonts w:hint="eastAsia"/>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3.6.1</w:t>
            </w:r>
          </w:p>
        </w:tc>
        <w:tc>
          <w:tcPr>
            <w:tcW w:w="1134" w:type="dxa"/>
            <w:gridSpan w:val="2"/>
            <w:vAlign w:val="center"/>
          </w:tcPr>
          <w:p w14:paraId="21A6F3B7">
            <w:pPr>
              <w:jc w:val="center"/>
              <w:rPr>
                <w:rFonts w:hint="eastAsia"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投标文件相关信息核查</w:t>
            </w:r>
          </w:p>
        </w:tc>
        <w:tc>
          <w:tcPr>
            <w:tcW w:w="7371" w:type="dxa"/>
            <w:gridSpan w:val="3"/>
            <w:vAlign w:val="center"/>
          </w:tcPr>
          <w:p w14:paraId="22A68648">
            <w:pPr>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1.评标委员会对投标人的资质、业绩、主要人员资历和目前在岗情况、信用等级等信息，在</w:t>
            </w:r>
            <w:r>
              <w:rPr>
                <w:rFonts w:hint="eastAsia"/>
                <w:color w:val="000000" w:themeColor="text1"/>
                <w:szCs w:val="21"/>
                <w:highlight w:val="none"/>
                <w14:textFill>
                  <w14:solidFill>
                    <w14:schemeClr w14:val="tx1"/>
                  </w14:solidFill>
                </w14:textFill>
              </w:rPr>
              <w:t>交通运输主管部门“公路建设市场信用信息管理系统”</w:t>
            </w:r>
            <w:r>
              <w:rPr>
                <w:rFonts w:hint="eastAsia"/>
                <w:color w:val="000000" w:themeColor="text1"/>
                <w:szCs w:val="21"/>
                <w:highlight w:val="none"/>
                <w:lang w:val="en-US" w:eastAsia="zh-CN"/>
                <w14:textFill>
                  <w14:solidFill>
                    <w14:schemeClr w14:val="tx1"/>
                  </w14:solidFill>
                </w14:textFill>
              </w:rPr>
              <w:t>或</w:t>
            </w:r>
            <w:r>
              <w:rPr>
                <w:rFonts w:hint="eastAsia" w:ascii="宋体" w:hAnsi="宋体" w:eastAsia="宋体"/>
                <w:color w:val="000000" w:themeColor="text1"/>
                <w:szCs w:val="21"/>
                <w:highlight w:val="none"/>
                <w14:textFill>
                  <w14:solidFill>
                    <w14:schemeClr w14:val="tx1"/>
                  </w14:solidFill>
                </w14:textFill>
              </w:rPr>
              <w:t>住房和城乡建设</w:t>
            </w:r>
            <w:r>
              <w:rPr>
                <w:rFonts w:hint="eastAsia"/>
                <w:color w:val="000000" w:themeColor="text1"/>
                <w:szCs w:val="21"/>
                <w:highlight w:val="none"/>
                <w14:textFill>
                  <w14:solidFill>
                    <w14:schemeClr w14:val="tx1"/>
                  </w14:solidFill>
                </w14:textFill>
              </w:rPr>
              <w:t>主管部门</w:t>
            </w:r>
            <w:r>
              <w:rPr>
                <w:rFonts w:hint="eastAsia" w:ascii="宋体" w:hAnsi="宋体" w:eastAsia="宋体"/>
                <w:color w:val="000000" w:themeColor="text1"/>
                <w:szCs w:val="21"/>
                <w:highlight w:val="none"/>
                <w14:textFill>
                  <w14:solidFill>
                    <w14:schemeClr w14:val="tx1"/>
                  </w14:solidFill>
                </w14:textFill>
              </w:rPr>
              <w:t>“建筑市场监管公共服务平台”</w:t>
            </w:r>
            <w:r>
              <w:rPr>
                <w:rFonts w:hint="eastAsia" w:ascii="宋体" w:hAnsi="宋体" w:cs="宋体"/>
                <w:color w:val="000000" w:themeColor="text1"/>
                <w:highlight w:val="none"/>
                <w14:textFill>
                  <w14:solidFill>
                    <w14:schemeClr w14:val="tx1"/>
                  </w14:solidFill>
                </w14:textFill>
              </w:rPr>
              <w:t>中进行核实，若投标文件载明的信息与系统中发布的信息不符，使得投标人的资格条件不符合招标文件规定的，评标委员会将否决其投标。</w:t>
            </w:r>
          </w:p>
          <w:p w14:paraId="6BBA4A0E">
            <w:pPr>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评标委员会对投标人信誉情况在“国家企业信用信息公示系统”及“信用中国”网站进行核实，若投标人在国家企业信用信息公开系统中被列入严重违法失信企业名单或在“信用中国”网站中被列入失信被执行人名单，评标委员会将否决其投标。</w:t>
            </w:r>
          </w:p>
          <w:p w14:paraId="64B7F884">
            <w:pPr>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评标委员会对投标人及其法定代表人、拟委任的驻地监理工程师近三年内（自2021年1月1日起）行贿犯罪行为情况在“中国裁判文书网”中进行核实。若投标人及其法定代表人、拟委任的驻地监理工程师近三年内在“中国裁判文书网”中有行贿犯罪行为记录，评标委员会将否决其投标。</w:t>
            </w:r>
          </w:p>
        </w:tc>
      </w:tr>
      <w:tr w14:paraId="49B92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5" w:hRule="atLeast"/>
        </w:trPr>
        <w:tc>
          <w:tcPr>
            <w:tcW w:w="675" w:type="dxa"/>
            <w:vAlign w:val="center"/>
          </w:tcPr>
          <w:p w14:paraId="3CDCEDC3">
            <w:pPr>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3.9.2</w:t>
            </w:r>
          </w:p>
        </w:tc>
        <w:tc>
          <w:tcPr>
            <w:tcW w:w="1134" w:type="dxa"/>
            <w:gridSpan w:val="2"/>
            <w:vAlign w:val="center"/>
          </w:tcPr>
          <w:p w14:paraId="029A3054">
            <w:pPr>
              <w:jc w:val="cente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评标报告</w:t>
            </w:r>
          </w:p>
        </w:tc>
        <w:tc>
          <w:tcPr>
            <w:tcW w:w="7371" w:type="dxa"/>
            <w:gridSpan w:val="3"/>
            <w:vAlign w:val="center"/>
          </w:tcPr>
          <w:p w14:paraId="703CC753">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评标报告应如实记载下列内容：</w:t>
            </w:r>
          </w:p>
          <w:p w14:paraId="66B7BFED">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（1）招标项目基本情况</w:t>
            </w:r>
          </w:p>
          <w:p w14:paraId="324AD2EC">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（2）评标委员会成员名单</w:t>
            </w:r>
          </w:p>
          <w:p w14:paraId="7B8A69D1">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（3）监督人员名单</w:t>
            </w:r>
          </w:p>
          <w:p w14:paraId="080A7F13">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（4）开标记录</w:t>
            </w:r>
          </w:p>
          <w:p w14:paraId="15B9B108">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（5）符合要求的投标人名单</w:t>
            </w:r>
          </w:p>
          <w:p w14:paraId="0FC92B11">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（6）否决的投标人名单以及否决理由</w:t>
            </w:r>
          </w:p>
          <w:p w14:paraId="3385F6A1">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（7）串通投标情形的评审情况说明</w:t>
            </w:r>
          </w:p>
          <w:p w14:paraId="355354F5">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（8）评分情况</w:t>
            </w:r>
          </w:p>
          <w:p w14:paraId="58EF0602">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（9）经评审的投标人排序</w:t>
            </w:r>
          </w:p>
          <w:p w14:paraId="64C64DBF">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（10）中标候选人名单</w:t>
            </w:r>
          </w:p>
          <w:p w14:paraId="26A17C1E">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（11）澄清、说明事项纪要</w:t>
            </w:r>
          </w:p>
          <w:p w14:paraId="1C235BAC">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（12）需要说明的其他事项</w:t>
            </w:r>
          </w:p>
          <w:p w14:paraId="1380A7FC">
            <w:pPr>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（13）评标附表</w:t>
            </w:r>
          </w:p>
        </w:tc>
      </w:tr>
      <w:tr w14:paraId="62DBC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9180" w:type="dxa"/>
            <w:gridSpan w:val="6"/>
            <w:tcBorders>
              <w:left w:val="single" w:color="auto" w:sz="4" w:space="0"/>
              <w:right w:val="single" w:color="auto" w:sz="4" w:space="0"/>
            </w:tcBorders>
            <w:vAlign w:val="center"/>
          </w:tcPr>
          <w:p w14:paraId="5E46F2C1">
            <w:pPr>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需补充的其他内容</w:t>
            </w:r>
          </w:p>
        </w:tc>
      </w:tr>
    </w:tbl>
    <w:p w14:paraId="7334F74E">
      <w:pPr>
        <w:pStyle w:val="3"/>
        <w:spacing w:before="312" w:beforeLines="100" w:after="156" w:afterLines="50" w:line="24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详细评分标准</w:t>
      </w:r>
    </w:p>
    <w:p w14:paraId="2B303D73">
      <w:pPr>
        <w:pStyle w:val="4"/>
        <w:adjustRightInd w:val="0"/>
        <w:snapToGrid w:val="0"/>
        <w:spacing w:before="240" w:beforeLines="100" w:after="0" w:line="36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一、技术建议书（共35分）</w:t>
      </w:r>
    </w:p>
    <w:tbl>
      <w:tblPr>
        <w:tblStyle w:val="9"/>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4"/>
        <w:gridCol w:w="755"/>
        <w:gridCol w:w="4315"/>
      </w:tblGrid>
      <w:tr w14:paraId="1DD0D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84" w:type="dxa"/>
            <w:noWrap w:val="0"/>
            <w:vAlign w:val="center"/>
          </w:tcPr>
          <w:p w14:paraId="72B4DEC7">
            <w:pPr>
              <w:jc w:val="center"/>
              <w:rPr>
                <w:rFonts w:hint="eastAsia" w:ascii="宋体" w:hAnsi="宋体" w:cs="宋体"/>
                <w:b/>
                <w:color w:val="000000" w:themeColor="text1"/>
                <w:szCs w:val="21"/>
                <w:highlight w:val="none"/>
                <w14:textFill>
                  <w14:solidFill>
                    <w14:schemeClr w14:val="tx1"/>
                  </w14:solidFill>
                </w14:textFill>
              </w:rPr>
            </w:pPr>
            <w:bookmarkStart w:id="4" w:name="_Hlk518565200"/>
            <w:r>
              <w:rPr>
                <w:rFonts w:hint="eastAsia" w:ascii="宋体" w:hAnsi="宋体" w:cs="宋体"/>
                <w:b/>
                <w:color w:val="000000" w:themeColor="text1"/>
                <w:szCs w:val="21"/>
                <w:highlight w:val="none"/>
                <w14:textFill>
                  <w14:solidFill>
                    <w14:schemeClr w14:val="tx1"/>
                  </w14:solidFill>
                </w14:textFill>
              </w:rPr>
              <w:t>评分项目</w:t>
            </w:r>
          </w:p>
        </w:tc>
        <w:tc>
          <w:tcPr>
            <w:tcW w:w="755" w:type="dxa"/>
            <w:noWrap w:val="0"/>
            <w:vAlign w:val="center"/>
          </w:tcPr>
          <w:p w14:paraId="4E4870AD">
            <w:pPr>
              <w:jc w:val="center"/>
              <w:rPr>
                <w:rFonts w:hint="eastAsia"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分值</w:t>
            </w:r>
          </w:p>
        </w:tc>
        <w:tc>
          <w:tcPr>
            <w:tcW w:w="4315" w:type="dxa"/>
            <w:noWrap w:val="0"/>
            <w:vAlign w:val="center"/>
          </w:tcPr>
          <w:p w14:paraId="16EDF085">
            <w:pPr>
              <w:jc w:val="center"/>
              <w:rPr>
                <w:rFonts w:hint="eastAsia"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评分标准</w:t>
            </w:r>
          </w:p>
        </w:tc>
      </w:tr>
      <w:tr w14:paraId="1C16F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84" w:type="dxa"/>
            <w:noWrap w:val="0"/>
            <w:vAlign w:val="center"/>
          </w:tcPr>
          <w:p w14:paraId="5681772B">
            <w:pP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本标段监理服务要求和范围及监理工作安排、主要监理人员岗位职责</w:t>
            </w:r>
          </w:p>
        </w:tc>
        <w:tc>
          <w:tcPr>
            <w:tcW w:w="755" w:type="dxa"/>
            <w:noWrap w:val="0"/>
            <w:vAlign w:val="center"/>
          </w:tcPr>
          <w:p w14:paraId="1370F690">
            <w:pPr>
              <w:jc w:val="cente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w:t>
            </w:r>
          </w:p>
        </w:tc>
        <w:tc>
          <w:tcPr>
            <w:tcW w:w="4315" w:type="dxa"/>
            <w:noWrap w:val="0"/>
            <w:vAlign w:val="center"/>
          </w:tcPr>
          <w:p w14:paraId="4353E059">
            <w:pP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好计4～5分，较好计3～4分，基本满足项目需要计3分。</w:t>
            </w:r>
          </w:p>
        </w:tc>
      </w:tr>
      <w:tr w14:paraId="1CF7A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84" w:type="dxa"/>
            <w:noWrap w:val="0"/>
            <w:vAlign w:val="center"/>
          </w:tcPr>
          <w:p w14:paraId="348126B8">
            <w:pP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本标段现场监理机构设置与人员安排</w:t>
            </w:r>
          </w:p>
        </w:tc>
        <w:tc>
          <w:tcPr>
            <w:tcW w:w="755" w:type="dxa"/>
            <w:noWrap w:val="0"/>
            <w:vAlign w:val="center"/>
          </w:tcPr>
          <w:p w14:paraId="4400168E">
            <w:pPr>
              <w:jc w:val="cente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w:t>
            </w:r>
          </w:p>
        </w:tc>
        <w:tc>
          <w:tcPr>
            <w:tcW w:w="4315" w:type="dxa"/>
            <w:noWrap w:val="0"/>
            <w:vAlign w:val="center"/>
          </w:tcPr>
          <w:p w14:paraId="2509FE0B">
            <w:pP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好计4～5分，较好计3～4分，基本满足项目需要计3分。</w:t>
            </w:r>
          </w:p>
        </w:tc>
      </w:tr>
      <w:tr w14:paraId="43677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84" w:type="dxa"/>
            <w:noWrap w:val="0"/>
            <w:vAlign w:val="center"/>
          </w:tcPr>
          <w:p w14:paraId="6EF53107">
            <w:pP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监理仪器、设备和设施的配备</w:t>
            </w:r>
          </w:p>
        </w:tc>
        <w:tc>
          <w:tcPr>
            <w:tcW w:w="755" w:type="dxa"/>
            <w:noWrap w:val="0"/>
            <w:vAlign w:val="center"/>
          </w:tcPr>
          <w:p w14:paraId="77152259">
            <w:pPr>
              <w:jc w:val="cente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w:t>
            </w:r>
          </w:p>
        </w:tc>
        <w:tc>
          <w:tcPr>
            <w:tcW w:w="4315" w:type="dxa"/>
            <w:noWrap w:val="0"/>
            <w:vAlign w:val="center"/>
          </w:tcPr>
          <w:p w14:paraId="114FCF3B">
            <w:pP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好计2.4～3分，较好计1.8～2.4分，基本满足项目需要计1.8分。</w:t>
            </w:r>
          </w:p>
        </w:tc>
      </w:tr>
      <w:tr w14:paraId="5FE84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84" w:type="dxa"/>
            <w:noWrap w:val="0"/>
            <w:vAlign w:val="center"/>
          </w:tcPr>
          <w:p w14:paraId="51E21183">
            <w:pP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监理工作程序</w:t>
            </w:r>
          </w:p>
        </w:tc>
        <w:tc>
          <w:tcPr>
            <w:tcW w:w="755" w:type="dxa"/>
            <w:noWrap w:val="0"/>
            <w:vAlign w:val="center"/>
          </w:tcPr>
          <w:p w14:paraId="4E821243">
            <w:pPr>
              <w:jc w:val="cente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w:t>
            </w:r>
          </w:p>
        </w:tc>
        <w:tc>
          <w:tcPr>
            <w:tcW w:w="4315" w:type="dxa"/>
            <w:noWrap w:val="0"/>
            <w:vAlign w:val="center"/>
          </w:tcPr>
          <w:p w14:paraId="5238630F">
            <w:pP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好计4～5分，较好计3～4分，基本满足项目需要计3分。</w:t>
            </w:r>
          </w:p>
        </w:tc>
      </w:tr>
      <w:tr w14:paraId="1576B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84" w:type="dxa"/>
            <w:noWrap w:val="0"/>
            <w:vAlign w:val="center"/>
          </w:tcPr>
          <w:p w14:paraId="68171C56">
            <w:pP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监理大纲（或监理方案）和措施</w:t>
            </w:r>
          </w:p>
        </w:tc>
        <w:tc>
          <w:tcPr>
            <w:tcW w:w="755" w:type="dxa"/>
            <w:noWrap w:val="0"/>
            <w:vAlign w:val="center"/>
          </w:tcPr>
          <w:p w14:paraId="73E9C7A9">
            <w:pPr>
              <w:jc w:val="cente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6</w:t>
            </w:r>
          </w:p>
        </w:tc>
        <w:tc>
          <w:tcPr>
            <w:tcW w:w="4315" w:type="dxa"/>
            <w:noWrap w:val="0"/>
            <w:vAlign w:val="center"/>
          </w:tcPr>
          <w:p w14:paraId="01ECE369">
            <w:pP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合理计4.8～6分，较合理计3.6～4.8分，基本满足项目需要计3.6分。</w:t>
            </w:r>
          </w:p>
        </w:tc>
      </w:tr>
      <w:tr w14:paraId="4E893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84" w:type="dxa"/>
            <w:noWrap w:val="0"/>
            <w:vAlign w:val="center"/>
          </w:tcPr>
          <w:p w14:paraId="1F056089">
            <w:pP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本工程监理工作的重点与难点分析</w:t>
            </w:r>
          </w:p>
        </w:tc>
        <w:tc>
          <w:tcPr>
            <w:tcW w:w="755" w:type="dxa"/>
            <w:noWrap w:val="0"/>
            <w:vAlign w:val="center"/>
          </w:tcPr>
          <w:p w14:paraId="5CA1B022">
            <w:pPr>
              <w:jc w:val="cente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6</w:t>
            </w:r>
          </w:p>
        </w:tc>
        <w:tc>
          <w:tcPr>
            <w:tcW w:w="4315" w:type="dxa"/>
            <w:noWrap w:val="0"/>
            <w:vAlign w:val="center"/>
          </w:tcPr>
          <w:p w14:paraId="38F40B77">
            <w:pP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合理计4.8～6分，较合理计3.6～4.8分，基本满足项目需要计3.6分。</w:t>
            </w:r>
          </w:p>
        </w:tc>
      </w:tr>
      <w:tr w14:paraId="0D30F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84" w:type="dxa"/>
            <w:noWrap w:val="0"/>
            <w:vAlign w:val="center"/>
          </w:tcPr>
          <w:p w14:paraId="504DAB6B">
            <w:pP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对本工程的建议</w:t>
            </w:r>
          </w:p>
        </w:tc>
        <w:tc>
          <w:tcPr>
            <w:tcW w:w="755" w:type="dxa"/>
            <w:noWrap w:val="0"/>
            <w:vAlign w:val="center"/>
          </w:tcPr>
          <w:p w14:paraId="3CAD774C">
            <w:pPr>
              <w:jc w:val="cente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w:t>
            </w:r>
          </w:p>
        </w:tc>
        <w:tc>
          <w:tcPr>
            <w:tcW w:w="4315" w:type="dxa"/>
            <w:noWrap w:val="0"/>
            <w:vAlign w:val="center"/>
          </w:tcPr>
          <w:p w14:paraId="3F102820">
            <w:pPr>
              <w:rPr>
                <w:rFonts w:hint="eastAsia"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好计4～5分，较好计3～4分，基本满足项目需要计3分。</w:t>
            </w:r>
          </w:p>
        </w:tc>
      </w:tr>
      <w:bookmarkEnd w:id="4"/>
    </w:tbl>
    <w:p w14:paraId="6FB9282B">
      <w:pPr>
        <w:pStyle w:val="4"/>
        <w:adjustRightInd w:val="0"/>
        <w:snapToGrid w:val="0"/>
        <w:spacing w:before="240" w:beforeLines="100" w:after="0" w:line="360" w:lineRule="auto"/>
        <w:rPr>
          <w:rFonts w:eastAsia="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w:t>
      </w:r>
      <w:r>
        <w:rPr>
          <w:color w:val="000000" w:themeColor="text1"/>
          <w:highlight w:val="none"/>
          <w14:textFill>
            <w14:solidFill>
              <w14:schemeClr w14:val="tx1"/>
            </w14:solidFill>
          </w14:textFill>
        </w:rPr>
        <w:t>主要人员</w:t>
      </w:r>
      <w:r>
        <w:rPr>
          <w:rFonts w:eastAsia="等线"/>
          <w:color w:val="000000" w:themeColor="text1"/>
          <w:highlight w:val="none"/>
          <w14:textFill>
            <w14:solidFill>
              <w14:schemeClr w14:val="tx1"/>
            </w14:solidFill>
          </w14:textFill>
        </w:rPr>
        <w:t>（25分</w:t>
      </w:r>
      <w:r>
        <w:rPr>
          <w:color w:val="000000" w:themeColor="text1"/>
          <w:highlight w:val="none"/>
          <w14:textFill>
            <w14:solidFill>
              <w14:schemeClr w14:val="tx1"/>
            </w14:solidFill>
          </w14:textFill>
        </w:rPr>
        <w:t>）</w:t>
      </w:r>
    </w:p>
    <w:tbl>
      <w:tblPr>
        <w:tblStyle w:val="9"/>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716"/>
        <w:gridCol w:w="6652"/>
      </w:tblGrid>
      <w:tr w14:paraId="2F4D0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04" w:type="dxa"/>
            <w:noWrap w:val="0"/>
            <w:vAlign w:val="center"/>
          </w:tcPr>
          <w:p w14:paraId="11E12327">
            <w:pPr>
              <w:jc w:val="center"/>
              <w:rPr>
                <w:rFonts w:ascii="仿宋_GB2312" w:hAnsi="仿宋" w:eastAsia="仿宋_GB2312"/>
                <w:b/>
                <w:bCs/>
                <w:color w:val="000000" w:themeColor="text1"/>
                <w:sz w:val="24"/>
                <w:highlight w:val="none"/>
                <w14:textFill>
                  <w14:solidFill>
                    <w14:schemeClr w14:val="tx1"/>
                  </w14:solidFill>
                </w14:textFill>
              </w:rPr>
            </w:pPr>
            <w:r>
              <w:rPr>
                <w:rFonts w:hint="eastAsia" w:ascii="仿宋_GB2312" w:hAnsi="仿宋" w:eastAsia="仿宋_GB2312" w:cs="仿宋"/>
                <w:b/>
                <w:color w:val="000000" w:themeColor="text1"/>
                <w:sz w:val="24"/>
                <w:highlight w:val="none"/>
                <w14:textFill>
                  <w14:solidFill>
                    <w14:schemeClr w14:val="tx1"/>
                  </w14:solidFill>
                </w14:textFill>
              </w:rPr>
              <w:t>评分项目</w:t>
            </w:r>
          </w:p>
        </w:tc>
        <w:tc>
          <w:tcPr>
            <w:tcW w:w="716" w:type="dxa"/>
            <w:noWrap w:val="0"/>
            <w:vAlign w:val="center"/>
          </w:tcPr>
          <w:p w14:paraId="0516BEF2">
            <w:pPr>
              <w:jc w:val="center"/>
              <w:rPr>
                <w:rFonts w:ascii="仿宋_GB2312" w:hAnsi="仿宋" w:eastAsia="仿宋_GB2312"/>
                <w:b/>
                <w:color w:val="000000" w:themeColor="text1"/>
                <w:sz w:val="24"/>
                <w:highlight w:val="none"/>
                <w14:textFill>
                  <w14:solidFill>
                    <w14:schemeClr w14:val="tx1"/>
                  </w14:solidFill>
                </w14:textFill>
              </w:rPr>
            </w:pPr>
            <w:r>
              <w:rPr>
                <w:rFonts w:hint="eastAsia" w:ascii="仿宋_GB2312" w:hAnsi="仿宋" w:eastAsia="仿宋_GB2312"/>
                <w:b/>
                <w:bCs/>
                <w:color w:val="000000" w:themeColor="text1"/>
                <w:sz w:val="24"/>
                <w:highlight w:val="none"/>
                <w14:textFill>
                  <w14:solidFill>
                    <w14:schemeClr w14:val="tx1"/>
                  </w14:solidFill>
                </w14:textFill>
              </w:rPr>
              <w:t>分值</w:t>
            </w:r>
          </w:p>
        </w:tc>
        <w:tc>
          <w:tcPr>
            <w:tcW w:w="6652" w:type="dxa"/>
            <w:noWrap w:val="0"/>
            <w:vAlign w:val="center"/>
          </w:tcPr>
          <w:p w14:paraId="20C12086">
            <w:pPr>
              <w:jc w:val="center"/>
              <w:rPr>
                <w:rFonts w:ascii="仿宋_GB2312" w:hAnsi="仿宋" w:eastAsia="仿宋_GB2312"/>
                <w:b/>
                <w:color w:val="000000" w:themeColor="text1"/>
                <w:sz w:val="24"/>
                <w:highlight w:val="none"/>
                <w14:textFill>
                  <w14:solidFill>
                    <w14:schemeClr w14:val="tx1"/>
                  </w14:solidFill>
                </w14:textFill>
              </w:rPr>
            </w:pPr>
            <w:r>
              <w:rPr>
                <w:rFonts w:hint="eastAsia" w:ascii="仿宋_GB2312" w:hAnsi="仿宋" w:eastAsia="仿宋_GB2312"/>
                <w:b/>
                <w:bCs/>
                <w:color w:val="000000" w:themeColor="text1"/>
                <w:sz w:val="24"/>
                <w:highlight w:val="none"/>
                <w14:textFill>
                  <w14:solidFill>
                    <w14:schemeClr w14:val="tx1"/>
                  </w14:solidFill>
                </w14:textFill>
              </w:rPr>
              <w:t>评分标准</w:t>
            </w:r>
          </w:p>
        </w:tc>
      </w:tr>
      <w:tr w14:paraId="377B2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04" w:type="dxa"/>
            <w:noWrap w:val="0"/>
            <w:vAlign w:val="center"/>
          </w:tcPr>
          <w:p w14:paraId="32614E4B">
            <w:pPr>
              <w:jc w:val="center"/>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资格审查条件</w:t>
            </w:r>
          </w:p>
        </w:tc>
        <w:tc>
          <w:tcPr>
            <w:tcW w:w="716" w:type="dxa"/>
            <w:noWrap w:val="0"/>
            <w:vAlign w:val="center"/>
          </w:tcPr>
          <w:p w14:paraId="7F9457C1">
            <w:pPr>
              <w:jc w:val="center"/>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15</w:t>
            </w:r>
          </w:p>
        </w:tc>
        <w:tc>
          <w:tcPr>
            <w:tcW w:w="6652" w:type="dxa"/>
            <w:noWrap w:val="0"/>
            <w:vAlign w:val="center"/>
          </w:tcPr>
          <w:p w14:paraId="14BBFDE0">
            <w:pPr>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通过资格评审即得15分</w:t>
            </w:r>
          </w:p>
        </w:tc>
      </w:tr>
      <w:tr w14:paraId="3F6DB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04" w:type="dxa"/>
            <w:noWrap w:val="0"/>
            <w:vAlign w:val="center"/>
          </w:tcPr>
          <w:p w14:paraId="6855643C">
            <w:pPr>
              <w:jc w:val="center"/>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lang w:eastAsia="zh-CN"/>
                <w14:textFill>
                  <w14:solidFill>
                    <w14:schemeClr w14:val="tx1"/>
                  </w14:solidFill>
                </w14:textFill>
              </w:rPr>
              <w:t>总监理</w:t>
            </w:r>
          </w:p>
          <w:p w14:paraId="3FBD6CDE">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工程师业绩</w:t>
            </w:r>
          </w:p>
          <w:p w14:paraId="3147720C">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加分</w:t>
            </w:r>
          </w:p>
        </w:tc>
        <w:tc>
          <w:tcPr>
            <w:tcW w:w="716" w:type="dxa"/>
            <w:noWrap w:val="0"/>
            <w:vAlign w:val="center"/>
          </w:tcPr>
          <w:p w14:paraId="73DC840D">
            <w:pPr>
              <w:jc w:val="center"/>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4"/>
                <w:highlight w:val="none"/>
                <w:lang w:val="en-US" w:eastAsia="zh-CN"/>
                <w14:textFill>
                  <w14:solidFill>
                    <w14:schemeClr w14:val="tx1"/>
                  </w14:solidFill>
                </w14:textFill>
              </w:rPr>
              <w:t>10</w:t>
            </w:r>
          </w:p>
        </w:tc>
        <w:tc>
          <w:tcPr>
            <w:tcW w:w="6652" w:type="dxa"/>
            <w:noWrap w:val="0"/>
            <w:vAlign w:val="center"/>
          </w:tcPr>
          <w:p w14:paraId="1FDD84F8">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满足资格审查条件之外，2019年1月1日至投标截止时间，每增加1个</w:t>
            </w:r>
            <w:r>
              <w:rPr>
                <w:rFonts w:hint="eastAsia" w:ascii="仿宋" w:hAnsi="仿宋" w:eastAsia="仿宋" w:cs="仿宋"/>
                <w:color w:val="000000" w:themeColor="text1"/>
                <w:sz w:val="24"/>
                <w:highlight w:val="none"/>
                <w:lang w:val="en-US" w:eastAsia="zh-CN"/>
                <w14:textFill>
                  <w14:solidFill>
                    <w14:schemeClr w14:val="tx1"/>
                  </w14:solidFill>
                </w14:textFill>
              </w:rPr>
              <w:t>完成的</w:t>
            </w:r>
            <w:r>
              <w:rPr>
                <w:rFonts w:hint="eastAsia" w:ascii="仿宋" w:hAnsi="仿宋" w:eastAsia="仿宋" w:cs="仿宋"/>
                <w:color w:val="000000" w:themeColor="text1"/>
                <w:sz w:val="24"/>
                <w:highlight w:val="none"/>
                <w14:textFill>
                  <w14:solidFill>
                    <w14:schemeClr w14:val="tx1"/>
                  </w14:solidFill>
                </w14:textFill>
              </w:rPr>
              <w:t>房建工程（建筑面积不小于5000平方米）施工监理合同段的总监理工程师或驻地监理工程师任职业绩加</w:t>
            </w:r>
            <w:r>
              <w:rPr>
                <w:rFonts w:hint="eastAsia" w:ascii="仿宋" w:hAnsi="仿宋" w:eastAsia="仿宋" w:cs="仿宋"/>
                <w:color w:val="000000" w:themeColor="text1"/>
                <w:sz w:val="24"/>
                <w:highlight w:val="none"/>
                <w:lang w:val="en-US" w:eastAsia="zh-CN"/>
                <w14:textFill>
                  <w14:solidFill>
                    <w14:schemeClr w14:val="tx1"/>
                  </w14:solidFill>
                </w14:textFill>
              </w:rPr>
              <w:t>10</w:t>
            </w:r>
            <w:r>
              <w:rPr>
                <w:rFonts w:hint="eastAsia" w:ascii="仿宋" w:hAnsi="仿宋" w:eastAsia="仿宋" w:cs="仿宋"/>
                <w:color w:val="000000" w:themeColor="text1"/>
                <w:sz w:val="24"/>
                <w:highlight w:val="none"/>
                <w14:textFill>
                  <w14:solidFill>
                    <w14:schemeClr w14:val="tx1"/>
                  </w14:solidFill>
                </w14:textFill>
              </w:rPr>
              <w:t>分，</w:t>
            </w:r>
            <w:r>
              <w:rPr>
                <w:rFonts w:hint="eastAsia" w:ascii="仿宋" w:hAnsi="仿宋" w:eastAsia="仿宋" w:cs="仿宋"/>
                <w:color w:val="000000" w:themeColor="text1"/>
                <w:sz w:val="24"/>
                <w:highlight w:val="none"/>
                <w:lang w:val="en-US" w:eastAsia="zh-CN"/>
                <w14:textFill>
                  <w14:solidFill>
                    <w14:schemeClr w14:val="tx1"/>
                  </w14:solidFill>
                </w14:textFill>
              </w:rPr>
              <w:t>此项</w:t>
            </w:r>
            <w:r>
              <w:rPr>
                <w:rFonts w:hint="eastAsia" w:ascii="仿宋" w:hAnsi="仿宋" w:eastAsia="仿宋" w:cs="仿宋"/>
                <w:color w:val="000000" w:themeColor="text1"/>
                <w:sz w:val="24"/>
                <w:highlight w:val="none"/>
                <w14:textFill>
                  <w14:solidFill>
                    <w14:schemeClr w14:val="tx1"/>
                  </w14:solidFill>
                </w14:textFill>
              </w:rPr>
              <w:t>最多加10分；</w:t>
            </w:r>
          </w:p>
        </w:tc>
      </w:tr>
    </w:tbl>
    <w:p w14:paraId="42C07B12">
      <w:pPr>
        <w:pStyle w:val="4"/>
        <w:adjustRightInd w:val="0"/>
        <w:snapToGrid w:val="0"/>
        <w:spacing w:before="240" w:beforeLines="100" w:after="0" w:line="36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三、业 绩（25分）</w:t>
      </w:r>
    </w:p>
    <w:tbl>
      <w:tblPr>
        <w:tblStyle w:val="9"/>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716"/>
        <w:gridCol w:w="6652"/>
      </w:tblGrid>
      <w:tr w14:paraId="2A741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04" w:type="dxa"/>
            <w:noWrap w:val="0"/>
            <w:vAlign w:val="center"/>
          </w:tcPr>
          <w:p w14:paraId="084614C2">
            <w:pPr>
              <w:jc w:val="center"/>
              <w:rPr>
                <w:rFonts w:ascii="仿宋_GB2312" w:hAnsi="仿宋" w:eastAsia="仿宋_GB2312"/>
                <w:b/>
                <w:bCs/>
                <w:color w:val="000000" w:themeColor="text1"/>
                <w:sz w:val="24"/>
                <w:highlight w:val="none"/>
                <w14:textFill>
                  <w14:solidFill>
                    <w14:schemeClr w14:val="tx1"/>
                  </w14:solidFill>
                </w14:textFill>
              </w:rPr>
            </w:pPr>
            <w:r>
              <w:rPr>
                <w:rFonts w:hint="eastAsia" w:ascii="仿宋_GB2312" w:hAnsi="仿宋" w:eastAsia="仿宋_GB2312" w:cs="仿宋"/>
                <w:b/>
                <w:color w:val="000000" w:themeColor="text1"/>
                <w:sz w:val="24"/>
                <w:highlight w:val="none"/>
                <w14:textFill>
                  <w14:solidFill>
                    <w14:schemeClr w14:val="tx1"/>
                  </w14:solidFill>
                </w14:textFill>
              </w:rPr>
              <w:t>评分项目</w:t>
            </w:r>
          </w:p>
        </w:tc>
        <w:tc>
          <w:tcPr>
            <w:tcW w:w="716" w:type="dxa"/>
            <w:noWrap w:val="0"/>
            <w:vAlign w:val="center"/>
          </w:tcPr>
          <w:p w14:paraId="3A6A0600">
            <w:pPr>
              <w:jc w:val="center"/>
              <w:rPr>
                <w:rFonts w:ascii="仿宋_GB2312" w:hAnsi="仿宋" w:eastAsia="仿宋_GB2312"/>
                <w:b/>
                <w:color w:val="000000" w:themeColor="text1"/>
                <w:sz w:val="24"/>
                <w:highlight w:val="none"/>
                <w14:textFill>
                  <w14:solidFill>
                    <w14:schemeClr w14:val="tx1"/>
                  </w14:solidFill>
                </w14:textFill>
              </w:rPr>
            </w:pPr>
            <w:r>
              <w:rPr>
                <w:rFonts w:hint="eastAsia" w:ascii="仿宋_GB2312" w:hAnsi="仿宋" w:eastAsia="仿宋_GB2312"/>
                <w:b/>
                <w:bCs/>
                <w:color w:val="000000" w:themeColor="text1"/>
                <w:sz w:val="24"/>
                <w:highlight w:val="none"/>
                <w14:textFill>
                  <w14:solidFill>
                    <w14:schemeClr w14:val="tx1"/>
                  </w14:solidFill>
                </w14:textFill>
              </w:rPr>
              <w:t>分值</w:t>
            </w:r>
          </w:p>
        </w:tc>
        <w:tc>
          <w:tcPr>
            <w:tcW w:w="6652" w:type="dxa"/>
            <w:noWrap w:val="0"/>
            <w:vAlign w:val="center"/>
          </w:tcPr>
          <w:p w14:paraId="478E1345">
            <w:pPr>
              <w:jc w:val="center"/>
              <w:rPr>
                <w:rFonts w:ascii="仿宋_GB2312" w:hAnsi="仿宋" w:eastAsia="仿宋_GB2312"/>
                <w:b/>
                <w:color w:val="000000" w:themeColor="text1"/>
                <w:sz w:val="24"/>
                <w:highlight w:val="none"/>
                <w14:textFill>
                  <w14:solidFill>
                    <w14:schemeClr w14:val="tx1"/>
                  </w14:solidFill>
                </w14:textFill>
              </w:rPr>
            </w:pPr>
            <w:r>
              <w:rPr>
                <w:rFonts w:hint="eastAsia" w:ascii="仿宋_GB2312" w:hAnsi="仿宋" w:eastAsia="仿宋_GB2312"/>
                <w:b/>
                <w:bCs/>
                <w:color w:val="000000" w:themeColor="text1"/>
                <w:sz w:val="24"/>
                <w:highlight w:val="none"/>
                <w14:textFill>
                  <w14:solidFill>
                    <w14:schemeClr w14:val="tx1"/>
                  </w14:solidFill>
                </w14:textFill>
              </w:rPr>
              <w:t>评分标准</w:t>
            </w:r>
          </w:p>
        </w:tc>
      </w:tr>
      <w:tr w14:paraId="70469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04" w:type="dxa"/>
            <w:noWrap w:val="0"/>
            <w:vAlign w:val="center"/>
          </w:tcPr>
          <w:p w14:paraId="22BC6B92">
            <w:pPr>
              <w:jc w:val="center"/>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资格审查条件</w:t>
            </w:r>
          </w:p>
        </w:tc>
        <w:tc>
          <w:tcPr>
            <w:tcW w:w="716" w:type="dxa"/>
            <w:noWrap w:val="0"/>
            <w:vAlign w:val="center"/>
          </w:tcPr>
          <w:p w14:paraId="195D7178">
            <w:pPr>
              <w:jc w:val="center"/>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15</w:t>
            </w:r>
          </w:p>
        </w:tc>
        <w:tc>
          <w:tcPr>
            <w:tcW w:w="6652" w:type="dxa"/>
            <w:noWrap w:val="0"/>
            <w:vAlign w:val="center"/>
          </w:tcPr>
          <w:p w14:paraId="0F21F7A6">
            <w:pPr>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通过资格评审即得15分</w:t>
            </w:r>
          </w:p>
        </w:tc>
      </w:tr>
      <w:tr w14:paraId="78B86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04" w:type="dxa"/>
            <w:noWrap w:val="0"/>
            <w:vAlign w:val="center"/>
          </w:tcPr>
          <w:p w14:paraId="0E3A9F0B">
            <w:pPr>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监理</w:t>
            </w:r>
          </w:p>
          <w:p w14:paraId="598E75B1">
            <w:pPr>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业绩加分</w:t>
            </w:r>
          </w:p>
        </w:tc>
        <w:tc>
          <w:tcPr>
            <w:tcW w:w="716" w:type="dxa"/>
            <w:noWrap w:val="0"/>
            <w:vAlign w:val="center"/>
          </w:tcPr>
          <w:p w14:paraId="3AAA1B65">
            <w:pPr>
              <w:jc w:val="center"/>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4"/>
                <w:highlight w:val="none"/>
                <w:lang w:val="en-US" w:eastAsia="zh-CN"/>
                <w14:textFill>
                  <w14:solidFill>
                    <w14:schemeClr w14:val="tx1"/>
                  </w14:solidFill>
                </w14:textFill>
              </w:rPr>
              <w:t>10</w:t>
            </w:r>
          </w:p>
        </w:tc>
        <w:tc>
          <w:tcPr>
            <w:tcW w:w="6652" w:type="dxa"/>
            <w:noWrap w:val="0"/>
            <w:vAlign w:val="center"/>
          </w:tcPr>
          <w:p w14:paraId="60885419">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满足资格审查条件之外，2019年1月1日至投标截止时间，每增加1个</w:t>
            </w:r>
            <w:r>
              <w:rPr>
                <w:rFonts w:hint="eastAsia" w:ascii="仿宋" w:hAnsi="仿宋" w:eastAsia="仿宋" w:cs="仿宋"/>
                <w:color w:val="000000" w:themeColor="text1"/>
                <w:sz w:val="24"/>
                <w:highlight w:val="none"/>
                <w:lang w:val="en-US" w:eastAsia="zh-CN"/>
                <w14:textFill>
                  <w14:solidFill>
                    <w14:schemeClr w14:val="tx1"/>
                  </w14:solidFill>
                </w14:textFill>
              </w:rPr>
              <w:t>完成的</w:t>
            </w:r>
            <w:r>
              <w:rPr>
                <w:rFonts w:hint="eastAsia" w:ascii="仿宋" w:hAnsi="仿宋" w:eastAsia="仿宋" w:cs="仿宋"/>
                <w:color w:val="000000" w:themeColor="text1"/>
                <w:sz w:val="24"/>
                <w:highlight w:val="none"/>
                <w14:textFill>
                  <w14:solidFill>
                    <w14:schemeClr w14:val="tx1"/>
                  </w14:solidFill>
                </w14:textFill>
              </w:rPr>
              <w:t>房建工程（建筑面积不小于5000平方米）施工监理合同段业绩加</w:t>
            </w:r>
            <w:r>
              <w:rPr>
                <w:rFonts w:hint="eastAsia" w:ascii="仿宋" w:hAnsi="仿宋" w:eastAsia="仿宋" w:cs="仿宋"/>
                <w:color w:val="000000" w:themeColor="text1"/>
                <w:sz w:val="24"/>
                <w:highlight w:val="none"/>
                <w:lang w:val="en-US" w:eastAsia="zh-CN"/>
                <w14:textFill>
                  <w14:solidFill>
                    <w14:schemeClr w14:val="tx1"/>
                  </w14:solidFill>
                </w14:textFill>
              </w:rPr>
              <w:t>10</w:t>
            </w:r>
            <w:r>
              <w:rPr>
                <w:rFonts w:hint="eastAsia" w:ascii="仿宋" w:hAnsi="仿宋" w:eastAsia="仿宋" w:cs="仿宋"/>
                <w:color w:val="000000" w:themeColor="text1"/>
                <w:sz w:val="24"/>
                <w:highlight w:val="none"/>
                <w14:textFill>
                  <w14:solidFill>
                    <w14:schemeClr w14:val="tx1"/>
                  </w14:solidFill>
                </w14:textFill>
              </w:rPr>
              <w:t>分，</w:t>
            </w:r>
            <w:r>
              <w:rPr>
                <w:rFonts w:hint="eastAsia" w:ascii="仿宋" w:hAnsi="仿宋" w:eastAsia="仿宋" w:cs="仿宋"/>
                <w:color w:val="000000" w:themeColor="text1"/>
                <w:sz w:val="24"/>
                <w:highlight w:val="none"/>
                <w:lang w:val="en-US" w:eastAsia="zh-CN"/>
                <w14:textFill>
                  <w14:solidFill>
                    <w14:schemeClr w14:val="tx1"/>
                  </w14:solidFill>
                </w14:textFill>
              </w:rPr>
              <w:t>此项</w:t>
            </w:r>
            <w:r>
              <w:rPr>
                <w:rFonts w:hint="eastAsia" w:ascii="仿宋" w:hAnsi="仿宋" w:eastAsia="仿宋" w:cs="仿宋"/>
                <w:color w:val="000000" w:themeColor="text1"/>
                <w:sz w:val="24"/>
                <w:highlight w:val="none"/>
                <w14:textFill>
                  <w14:solidFill>
                    <w14:schemeClr w14:val="tx1"/>
                  </w14:solidFill>
                </w14:textFill>
              </w:rPr>
              <w:t>最多加10分。</w:t>
            </w:r>
          </w:p>
        </w:tc>
      </w:tr>
    </w:tbl>
    <w:p w14:paraId="32BD0431">
      <w:pPr>
        <w:pStyle w:val="4"/>
        <w:adjustRightInd w:val="0"/>
        <w:snapToGrid w:val="0"/>
        <w:spacing w:before="240" w:beforeLines="100" w:after="0" w:line="36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四、履约信誉（</w:t>
      </w:r>
      <w:r>
        <w:rPr>
          <w:rFonts w:hint="eastAsia"/>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t>分）</w:t>
      </w:r>
    </w:p>
    <w:tbl>
      <w:tblPr>
        <w:tblStyle w:val="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3"/>
        <w:gridCol w:w="783"/>
        <w:gridCol w:w="6795"/>
      </w:tblGrid>
      <w:tr w14:paraId="4C5AC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93" w:type="dxa"/>
            <w:tcBorders>
              <w:tl2br w:val="nil"/>
              <w:tr2bl w:val="nil"/>
            </w:tcBorders>
            <w:noWrap w:val="0"/>
            <w:vAlign w:val="center"/>
          </w:tcPr>
          <w:p w14:paraId="19FBB438">
            <w:pPr>
              <w:jc w:val="center"/>
              <w:rPr>
                <w:rFonts w:ascii="仿宋_GB2312" w:hAnsi="宋体" w:eastAsia="仿宋_GB2312"/>
                <w:b/>
                <w:color w:val="000000" w:themeColor="text1"/>
                <w:sz w:val="24"/>
                <w:highlight w:val="none"/>
                <w14:textFill>
                  <w14:solidFill>
                    <w14:schemeClr w14:val="tx1"/>
                  </w14:solidFill>
                </w14:textFill>
              </w:rPr>
            </w:pPr>
            <w:r>
              <w:rPr>
                <w:rFonts w:hint="eastAsia" w:ascii="仿宋_GB2312" w:hAnsi="仿宋" w:eastAsia="仿宋_GB2312" w:cs="仿宋"/>
                <w:b/>
                <w:color w:val="000000" w:themeColor="text1"/>
                <w:sz w:val="24"/>
                <w:highlight w:val="none"/>
                <w14:textFill>
                  <w14:solidFill>
                    <w14:schemeClr w14:val="tx1"/>
                  </w14:solidFill>
                </w14:textFill>
              </w:rPr>
              <w:t>评分项目</w:t>
            </w:r>
          </w:p>
        </w:tc>
        <w:tc>
          <w:tcPr>
            <w:tcW w:w="783" w:type="dxa"/>
            <w:tcBorders>
              <w:tl2br w:val="nil"/>
              <w:tr2bl w:val="nil"/>
            </w:tcBorders>
            <w:noWrap w:val="0"/>
            <w:vAlign w:val="center"/>
          </w:tcPr>
          <w:p w14:paraId="6E4B8AF6">
            <w:pPr>
              <w:jc w:val="center"/>
              <w:rPr>
                <w:rFonts w:ascii="仿宋_GB2312" w:hAnsi="宋体" w:eastAsia="仿宋_GB2312"/>
                <w:b/>
                <w:color w:val="000000" w:themeColor="text1"/>
                <w:sz w:val="24"/>
                <w:highlight w:val="none"/>
                <w14:textFill>
                  <w14:solidFill>
                    <w14:schemeClr w14:val="tx1"/>
                  </w14:solidFill>
                </w14:textFill>
              </w:rPr>
            </w:pPr>
            <w:r>
              <w:rPr>
                <w:rFonts w:hint="eastAsia" w:ascii="仿宋_GB2312" w:hAnsi="仿宋" w:eastAsia="仿宋_GB2312"/>
                <w:b/>
                <w:bCs/>
                <w:color w:val="000000" w:themeColor="text1"/>
                <w:sz w:val="24"/>
                <w:highlight w:val="none"/>
                <w14:textFill>
                  <w14:solidFill>
                    <w14:schemeClr w14:val="tx1"/>
                  </w14:solidFill>
                </w14:textFill>
              </w:rPr>
              <w:t>分值</w:t>
            </w:r>
          </w:p>
        </w:tc>
        <w:tc>
          <w:tcPr>
            <w:tcW w:w="6795" w:type="dxa"/>
            <w:tcBorders>
              <w:tl2br w:val="nil"/>
              <w:tr2bl w:val="nil"/>
            </w:tcBorders>
            <w:noWrap w:val="0"/>
            <w:vAlign w:val="center"/>
          </w:tcPr>
          <w:p w14:paraId="6532F7FA">
            <w:pPr>
              <w:jc w:val="center"/>
              <w:rPr>
                <w:rFonts w:ascii="仿宋_GB2312" w:hAnsi="宋体" w:eastAsia="仿宋_GB2312"/>
                <w:b/>
                <w:color w:val="000000" w:themeColor="text1"/>
                <w:sz w:val="24"/>
                <w:highlight w:val="none"/>
                <w14:textFill>
                  <w14:solidFill>
                    <w14:schemeClr w14:val="tx1"/>
                  </w14:solidFill>
                </w14:textFill>
              </w:rPr>
            </w:pPr>
            <w:r>
              <w:rPr>
                <w:rFonts w:hint="eastAsia" w:ascii="仿宋_GB2312" w:hAnsi="仿宋" w:eastAsia="仿宋_GB2312"/>
                <w:b/>
                <w:bCs/>
                <w:color w:val="000000" w:themeColor="text1"/>
                <w:sz w:val="24"/>
                <w:highlight w:val="none"/>
                <w14:textFill>
                  <w14:solidFill>
                    <w14:schemeClr w14:val="tx1"/>
                  </w14:solidFill>
                </w14:textFill>
              </w:rPr>
              <w:t>评分标准</w:t>
            </w:r>
          </w:p>
        </w:tc>
      </w:tr>
      <w:tr w14:paraId="01468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0" w:hRule="atLeast"/>
          <w:jc w:val="center"/>
        </w:trPr>
        <w:tc>
          <w:tcPr>
            <w:tcW w:w="1493" w:type="dxa"/>
            <w:tcBorders>
              <w:tl2br w:val="nil"/>
              <w:tr2bl w:val="nil"/>
            </w:tcBorders>
            <w:noWrap w:val="0"/>
            <w:vAlign w:val="center"/>
          </w:tcPr>
          <w:p w14:paraId="1F4325B8">
            <w:pPr>
              <w:rPr>
                <w:rFonts w:hint="eastAsia" w:ascii="宋体" w:hAnsi="宋体" w:cs="宋体"/>
                <w:bCs/>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信用评价</w:t>
            </w:r>
          </w:p>
        </w:tc>
        <w:tc>
          <w:tcPr>
            <w:tcW w:w="783" w:type="dxa"/>
            <w:tcBorders>
              <w:tl2br w:val="nil"/>
              <w:tr2bl w:val="nil"/>
            </w:tcBorders>
            <w:noWrap w:val="0"/>
            <w:vAlign w:val="center"/>
          </w:tcPr>
          <w:p w14:paraId="3E35A60D">
            <w:pPr>
              <w:jc w:val="center"/>
              <w:rPr>
                <w:rFonts w:hint="eastAsia" w:ascii="宋体" w:hAnsi="宋体" w:cs="宋体"/>
                <w:bCs/>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w:t>
            </w:r>
          </w:p>
        </w:tc>
        <w:tc>
          <w:tcPr>
            <w:tcW w:w="6795" w:type="dxa"/>
            <w:tcBorders>
              <w:tl2br w:val="nil"/>
              <w:tr2bl w:val="nil"/>
            </w:tcBorders>
            <w:noWrap w:val="0"/>
            <w:vAlign w:val="center"/>
          </w:tcPr>
          <w:p w14:paraId="2AB35CC4">
            <w:pPr>
              <w:jc w:val="lef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根据陕西省交通运输厅《关于陕西省2023年度公路建设市场从业企业信用评价结果应用的通知》</w:t>
            </w:r>
            <w:r>
              <w:rPr>
                <w:rFonts w:hint="eastAsia" w:ascii="仿宋" w:hAnsi="仿宋" w:eastAsia="仿宋" w:cs="仿宋"/>
                <w:color w:val="000000" w:themeColor="text1"/>
                <w:sz w:val="24"/>
                <w:highlight w:val="none"/>
                <w:lang w:eastAsia="zh-CN"/>
                <w14:textFill>
                  <w14:solidFill>
                    <w14:schemeClr w14:val="tx1"/>
                  </w14:solidFill>
                </w14:textFill>
              </w:rPr>
              <w:t>（</w:t>
            </w:r>
            <w:r>
              <w:rPr>
                <w:rFonts w:hint="eastAsia" w:ascii="仿宋" w:hAnsi="仿宋" w:eastAsia="仿宋" w:cs="仿宋"/>
                <w:color w:val="000000" w:themeColor="text1"/>
                <w:sz w:val="24"/>
                <w:highlight w:val="none"/>
                <w14:textFill>
                  <w14:solidFill>
                    <w14:schemeClr w14:val="tx1"/>
                  </w14:solidFill>
                </w14:textFill>
              </w:rPr>
              <w:t>陕交函</w:t>
            </w:r>
            <w:r>
              <w:rPr>
                <w:rFonts w:hint="eastAsia" w:ascii="仿宋" w:hAnsi="仿宋" w:eastAsia="仿宋" w:cs="仿宋"/>
                <w:color w:val="000000" w:themeColor="text1"/>
                <w:sz w:val="24"/>
                <w:highlight w:val="none"/>
                <w:lang w:eastAsia="zh-CN"/>
                <w14:textFill>
                  <w14:solidFill>
                    <w14:schemeClr w14:val="tx1"/>
                  </w14:solidFill>
                </w14:textFill>
              </w:rPr>
              <w:t>〔</w:t>
            </w:r>
            <w:r>
              <w:rPr>
                <w:rFonts w:hint="eastAsia" w:ascii="仿宋" w:hAnsi="仿宋" w:eastAsia="仿宋" w:cs="仿宋"/>
                <w:color w:val="000000" w:themeColor="text1"/>
                <w:sz w:val="24"/>
                <w:highlight w:val="none"/>
                <w14:textFill>
                  <w14:solidFill>
                    <w14:schemeClr w14:val="tx1"/>
                  </w14:solidFill>
                </w14:textFill>
              </w:rPr>
              <w:t>2024</w:t>
            </w:r>
            <w:r>
              <w:rPr>
                <w:rFonts w:hint="eastAsia" w:ascii="仿宋" w:hAnsi="仿宋" w:eastAsia="仿宋" w:cs="仿宋"/>
                <w:color w:val="000000" w:themeColor="text1"/>
                <w:sz w:val="24"/>
                <w:highlight w:val="none"/>
                <w:lang w:eastAsia="zh-CN"/>
                <w14:textFill>
                  <w14:solidFill>
                    <w14:schemeClr w14:val="tx1"/>
                  </w14:solidFill>
                </w14:textFill>
              </w:rPr>
              <w:t>〕</w:t>
            </w:r>
            <w:r>
              <w:rPr>
                <w:rFonts w:hint="eastAsia" w:ascii="仿宋" w:hAnsi="仿宋" w:eastAsia="仿宋" w:cs="仿宋"/>
                <w:color w:val="000000" w:themeColor="text1"/>
                <w:sz w:val="24"/>
                <w:highlight w:val="none"/>
                <w:lang w:val="en-US" w:eastAsia="zh-CN"/>
                <w14:textFill>
                  <w14:solidFill>
                    <w14:schemeClr w14:val="tx1"/>
                  </w14:solidFill>
                </w14:textFill>
              </w:rPr>
              <w:t>66</w:t>
            </w:r>
            <w:r>
              <w:rPr>
                <w:rFonts w:hint="eastAsia" w:ascii="仿宋" w:hAnsi="仿宋" w:eastAsia="仿宋" w:cs="仿宋"/>
                <w:color w:val="000000" w:themeColor="text1"/>
                <w:sz w:val="24"/>
                <w:highlight w:val="none"/>
                <w14:textFill>
                  <w14:solidFill>
                    <w14:schemeClr w14:val="tx1"/>
                  </w14:solidFill>
                </w14:textFill>
              </w:rPr>
              <w:t>5号）文件规定：</w:t>
            </w:r>
          </w:p>
          <w:p w14:paraId="2E6084DC">
            <w:pPr>
              <w:jc w:val="lef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1.按照公路监理企业的信用评价等级进行评分，信用评价等级为AA级的监理企业得5分；信用评价等级为A级的监理企业得3分；信用评价等级为B级、C级的监理企业不得分。</w:t>
            </w:r>
          </w:p>
          <w:p w14:paraId="46BBDCD8">
            <w:pPr>
              <w:jc w:val="lef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2.对具有陕西省2022年度信用评价等级而无2023年度信用评价等级的企业，其2022年度信用评价等级延续1年。</w:t>
            </w:r>
          </w:p>
          <w:p w14:paraId="0B9C3169">
            <w:pPr>
              <w:rPr>
                <w:rFonts w:ascii="宋体" w:hAnsi="宋体" w:cs="宋体"/>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初次进入陕西省的从业企业，按照全国公路监理企业综合信用评价等级确定。延续省厅上一年信用评价结果后仍无信用评价结果的，按照交通运输部公路监理企业全国综合评价结果对待，但不得高于省厅原评价等级的上一级。无全国综合评价结果的企业，且无不良信用行为，其信用评价等级按A级对待。</w:t>
            </w:r>
          </w:p>
        </w:tc>
      </w:tr>
    </w:tbl>
    <w:p w14:paraId="5B3DCAFC">
      <w:pPr>
        <w:spacing w:line="360" w:lineRule="auto"/>
        <w:ind w:left="60" w:firstLine="640" w:firstLineChars="200"/>
        <w:jc w:val="left"/>
        <w:rPr>
          <w:rFonts w:ascii="仿宋" w:hAnsi="仿宋" w:eastAsia="仿宋" w:cs="宋体"/>
          <w:color w:val="000000" w:themeColor="text1"/>
          <w:sz w:val="32"/>
          <w:highlight w:val="none"/>
          <w14:textFill>
            <w14:solidFill>
              <w14:schemeClr w14:val="tx1"/>
            </w14:solidFill>
          </w14:textFill>
        </w:rPr>
      </w:pPr>
      <w:r>
        <w:rPr>
          <w:rFonts w:hint="eastAsia" w:ascii="仿宋" w:hAnsi="仿宋" w:eastAsia="仿宋" w:cs="宋体"/>
          <w:color w:val="000000" w:themeColor="text1"/>
          <w:sz w:val="32"/>
          <w:highlight w:val="none"/>
          <w14:textFill>
            <w14:solidFill>
              <w14:schemeClr w14:val="tx1"/>
            </w14:solidFill>
          </w14:textFill>
        </w:rPr>
        <w:t>“评标办法”正文见“标准监理招标文件”及“公路标准监理招标文件”</w:t>
      </w:r>
    </w:p>
    <w:p w14:paraId="19814834">
      <w:pPr>
        <w:pStyle w:val="18"/>
        <w:shd w:val="clear" w:color="auto" w:fill="auto"/>
        <w:tabs>
          <w:tab w:val="left" w:leader="underscore" w:pos="3528"/>
          <w:tab w:val="left" w:leader="underscore" w:pos="7357"/>
        </w:tabs>
        <w:spacing w:before="0" w:after="0" w:line="460" w:lineRule="exact"/>
        <w:ind w:firstLine="562" w:firstLineChars="200"/>
        <w:jc w:val="both"/>
        <w:rPr>
          <w:rFonts w:hint="eastAsia" w:ascii="宋体" w:hAnsi="宋体" w:eastAsia="宋体"/>
          <w:b/>
          <w:color w:val="000000" w:themeColor="text1"/>
          <w:kern w:val="0"/>
          <w:sz w:val="28"/>
          <w:szCs w:val="28"/>
          <w:highlight w:val="none"/>
          <w14:textFill>
            <w14:solidFill>
              <w14:schemeClr w14:val="tx1"/>
            </w14:solidFill>
          </w14:textFill>
        </w:rPr>
      </w:pPr>
      <w:r>
        <w:rPr>
          <w:rFonts w:hint="eastAsia" w:ascii="宋体" w:hAnsi="宋体" w:eastAsia="宋体"/>
          <w:b/>
          <w:color w:val="000000" w:themeColor="text1"/>
          <w:kern w:val="0"/>
          <w:sz w:val="28"/>
          <w:szCs w:val="28"/>
          <w:highlight w:val="none"/>
          <w14:textFill>
            <w14:solidFill>
              <w14:schemeClr w14:val="tx1"/>
            </w14:solidFill>
          </w14:textFill>
        </w:rPr>
        <w:t>四.招标人联系方式</w:t>
      </w:r>
    </w:p>
    <w:p w14:paraId="0FBBB13C">
      <w:pPr>
        <w:tabs>
          <w:tab w:val="left" w:pos="1778"/>
        </w:tabs>
        <w:spacing w:line="360" w:lineRule="auto"/>
        <w:ind w:firstLine="480" w:firstLineChars="200"/>
        <w:outlineLvl w:val="1"/>
        <w:rPr>
          <w:rFonts w:ascii="Times New Roman" w:hAnsi="Times New Roman" w:eastAsiaTheme="minorEastAsia"/>
          <w:color w:val="000000" w:themeColor="text1"/>
          <w:sz w:val="24"/>
          <w:highlight w:val="none"/>
          <w14:textFill>
            <w14:solidFill>
              <w14:schemeClr w14:val="tx1"/>
            </w14:solidFill>
          </w14:textFill>
        </w:rPr>
      </w:pPr>
      <w:r>
        <w:rPr>
          <w:rFonts w:ascii="Times New Roman" w:hAnsiTheme="minorEastAsia" w:eastAsiaTheme="minorEastAsia"/>
          <w:color w:val="000000" w:themeColor="text1"/>
          <w:sz w:val="24"/>
          <w:highlight w:val="none"/>
          <w14:textFill>
            <w14:solidFill>
              <w14:schemeClr w14:val="tx1"/>
            </w14:solidFill>
          </w14:textFill>
        </w:rPr>
        <w:t>招</w:t>
      </w:r>
      <w:r>
        <w:rPr>
          <w:rFonts w:ascii="Times New Roman" w:hAnsi="Times New Roman" w:eastAsiaTheme="minorEastAsia"/>
          <w:color w:val="000000" w:themeColor="text1"/>
          <w:sz w:val="24"/>
          <w:highlight w:val="none"/>
          <w14:textFill>
            <w14:solidFill>
              <w14:schemeClr w14:val="tx1"/>
            </w14:solidFill>
          </w14:textFill>
        </w:rPr>
        <w:t xml:space="preserve"> </w:t>
      </w:r>
      <w:r>
        <w:rPr>
          <w:rFonts w:ascii="Times New Roman" w:hAnsiTheme="minorEastAsia" w:eastAsiaTheme="minorEastAsia"/>
          <w:color w:val="000000" w:themeColor="text1"/>
          <w:sz w:val="24"/>
          <w:highlight w:val="none"/>
          <w14:textFill>
            <w14:solidFill>
              <w14:schemeClr w14:val="tx1"/>
            </w14:solidFill>
          </w14:textFill>
        </w:rPr>
        <w:t>标</w:t>
      </w:r>
      <w:r>
        <w:rPr>
          <w:rFonts w:ascii="Times New Roman" w:hAnsi="Times New Roman" w:eastAsiaTheme="minorEastAsia"/>
          <w:color w:val="000000" w:themeColor="text1"/>
          <w:sz w:val="24"/>
          <w:highlight w:val="none"/>
          <w14:textFill>
            <w14:solidFill>
              <w14:schemeClr w14:val="tx1"/>
            </w14:solidFill>
          </w14:textFill>
        </w:rPr>
        <w:t xml:space="preserve"> </w:t>
      </w:r>
      <w:r>
        <w:rPr>
          <w:rFonts w:ascii="Times New Roman" w:hAnsiTheme="minorEastAsia" w:eastAsiaTheme="minorEastAsia"/>
          <w:color w:val="000000" w:themeColor="text1"/>
          <w:sz w:val="24"/>
          <w:highlight w:val="none"/>
          <w14:textFill>
            <w14:solidFill>
              <w14:schemeClr w14:val="tx1"/>
            </w14:solidFill>
          </w14:textFill>
        </w:rPr>
        <w:t>人：陕西交通控股集团有限公司</w:t>
      </w:r>
    </w:p>
    <w:p w14:paraId="2E8B0312">
      <w:pPr>
        <w:tabs>
          <w:tab w:val="left" w:pos="1778"/>
        </w:tabs>
        <w:spacing w:line="360" w:lineRule="auto"/>
        <w:ind w:firstLine="480" w:firstLineChars="200"/>
        <w:outlineLvl w:val="1"/>
        <w:rPr>
          <w:rFonts w:ascii="Times New Roman" w:hAnsi="Times New Roman" w:eastAsiaTheme="minorEastAsia"/>
          <w:color w:val="000000" w:themeColor="text1"/>
          <w:sz w:val="24"/>
          <w:highlight w:val="none"/>
          <w14:textFill>
            <w14:solidFill>
              <w14:schemeClr w14:val="tx1"/>
            </w14:solidFill>
          </w14:textFill>
        </w:rPr>
      </w:pPr>
      <w:r>
        <w:rPr>
          <w:rFonts w:ascii="Times New Roman" w:hAnsiTheme="minorEastAsia" w:eastAsiaTheme="minorEastAsia"/>
          <w:color w:val="000000" w:themeColor="text1"/>
          <w:sz w:val="24"/>
          <w:highlight w:val="none"/>
          <w14:textFill>
            <w14:solidFill>
              <w14:schemeClr w14:val="tx1"/>
            </w14:solidFill>
          </w14:textFill>
        </w:rPr>
        <w:t>地</w:t>
      </w:r>
      <w:r>
        <w:rPr>
          <w:rFonts w:ascii="Times New Roman" w:hAnsi="Times New Roman" w:eastAsiaTheme="minorEastAsia"/>
          <w:color w:val="000000" w:themeColor="text1"/>
          <w:sz w:val="24"/>
          <w:highlight w:val="none"/>
          <w14:textFill>
            <w14:solidFill>
              <w14:schemeClr w14:val="tx1"/>
            </w14:solidFill>
          </w14:textFill>
        </w:rPr>
        <w:t xml:space="preserve">    </w:t>
      </w:r>
      <w:r>
        <w:rPr>
          <w:rFonts w:ascii="Times New Roman" w:hAnsiTheme="minorEastAsia" w:eastAsiaTheme="minorEastAsia"/>
          <w:color w:val="000000" w:themeColor="text1"/>
          <w:sz w:val="24"/>
          <w:highlight w:val="none"/>
          <w14:textFill>
            <w14:solidFill>
              <w14:schemeClr w14:val="tx1"/>
            </w14:solidFill>
          </w14:textFill>
        </w:rPr>
        <w:t>址：陕西省西安市太白南路</w:t>
      </w:r>
      <w:r>
        <w:rPr>
          <w:rFonts w:ascii="Times New Roman" w:hAnsi="Times New Roman" w:eastAsiaTheme="minorEastAsia"/>
          <w:color w:val="000000" w:themeColor="text1"/>
          <w:sz w:val="24"/>
          <w:highlight w:val="none"/>
          <w14:textFill>
            <w14:solidFill>
              <w14:schemeClr w14:val="tx1"/>
            </w14:solidFill>
          </w14:textFill>
        </w:rPr>
        <w:t>9</w:t>
      </w:r>
      <w:r>
        <w:rPr>
          <w:rFonts w:ascii="Times New Roman" w:hAnsiTheme="minorEastAsia" w:eastAsiaTheme="minorEastAsia"/>
          <w:color w:val="000000" w:themeColor="text1"/>
          <w:sz w:val="24"/>
          <w:highlight w:val="none"/>
          <w14:textFill>
            <w14:solidFill>
              <w14:schemeClr w14:val="tx1"/>
            </w14:solidFill>
          </w14:textFill>
        </w:rPr>
        <w:t>号</w:t>
      </w:r>
    </w:p>
    <w:p w14:paraId="26018CD4">
      <w:pPr>
        <w:tabs>
          <w:tab w:val="left" w:pos="1778"/>
        </w:tabs>
        <w:spacing w:line="360" w:lineRule="auto"/>
        <w:ind w:firstLine="480" w:firstLineChars="200"/>
        <w:outlineLvl w:val="1"/>
        <w:rPr>
          <w:rFonts w:ascii="Times New Roman" w:hAnsi="Times New Roman" w:eastAsiaTheme="minorEastAsia"/>
          <w:color w:val="000000" w:themeColor="text1"/>
          <w:sz w:val="24"/>
          <w:highlight w:val="none"/>
          <w14:textFill>
            <w14:solidFill>
              <w14:schemeClr w14:val="tx1"/>
            </w14:solidFill>
          </w14:textFill>
        </w:rPr>
      </w:pPr>
      <w:r>
        <w:rPr>
          <w:rFonts w:ascii="Times New Roman" w:hAnsiTheme="minorEastAsia" w:eastAsiaTheme="minorEastAsia"/>
          <w:color w:val="000000" w:themeColor="text1"/>
          <w:sz w:val="24"/>
          <w:highlight w:val="none"/>
          <w14:textFill>
            <w14:solidFill>
              <w14:schemeClr w14:val="tx1"/>
            </w14:solidFill>
          </w14:textFill>
        </w:rPr>
        <w:t>邮政编码：</w:t>
      </w:r>
      <w:r>
        <w:rPr>
          <w:rFonts w:ascii="Times New Roman" w:hAnsi="Times New Roman" w:eastAsiaTheme="minorEastAsia"/>
          <w:color w:val="000000" w:themeColor="text1"/>
          <w:sz w:val="24"/>
          <w:highlight w:val="none"/>
          <w14:textFill>
            <w14:solidFill>
              <w14:schemeClr w14:val="tx1"/>
            </w14:solidFill>
          </w14:textFill>
        </w:rPr>
        <w:t>710065</w:t>
      </w:r>
    </w:p>
    <w:p w14:paraId="248458D7">
      <w:pPr>
        <w:tabs>
          <w:tab w:val="left" w:pos="1778"/>
        </w:tabs>
        <w:spacing w:line="360" w:lineRule="auto"/>
        <w:ind w:firstLine="480" w:firstLineChars="200"/>
        <w:outlineLvl w:val="1"/>
        <w:rPr>
          <w:rFonts w:hint="default" w:ascii="Times New Roman" w:hAnsi="Times New Roman" w:eastAsiaTheme="minorEastAsia"/>
          <w:color w:val="000000" w:themeColor="text1"/>
          <w:sz w:val="24"/>
          <w:highlight w:val="none"/>
          <w:lang w:val="en-US" w:eastAsia="zh-CN"/>
          <w14:textFill>
            <w14:solidFill>
              <w14:schemeClr w14:val="tx1"/>
            </w14:solidFill>
          </w14:textFill>
        </w:rPr>
      </w:pPr>
      <w:r>
        <w:rPr>
          <w:rFonts w:ascii="Times New Roman" w:hAnsiTheme="minorEastAsia" w:eastAsiaTheme="minorEastAsia"/>
          <w:color w:val="000000" w:themeColor="text1"/>
          <w:sz w:val="24"/>
          <w:highlight w:val="none"/>
          <w14:textFill>
            <w14:solidFill>
              <w14:schemeClr w14:val="tx1"/>
            </w14:solidFill>
          </w14:textFill>
        </w:rPr>
        <w:t>联</w:t>
      </w:r>
      <w:r>
        <w:rPr>
          <w:rFonts w:ascii="Times New Roman" w:hAnsi="Times New Roman" w:eastAsiaTheme="minorEastAsia"/>
          <w:color w:val="000000" w:themeColor="text1"/>
          <w:sz w:val="24"/>
          <w:highlight w:val="none"/>
          <w14:textFill>
            <w14:solidFill>
              <w14:schemeClr w14:val="tx1"/>
            </w14:solidFill>
          </w14:textFill>
        </w:rPr>
        <w:t xml:space="preserve"> </w:t>
      </w:r>
      <w:r>
        <w:rPr>
          <w:rFonts w:ascii="Times New Roman" w:hAnsiTheme="minorEastAsia" w:eastAsiaTheme="minorEastAsia"/>
          <w:color w:val="000000" w:themeColor="text1"/>
          <w:sz w:val="24"/>
          <w:highlight w:val="none"/>
          <w14:textFill>
            <w14:solidFill>
              <w14:schemeClr w14:val="tx1"/>
            </w14:solidFill>
          </w14:textFill>
        </w:rPr>
        <w:t>系</w:t>
      </w:r>
      <w:r>
        <w:rPr>
          <w:rFonts w:ascii="Times New Roman" w:hAnsi="Times New Roman" w:eastAsiaTheme="minorEastAsia"/>
          <w:color w:val="000000" w:themeColor="text1"/>
          <w:sz w:val="24"/>
          <w:highlight w:val="none"/>
          <w14:textFill>
            <w14:solidFill>
              <w14:schemeClr w14:val="tx1"/>
            </w14:solidFill>
          </w14:textFill>
        </w:rPr>
        <w:t xml:space="preserve"> </w:t>
      </w:r>
      <w:r>
        <w:rPr>
          <w:rFonts w:ascii="Times New Roman" w:hAnsiTheme="minorEastAsia" w:eastAsiaTheme="minorEastAsia"/>
          <w:color w:val="000000" w:themeColor="text1"/>
          <w:sz w:val="24"/>
          <w:highlight w:val="none"/>
          <w14:textFill>
            <w14:solidFill>
              <w14:schemeClr w14:val="tx1"/>
            </w14:solidFill>
          </w14:textFill>
        </w:rPr>
        <w:t>人：</w:t>
      </w:r>
      <w:r>
        <w:rPr>
          <w:rFonts w:hint="eastAsia" w:ascii="Times New Roman" w:hAnsiTheme="minorEastAsia" w:eastAsiaTheme="minorEastAsia"/>
          <w:color w:val="000000" w:themeColor="text1"/>
          <w:sz w:val="24"/>
          <w:highlight w:val="none"/>
          <w:lang w:val="en-US" w:eastAsia="zh-CN"/>
          <w14:textFill>
            <w14:solidFill>
              <w14:schemeClr w14:val="tx1"/>
            </w14:solidFill>
          </w14:textFill>
        </w:rPr>
        <w:t>边</w:t>
      </w:r>
      <w:r>
        <w:rPr>
          <w:rFonts w:ascii="Times New Roman" w:hAnsiTheme="minorEastAsia" w:eastAsiaTheme="minorEastAsia"/>
          <w:color w:val="000000" w:themeColor="text1"/>
          <w:sz w:val="24"/>
          <w:highlight w:val="none"/>
          <w14:textFill>
            <w14:solidFill>
              <w14:schemeClr w14:val="tx1"/>
            </w14:solidFill>
          </w14:textFill>
        </w:rPr>
        <w:t>先生</w:t>
      </w:r>
    </w:p>
    <w:p w14:paraId="0450EFF3">
      <w:pPr>
        <w:tabs>
          <w:tab w:val="left" w:pos="1778"/>
        </w:tabs>
        <w:spacing w:line="360" w:lineRule="auto"/>
        <w:ind w:firstLine="480" w:firstLineChars="200"/>
        <w:outlineLvl w:val="1"/>
        <w:rPr>
          <w:rFonts w:hint="default" w:ascii="Times New Roman" w:hAnsi="Times New Roman" w:eastAsiaTheme="minorEastAsia"/>
          <w:color w:val="000000" w:themeColor="text1"/>
          <w:sz w:val="24"/>
          <w:highlight w:val="none"/>
          <w:lang w:val="en-US" w:eastAsia="zh-CN"/>
          <w14:textFill>
            <w14:solidFill>
              <w14:schemeClr w14:val="tx1"/>
            </w14:solidFill>
          </w14:textFill>
        </w:rPr>
      </w:pPr>
      <w:r>
        <w:rPr>
          <w:rFonts w:ascii="Times New Roman" w:hAnsiTheme="minorEastAsia" w:eastAsiaTheme="minorEastAsia"/>
          <w:color w:val="000000" w:themeColor="text1"/>
          <w:sz w:val="24"/>
          <w:highlight w:val="none"/>
          <w14:textFill>
            <w14:solidFill>
              <w14:schemeClr w14:val="tx1"/>
            </w14:solidFill>
          </w14:textFill>
        </w:rPr>
        <w:t>电</w:t>
      </w:r>
      <w:r>
        <w:rPr>
          <w:rFonts w:ascii="Times New Roman" w:hAnsi="Times New Roman" w:eastAsiaTheme="minorEastAsia"/>
          <w:color w:val="000000" w:themeColor="text1"/>
          <w:sz w:val="24"/>
          <w:highlight w:val="none"/>
          <w14:textFill>
            <w14:solidFill>
              <w14:schemeClr w14:val="tx1"/>
            </w14:solidFill>
          </w14:textFill>
        </w:rPr>
        <w:t xml:space="preserve">    </w:t>
      </w:r>
      <w:r>
        <w:rPr>
          <w:rFonts w:ascii="Times New Roman" w:hAnsiTheme="minorEastAsia" w:eastAsiaTheme="minorEastAsia"/>
          <w:color w:val="000000" w:themeColor="text1"/>
          <w:sz w:val="24"/>
          <w:highlight w:val="none"/>
          <w14:textFill>
            <w14:solidFill>
              <w14:schemeClr w14:val="tx1"/>
            </w14:solidFill>
          </w14:textFill>
        </w:rPr>
        <w:t>话：</w:t>
      </w:r>
      <w:r>
        <w:rPr>
          <w:rFonts w:hint="eastAsia" w:ascii="Times New Roman" w:hAnsi="Times New Roman" w:eastAsiaTheme="minorEastAsia"/>
          <w:color w:val="000000" w:themeColor="text1"/>
          <w:sz w:val="24"/>
          <w:highlight w:val="none"/>
          <w14:textFill>
            <w14:solidFill>
              <w14:schemeClr w14:val="tx1"/>
            </w14:solidFill>
          </w14:textFill>
        </w:rPr>
        <w:t>0915-33588</w:t>
      </w:r>
      <w:r>
        <w:rPr>
          <w:rFonts w:hint="eastAsia" w:ascii="Times New Roman" w:hAnsi="Times New Roman" w:eastAsiaTheme="minorEastAsia"/>
          <w:color w:val="000000" w:themeColor="text1"/>
          <w:sz w:val="24"/>
          <w:highlight w:val="none"/>
          <w:lang w:val="en-US" w:eastAsia="zh-CN"/>
          <w14:textFill>
            <w14:solidFill>
              <w14:schemeClr w14:val="tx1"/>
            </w14:solidFill>
          </w14:textFill>
        </w:rPr>
        <w:t>23</w:t>
      </w:r>
      <w:bookmarkStart w:id="5" w:name="_GoBack"/>
      <w:bookmarkEnd w:id="5"/>
    </w:p>
    <w:p w14:paraId="3011E777">
      <w:pPr>
        <w:tabs>
          <w:tab w:val="left" w:pos="1778"/>
        </w:tabs>
        <w:spacing w:line="360" w:lineRule="auto"/>
        <w:ind w:firstLine="480" w:firstLineChars="200"/>
        <w:outlineLvl w:val="1"/>
        <w:rPr>
          <w:rFonts w:ascii="Times New Roman" w:hAnsi="Times New Roman" w:eastAsiaTheme="minorEastAsia"/>
          <w:color w:val="000000" w:themeColor="text1"/>
          <w:sz w:val="24"/>
          <w:highlight w:val="none"/>
          <w14:textFill>
            <w14:solidFill>
              <w14:schemeClr w14:val="tx1"/>
            </w14:solidFill>
          </w14:textFill>
        </w:rPr>
      </w:pPr>
      <w:r>
        <w:rPr>
          <w:rFonts w:ascii="Times New Roman" w:hAnsiTheme="minorEastAsia" w:eastAsiaTheme="minorEastAsia"/>
          <w:color w:val="000000" w:themeColor="text1"/>
          <w:sz w:val="24"/>
          <w:highlight w:val="none"/>
          <w14:textFill>
            <w14:solidFill>
              <w14:schemeClr w14:val="tx1"/>
            </w14:solidFill>
          </w14:textFill>
        </w:rPr>
        <w:t>邮</w:t>
      </w:r>
      <w:r>
        <w:rPr>
          <w:rFonts w:ascii="Times New Roman" w:hAnsi="Times New Roman" w:eastAsiaTheme="minorEastAsia"/>
          <w:color w:val="000000" w:themeColor="text1"/>
          <w:sz w:val="24"/>
          <w:highlight w:val="none"/>
          <w14:textFill>
            <w14:solidFill>
              <w14:schemeClr w14:val="tx1"/>
            </w14:solidFill>
          </w14:textFill>
        </w:rPr>
        <w:t xml:space="preserve">    </w:t>
      </w:r>
      <w:r>
        <w:rPr>
          <w:rFonts w:ascii="Times New Roman" w:hAnsiTheme="minorEastAsia" w:eastAsiaTheme="minorEastAsia"/>
          <w:color w:val="000000" w:themeColor="text1"/>
          <w:sz w:val="24"/>
          <w:highlight w:val="none"/>
          <w14:textFill>
            <w14:solidFill>
              <w14:schemeClr w14:val="tx1"/>
            </w14:solidFill>
          </w14:textFill>
        </w:rPr>
        <w:t>箱：</w:t>
      </w:r>
      <w:r>
        <w:rPr>
          <w:rFonts w:ascii="Times New Roman" w:hAnsi="Times New Roman" w:eastAsiaTheme="minorEastAsia"/>
          <w:color w:val="000000" w:themeColor="text1"/>
          <w:sz w:val="24"/>
          <w:highlight w:val="none"/>
          <w14:textFill>
            <w14:solidFill>
              <w14:schemeClr w14:val="tx1"/>
            </w14:solidFill>
          </w14:textFill>
        </w:rPr>
        <w:t>sxgsalglc@163.com</w:t>
      </w:r>
    </w:p>
    <w:p w14:paraId="4378B4EF">
      <w:pPr>
        <w:spacing w:line="360" w:lineRule="auto"/>
        <w:ind w:left="60" w:firstLine="640" w:firstLineChars="200"/>
        <w:jc w:val="left"/>
        <w:rPr>
          <w:rFonts w:hint="eastAsia" w:ascii="仿宋" w:hAnsi="仿宋" w:eastAsia="仿宋" w:cs="宋体"/>
          <w:color w:val="000000" w:themeColor="text1"/>
          <w:sz w:val="32"/>
          <w:highlight w:val="none"/>
          <w14:textFill>
            <w14:solidFill>
              <w14:schemeClr w14:val="tx1"/>
            </w14:solidFill>
          </w14:textFill>
        </w:rPr>
      </w:pPr>
    </w:p>
    <w:p w14:paraId="7F6C0196">
      <w:pPr>
        <w:rPr>
          <w:rFonts w:hint="eastAsia" w:ascii="仿宋" w:hAnsi="仿宋" w:eastAsia="仿宋" w:cs="仿宋"/>
          <w:b/>
          <w:bCs/>
          <w:color w:val="000000" w:themeColor="text1"/>
          <w:szCs w:val="21"/>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yNDk2NjYyZDI0NDNmNTE5MTdlYWJkNjNlYjY2Y2QifQ=="/>
  </w:docVars>
  <w:rsids>
    <w:rsidRoot w:val="0017704D"/>
    <w:rsid w:val="00041D25"/>
    <w:rsid w:val="0017704D"/>
    <w:rsid w:val="001C5CF4"/>
    <w:rsid w:val="00446701"/>
    <w:rsid w:val="005B4614"/>
    <w:rsid w:val="007A39ED"/>
    <w:rsid w:val="007E0089"/>
    <w:rsid w:val="01BB4A92"/>
    <w:rsid w:val="02663C42"/>
    <w:rsid w:val="09F4680A"/>
    <w:rsid w:val="176A041C"/>
    <w:rsid w:val="21021CF9"/>
    <w:rsid w:val="2A674479"/>
    <w:rsid w:val="5A5B4884"/>
    <w:rsid w:val="5D9704AE"/>
    <w:rsid w:val="60E1546A"/>
    <w:rsid w:val="618174E2"/>
    <w:rsid w:val="689C6793"/>
    <w:rsid w:val="6C866B92"/>
    <w:rsid w:val="73495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link w:val="13"/>
    <w:qFormat/>
    <w:uiPriority w:val="0"/>
    <w:pPr>
      <w:keepNext/>
      <w:keepLines/>
      <w:spacing w:before="260" w:after="260" w:line="416" w:lineRule="auto"/>
      <w:outlineLvl w:val="2"/>
    </w:pPr>
    <w:rPr>
      <w:rFonts w:ascii="Times New Roman" w:hAnsi="Times New Roman"/>
      <w:b/>
      <w:bCs/>
      <w:sz w:val="32"/>
      <w:szCs w:val="32"/>
    </w:rPr>
  </w:style>
  <w:style w:type="paragraph" w:styleId="4">
    <w:name w:val="heading 4"/>
    <w:basedOn w:val="1"/>
    <w:next w:val="1"/>
    <w:link w:val="14"/>
    <w:qFormat/>
    <w:uiPriority w:val="0"/>
    <w:pPr>
      <w:keepNext/>
      <w:keepLines/>
      <w:spacing w:before="280" w:after="290" w:line="374" w:lineRule="auto"/>
      <w:outlineLvl w:val="3"/>
    </w:pPr>
    <w:rPr>
      <w:rFonts w:ascii="Arial" w:hAnsi="Arial" w:eastAsia="黑体"/>
      <w:b/>
      <w:bCs/>
      <w:sz w:val="28"/>
      <w:szCs w:val="28"/>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toa heading"/>
    <w:basedOn w:val="1"/>
    <w:next w:val="1"/>
    <w:unhideWhenUsed/>
    <w:qFormat/>
    <w:uiPriority w:val="99"/>
    <w:rPr>
      <w:rFonts w:ascii="Arial" w:hAnsi="Arial"/>
      <w:sz w:val="24"/>
    </w:rPr>
  </w:style>
  <w:style w:type="paragraph" w:styleId="5">
    <w:name w:val="caption"/>
    <w:basedOn w:val="1"/>
    <w:next w:val="1"/>
    <w:unhideWhenUsed/>
    <w:qFormat/>
    <w:uiPriority w:val="0"/>
    <w:rPr>
      <w:rFonts w:ascii="Arial" w:hAnsi="Arial" w:eastAsia="黑体"/>
      <w:sz w:val="20"/>
    </w:rPr>
  </w:style>
  <w:style w:type="paragraph" w:styleId="6">
    <w:name w:val="Body Text"/>
    <w:basedOn w:val="1"/>
    <w:link w:val="17"/>
    <w:qFormat/>
    <w:uiPriority w:val="0"/>
    <w:pPr>
      <w:spacing w:after="120"/>
    </w:pPr>
  </w:style>
  <w:style w:type="paragraph" w:styleId="7">
    <w:name w:val="footer"/>
    <w:basedOn w:val="1"/>
    <w:link w:val="12"/>
    <w:qFormat/>
    <w:uiPriority w:val="0"/>
    <w:pPr>
      <w:tabs>
        <w:tab w:val="center" w:pos="4153"/>
        <w:tab w:val="right" w:pos="8306"/>
      </w:tabs>
      <w:snapToGrid w:val="0"/>
      <w:jc w:val="left"/>
    </w:pPr>
    <w:rPr>
      <w:sz w:val="18"/>
      <w:szCs w:val="18"/>
    </w:rPr>
  </w:style>
  <w:style w:type="paragraph" w:styleId="8">
    <w:name w:val="header"/>
    <w:basedOn w:val="1"/>
    <w:link w:val="11"/>
    <w:qFormat/>
    <w:uiPriority w:val="0"/>
    <w:pPr>
      <w:tabs>
        <w:tab w:val="center" w:pos="4153"/>
        <w:tab w:val="right" w:pos="8306"/>
      </w:tabs>
      <w:snapToGrid w:val="0"/>
      <w:jc w:val="center"/>
    </w:pPr>
    <w:rPr>
      <w:sz w:val="18"/>
      <w:szCs w:val="18"/>
    </w:rPr>
  </w:style>
  <w:style w:type="character" w:customStyle="1" w:styleId="11">
    <w:name w:val="页眉 字符"/>
    <w:basedOn w:val="10"/>
    <w:link w:val="8"/>
    <w:qFormat/>
    <w:uiPriority w:val="0"/>
    <w:rPr>
      <w:rFonts w:ascii="Calibri" w:hAnsi="Calibri" w:eastAsia="宋体" w:cs="Times New Roman"/>
      <w:kern w:val="2"/>
      <w:sz w:val="18"/>
      <w:szCs w:val="18"/>
    </w:rPr>
  </w:style>
  <w:style w:type="character" w:customStyle="1" w:styleId="12">
    <w:name w:val="页脚 字符"/>
    <w:basedOn w:val="10"/>
    <w:link w:val="7"/>
    <w:uiPriority w:val="0"/>
    <w:rPr>
      <w:rFonts w:ascii="Calibri" w:hAnsi="Calibri" w:eastAsia="宋体" w:cs="Times New Roman"/>
      <w:kern w:val="2"/>
      <w:sz w:val="18"/>
      <w:szCs w:val="18"/>
    </w:rPr>
  </w:style>
  <w:style w:type="character" w:customStyle="1" w:styleId="13">
    <w:name w:val="标题 3 字符"/>
    <w:basedOn w:val="10"/>
    <w:link w:val="3"/>
    <w:qFormat/>
    <w:uiPriority w:val="0"/>
    <w:rPr>
      <w:rFonts w:ascii="Times New Roman" w:hAnsi="Times New Roman" w:eastAsia="宋体" w:cs="Times New Roman"/>
      <w:b/>
      <w:bCs/>
      <w:kern w:val="2"/>
      <w:sz w:val="32"/>
      <w:szCs w:val="32"/>
    </w:rPr>
  </w:style>
  <w:style w:type="character" w:customStyle="1" w:styleId="14">
    <w:name w:val="标题 4 字符"/>
    <w:basedOn w:val="10"/>
    <w:link w:val="4"/>
    <w:qFormat/>
    <w:uiPriority w:val="0"/>
    <w:rPr>
      <w:rFonts w:ascii="Arial" w:hAnsi="Arial" w:eastAsia="黑体" w:cs="Times New Roman"/>
      <w:b/>
      <w:bCs/>
      <w:kern w:val="2"/>
      <w:sz w:val="28"/>
      <w:szCs w:val="28"/>
    </w:rPr>
  </w:style>
  <w:style w:type="paragraph" w:customStyle="1" w:styleId="15">
    <w:name w:val="表格文字格式"/>
    <w:basedOn w:val="6"/>
    <w:link w:val="16"/>
    <w:qFormat/>
    <w:uiPriority w:val="0"/>
    <w:pPr>
      <w:ind w:firstLine="50" w:firstLineChars="50"/>
    </w:pPr>
    <w:rPr>
      <w:rFonts w:ascii="Times New Roman" w:hAnsi="Times New Roman"/>
    </w:rPr>
  </w:style>
  <w:style w:type="character" w:customStyle="1" w:styleId="16">
    <w:name w:val="表格文字格式 字符"/>
    <w:link w:val="15"/>
    <w:qFormat/>
    <w:uiPriority w:val="0"/>
    <w:rPr>
      <w:rFonts w:ascii="Times New Roman" w:hAnsi="Times New Roman" w:eastAsia="宋体" w:cs="Times New Roman"/>
      <w:kern w:val="2"/>
      <w:sz w:val="21"/>
      <w:szCs w:val="24"/>
    </w:rPr>
  </w:style>
  <w:style w:type="character" w:customStyle="1" w:styleId="17">
    <w:name w:val="正文文本 字符"/>
    <w:basedOn w:val="10"/>
    <w:link w:val="6"/>
    <w:qFormat/>
    <w:uiPriority w:val="0"/>
    <w:rPr>
      <w:rFonts w:ascii="Calibri" w:hAnsi="Calibri" w:eastAsia="宋体" w:cs="Times New Roman"/>
      <w:kern w:val="2"/>
      <w:sz w:val="21"/>
      <w:szCs w:val="24"/>
    </w:rPr>
  </w:style>
  <w:style w:type="paragraph" w:customStyle="1" w:styleId="18">
    <w:name w:val="正文文本5"/>
    <w:basedOn w:val="1"/>
    <w:autoRedefine/>
    <w:qFormat/>
    <w:uiPriority w:val="0"/>
    <w:pPr>
      <w:shd w:val="clear" w:color="auto" w:fill="FFFFFF"/>
      <w:spacing w:before="120" w:after="240" w:line="0" w:lineRule="atLeast"/>
      <w:jc w:val="center"/>
    </w:pPr>
    <w:rPr>
      <w:rFonts w:ascii="黑体" w:hAnsi="黑体" w:eastAsia="黑体" w:cs="黑体"/>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5448</Words>
  <Characters>5795</Characters>
  <Lines>46</Lines>
  <Paragraphs>13</Paragraphs>
  <TotalTime>1</TotalTime>
  <ScaleCrop>false</ScaleCrop>
  <LinksUpToDate>false</LinksUpToDate>
  <CharactersWithSpaces>5842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2024-07-18T09:31:00Z</dcterms:created>
  <dc:creator>admin</dc:creator>
  <cp:lastModifiedBy>仵晓煜</cp:lastModifiedBy>
  <dcterms:modified xsi:type="dcterms:W3CDTF">2024-07-19T10:11:43Z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0FE0788D450C40099761515F8594B695_12</vt:lpwstr>
  </property>
</Properties>
</file>