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黑体"/>
          <w:b/>
          <w:kern w:val="0"/>
          <w:sz w:val="36"/>
          <w:szCs w:val="36"/>
          <w:highlight w:val="none"/>
          <w:lang w:val="en-US" w:eastAsia="zh-CN" w:bidi="ar-SA"/>
        </w:rPr>
      </w:pPr>
      <w:bookmarkStart w:id="0" w:name="OLE_LINK8"/>
      <w:bookmarkStart w:id="1" w:name="_Hlk511297852"/>
      <w:r>
        <w:rPr>
          <w:rFonts w:hint="eastAsia" w:ascii="华文中宋" w:hAnsi="华文中宋" w:eastAsia="华文中宋" w:cs="黑体"/>
          <w:b/>
          <w:kern w:val="0"/>
          <w:sz w:val="36"/>
          <w:szCs w:val="36"/>
          <w:highlight w:val="none"/>
          <w:lang w:val="en-US" w:eastAsia="zh-CN" w:bidi="ar-SA"/>
        </w:rPr>
        <w:t>延安至黄陵公路扩容工程</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黑体"/>
          <w:b/>
          <w:kern w:val="0"/>
          <w:sz w:val="36"/>
          <w:szCs w:val="36"/>
          <w:highlight w:val="none"/>
          <w:lang w:val="en-US" w:eastAsia="zh-CN" w:bidi="ar-SA"/>
        </w:rPr>
      </w:pPr>
      <w:r>
        <w:rPr>
          <w:rFonts w:hint="eastAsia" w:ascii="华文中宋" w:hAnsi="华文中宋" w:eastAsia="华文中宋" w:cs="黑体"/>
          <w:b/>
          <w:kern w:val="0"/>
          <w:sz w:val="36"/>
          <w:szCs w:val="36"/>
          <w:highlight w:val="none"/>
          <w:lang w:val="en-US" w:eastAsia="zh-CN" w:bidi="ar-SA"/>
        </w:rPr>
        <w:t>隧道消防系统提升改造工程</w:t>
      </w:r>
      <w:bookmarkEnd w:id="0"/>
      <w:r>
        <w:rPr>
          <w:rFonts w:hint="eastAsia" w:ascii="华文中宋" w:hAnsi="华文中宋" w:eastAsia="华文中宋" w:cs="黑体"/>
          <w:b/>
          <w:kern w:val="0"/>
          <w:sz w:val="36"/>
          <w:szCs w:val="36"/>
          <w:highlight w:val="none"/>
          <w:lang w:val="en-US" w:eastAsia="zh-CN" w:bidi="ar-SA"/>
        </w:rPr>
        <w:t>施工招标</w:t>
      </w:r>
      <w:bookmarkEnd w:id="1"/>
      <w:r>
        <w:rPr>
          <w:rFonts w:hint="eastAsia" w:ascii="华文中宋" w:hAnsi="华文中宋" w:eastAsia="华文中宋" w:cs="黑体"/>
          <w:b/>
          <w:kern w:val="0"/>
          <w:sz w:val="36"/>
          <w:szCs w:val="36"/>
          <w:highlight w:val="none"/>
          <w:lang w:val="en-US" w:eastAsia="zh-CN" w:bidi="ar-SA"/>
        </w:rPr>
        <w:t>招标文件</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黑体"/>
          <w:b/>
          <w:kern w:val="0"/>
          <w:sz w:val="36"/>
          <w:szCs w:val="36"/>
          <w:highlight w:val="none"/>
          <w:lang w:val="en-US" w:eastAsia="zh-CN" w:bidi="ar-SA"/>
        </w:rPr>
      </w:pPr>
      <w:r>
        <w:rPr>
          <w:rFonts w:hint="eastAsia" w:ascii="华文中宋" w:hAnsi="华文中宋" w:eastAsia="华文中宋" w:cs="黑体"/>
          <w:b/>
          <w:kern w:val="0"/>
          <w:sz w:val="36"/>
          <w:szCs w:val="36"/>
          <w:highlight w:val="none"/>
          <w:lang w:val="en-US" w:eastAsia="zh-CN" w:bidi="ar-SA"/>
        </w:rPr>
        <w:t>关键内容公示</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562" w:firstLineChars="200"/>
        <w:textAlignment w:val="auto"/>
        <w:outlineLvl w:val="9"/>
        <w:rPr>
          <w:rFonts w:hint="default" w:ascii="宋体" w:hAnsi="宋体" w:eastAsia="宋体" w:cs="黑体"/>
          <w:b/>
          <w:color w:val="auto"/>
          <w:kern w:val="0"/>
          <w:sz w:val="28"/>
          <w:szCs w:val="28"/>
          <w:highlight w:val="none"/>
          <w:lang w:val="en-US" w:eastAsia="zh-CN" w:bidi="ar-SA"/>
        </w:rPr>
      </w:pPr>
      <w:r>
        <w:rPr>
          <w:rFonts w:hint="eastAsia" w:ascii="宋体" w:hAnsi="宋体" w:eastAsia="宋体"/>
          <w:b/>
          <w:kern w:val="0"/>
          <w:sz w:val="28"/>
          <w:szCs w:val="28"/>
          <w:highlight w:val="none"/>
          <w:lang w:val="en-US" w:eastAsia="zh-CN"/>
        </w:rPr>
        <w:t>一、</w:t>
      </w:r>
      <w:r>
        <w:rPr>
          <w:rFonts w:ascii="宋体" w:hAnsi="宋体" w:eastAsia="宋体" w:cs="黑体"/>
          <w:b/>
          <w:color w:val="auto"/>
          <w:kern w:val="0"/>
          <w:sz w:val="28"/>
          <w:szCs w:val="28"/>
          <w:highlight w:val="none"/>
          <w:lang w:val="en-US" w:eastAsia="zh-CN" w:bidi="ar-SA"/>
        </w:rPr>
        <w:t>项目概况</w:t>
      </w:r>
    </w:p>
    <w:p>
      <w:pPr>
        <w:pStyle w:val="9"/>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ind w:left="62" w:firstLine="480" w:firstLineChars="200"/>
        <w:jc w:val="both"/>
        <w:textAlignment w:val="auto"/>
        <w:rPr>
          <w:rFonts w:hint="default" w:ascii="宋体" w:hAnsi="宋体" w:eastAsia="宋体"/>
          <w:color w:val="000000" w:themeColor="text1"/>
          <w:kern w:val="0"/>
          <w:sz w:val="24"/>
          <w:szCs w:val="24"/>
          <w:highlight w:val="none"/>
          <w:lang w:val="en-US" w:eastAsia="zh-CN"/>
          <w14:textFill>
            <w14:solidFill>
              <w14:schemeClr w14:val="tx1"/>
            </w14:solidFill>
          </w14:textFill>
        </w:rPr>
      </w:pPr>
      <w:bookmarkStart w:id="2" w:name="OLE_LINK5"/>
      <w:bookmarkStart w:id="3" w:name="OLE_LINK11"/>
      <w:r>
        <w:rPr>
          <w:rFonts w:hint="eastAsia" w:ascii="宋体" w:hAnsi="宋体" w:eastAsia="宋体"/>
          <w:color w:val="000000" w:themeColor="text1"/>
          <w:kern w:val="0"/>
          <w:sz w:val="24"/>
          <w:szCs w:val="24"/>
          <w:highlight w:val="none"/>
          <w:lang w:val="en-US" w:eastAsia="zh-CN"/>
          <w14:textFill>
            <w14:solidFill>
              <w14:schemeClr w14:val="tx1"/>
            </w14:solidFill>
          </w14:textFill>
        </w:rPr>
        <w:t>延安至黄陵公路扩容工程</w:t>
      </w:r>
      <w:bookmarkEnd w:id="2"/>
      <w:r>
        <w:rPr>
          <w:rFonts w:hint="eastAsia" w:ascii="宋体" w:hAnsi="宋体" w:eastAsia="宋体"/>
          <w:color w:val="000000" w:themeColor="text1"/>
          <w:kern w:val="0"/>
          <w:sz w:val="24"/>
          <w:szCs w:val="24"/>
          <w:highlight w:val="none"/>
          <w:lang w:val="en-US" w:eastAsia="zh-CN"/>
          <w14:textFill>
            <w14:solidFill>
              <w14:schemeClr w14:val="tx1"/>
            </w14:solidFill>
          </w14:textFill>
        </w:rPr>
        <w:t>是国家高速公路网包头至茂名线（G65）在陕西境内的重要组成路段，起于铜川市宜君县崖头庄，与铜黄高速公路相接，终点止于延安市安塞县沿河湾镇南侧，与包茂高速和延延高速以枢纽立交相接，路线全长154.479公里，建设里程150.628公里。全线按照双向六车道高速公路标准建设，设计时速100公里/小时，现已建成通车。</w:t>
      </w:r>
      <w:bookmarkEnd w:id="3"/>
      <w:r>
        <w:rPr>
          <w:rFonts w:hint="eastAsia" w:ascii="宋体" w:hAnsi="宋体" w:eastAsia="宋体"/>
          <w:color w:val="000000" w:themeColor="text1"/>
          <w:kern w:val="0"/>
          <w:sz w:val="24"/>
          <w:szCs w:val="24"/>
          <w:highlight w:val="none"/>
          <w:lang w:val="en-US" w:eastAsia="zh-CN"/>
          <w14:textFill>
            <w14:solidFill>
              <w14:schemeClr w14:val="tx1"/>
            </w14:solidFill>
          </w14:textFill>
        </w:rPr>
        <w:t>本次招标标段估算投资约4100万元。</w:t>
      </w:r>
    </w:p>
    <w:p>
      <w:pPr>
        <w:pStyle w:val="9"/>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157" w:beforeLines="50" w:after="0" w:line="500" w:lineRule="exact"/>
        <w:ind w:firstLine="562" w:firstLineChars="200"/>
        <w:jc w:val="both"/>
        <w:textAlignment w:val="auto"/>
        <w:rPr>
          <w:rFonts w:ascii="宋体" w:hAnsi="宋体" w:eastAsia="宋体"/>
          <w:b/>
          <w:kern w:val="0"/>
          <w:sz w:val="28"/>
          <w:szCs w:val="28"/>
        </w:rPr>
      </w:pPr>
      <w:r>
        <w:rPr>
          <w:rFonts w:hint="eastAsia" w:ascii="宋体" w:hAnsi="宋体" w:eastAsia="宋体"/>
          <w:b/>
          <w:kern w:val="0"/>
          <w:sz w:val="28"/>
          <w:szCs w:val="28"/>
          <w:lang w:val="en-US" w:eastAsia="zh-CN"/>
        </w:rPr>
        <w:t>二、</w:t>
      </w:r>
      <w:r>
        <w:rPr>
          <w:rFonts w:ascii="宋体" w:hAnsi="宋体" w:eastAsia="宋体"/>
          <w:b/>
          <w:kern w:val="0"/>
          <w:sz w:val="28"/>
          <w:szCs w:val="28"/>
        </w:rPr>
        <w:t>投标人资格要求</w:t>
      </w:r>
    </w:p>
    <w:p>
      <w:pPr>
        <w:pStyle w:val="9"/>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ind w:left="62" w:firstLine="480" w:firstLineChars="200"/>
        <w:jc w:val="both"/>
        <w:textAlignment w:val="auto"/>
        <w:rPr>
          <w:rFonts w:hint="eastAsia" w:ascii="宋体" w:hAnsi="宋体" w:eastAsia="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olor w:val="000000" w:themeColor="text1"/>
          <w:kern w:val="0"/>
          <w:sz w:val="24"/>
          <w:szCs w:val="24"/>
          <w:highlight w:val="none"/>
          <w:lang w:val="en-US" w:eastAsia="zh-CN"/>
          <w14:textFill>
            <w14:solidFill>
              <w14:schemeClr w14:val="tx1"/>
            </w14:solidFill>
          </w14:textFill>
        </w:rPr>
        <w:t>1.本次招标投标人须具备独立法人资格，且资质、业绩、人员、设备、资金等方面具有承担本项目施工的能力，具体要求如下。</w:t>
      </w: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ind w:left="504" w:leftChars="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资质最低要求</w:t>
      </w:r>
    </w:p>
    <w:tbl>
      <w:tblPr>
        <w:tblStyle w:val="5"/>
        <w:tblW w:w="9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239"/>
        <w:gridCol w:w="1239"/>
        <w:gridCol w:w="6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blHeader/>
          <w:jc w:val="center"/>
        </w:trPr>
        <w:tc>
          <w:tcPr>
            <w:tcW w:w="1239" w:type="dxa"/>
            <w:vAlign w:val="center"/>
          </w:tcPr>
          <w:p>
            <w:pPr>
              <w:tabs>
                <w:tab w:val="left" w:pos="1778"/>
              </w:tabs>
              <w:jc w:val="center"/>
              <w:rPr>
                <w:rFonts w:hint="eastAsia" w:ascii="仿宋" w:hAnsi="仿宋" w:eastAsia="仿宋"/>
                <w:b/>
                <w:szCs w:val="21"/>
                <w:lang w:val="en-US" w:eastAsia="zh-CN"/>
              </w:rPr>
            </w:pPr>
            <w:r>
              <w:rPr>
                <w:rFonts w:hint="eastAsia" w:ascii="仿宋" w:hAnsi="仿宋" w:eastAsia="仿宋"/>
                <w:b/>
                <w:szCs w:val="21"/>
                <w:lang w:val="en-US" w:eastAsia="zh-CN"/>
              </w:rPr>
              <w:t>组别</w:t>
            </w:r>
          </w:p>
        </w:tc>
        <w:tc>
          <w:tcPr>
            <w:tcW w:w="1239"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标段</w:t>
            </w:r>
          </w:p>
        </w:tc>
        <w:tc>
          <w:tcPr>
            <w:tcW w:w="6552" w:type="dxa"/>
            <w:tcMar>
              <w:top w:w="0" w:type="dxa"/>
              <w:left w:w="108" w:type="dxa"/>
              <w:bottom w:w="0" w:type="dxa"/>
              <w:right w:w="108" w:type="dxa"/>
            </w:tcMar>
            <w:vAlign w:val="center"/>
          </w:tcPr>
          <w:p>
            <w:pPr>
              <w:tabs>
                <w:tab w:val="left" w:pos="1778"/>
              </w:tabs>
              <w:jc w:val="center"/>
              <w:rPr>
                <w:rFonts w:hint="eastAsia" w:ascii="仿宋" w:hAnsi="仿宋" w:eastAsia="仿宋"/>
                <w:b/>
                <w:szCs w:val="21"/>
              </w:rPr>
            </w:pPr>
            <w:r>
              <w:rPr>
                <w:rFonts w:hint="eastAsia" w:ascii="仿宋" w:hAnsi="仿宋" w:eastAsia="仿宋"/>
                <w:b/>
                <w:szCs w:val="21"/>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9" w:hRule="atLeast"/>
          <w:jc w:val="center"/>
        </w:trPr>
        <w:tc>
          <w:tcPr>
            <w:tcW w:w="1239" w:type="dxa"/>
            <w:vMerge w:val="restart"/>
            <w:vAlign w:val="center"/>
          </w:tcPr>
          <w:p>
            <w:pPr>
              <w:tabs>
                <w:tab w:val="left" w:pos="1778"/>
              </w:tabs>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A组</w:t>
            </w:r>
          </w:p>
        </w:tc>
        <w:tc>
          <w:tcPr>
            <w:tcW w:w="1239" w:type="dxa"/>
            <w:vAlign w:val="center"/>
          </w:tcPr>
          <w:p>
            <w:pPr>
              <w:tabs>
                <w:tab w:val="left" w:pos="1778"/>
              </w:tabs>
              <w:jc w:val="center"/>
              <w:rPr>
                <w:rFonts w:hint="eastAsia" w:ascii="仿宋" w:hAnsi="仿宋" w:eastAsia="仿宋"/>
                <w:szCs w:val="21"/>
              </w:rPr>
            </w:pPr>
            <w:r>
              <w:rPr>
                <w:rFonts w:hint="eastAsia" w:ascii="仿宋" w:hAnsi="仿宋" w:eastAsia="仿宋"/>
                <w:sz w:val="22"/>
                <w:szCs w:val="22"/>
                <w:lang w:val="en-US" w:eastAsia="zh-CN"/>
              </w:rPr>
              <w:t>YHSX-T01</w:t>
            </w:r>
          </w:p>
        </w:tc>
        <w:tc>
          <w:tcPr>
            <w:tcW w:w="6552" w:type="dxa"/>
            <w:vMerge w:val="restart"/>
            <w:tcMar>
              <w:top w:w="0" w:type="dxa"/>
              <w:left w:w="108" w:type="dxa"/>
              <w:bottom w:w="0" w:type="dxa"/>
              <w:right w:w="108" w:type="dxa"/>
            </w:tcMar>
            <w:vAlign w:val="center"/>
          </w:tcPr>
          <w:p>
            <w:pPr>
              <w:keepNext w:val="0"/>
              <w:keepLines w:val="0"/>
              <w:widowControl/>
              <w:suppressLineNumbers w:val="0"/>
              <w:jc w:val="left"/>
              <w:textAlignment w:val="center"/>
              <w:rPr>
                <w:rFonts w:hint="eastAsia" w:ascii="仿宋" w:hAnsi="仿宋" w:eastAsia="仿宋"/>
                <w:sz w:val="22"/>
                <w:szCs w:val="22"/>
              </w:rPr>
            </w:pPr>
            <w:r>
              <w:rPr>
                <w:rFonts w:hint="eastAsia" w:ascii="仿宋" w:hAnsi="仿宋" w:eastAsia="仿宋"/>
                <w:sz w:val="22"/>
                <w:szCs w:val="22"/>
                <w:lang w:val="en-US" w:eastAsia="zh-CN"/>
              </w:rPr>
              <w:t>1.</w:t>
            </w:r>
            <w:r>
              <w:rPr>
                <w:rFonts w:hint="eastAsia" w:ascii="仿宋" w:hAnsi="仿宋" w:eastAsia="仿宋" w:cs="仿宋"/>
                <w:i w:val="0"/>
                <w:color w:val="000000"/>
                <w:kern w:val="0"/>
                <w:sz w:val="21"/>
                <w:szCs w:val="21"/>
                <w:u w:val="none"/>
                <w:lang w:val="en-US" w:eastAsia="zh-CN" w:bidi="ar"/>
              </w:rPr>
              <w:t>具有独立法人资格；</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2.具备有效的企业安全生产许可证；</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3.具备消防设施工程专业承包壹级资质；</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4.企业法定代表人持有省级或以上交通主管部门或建设主管部门核发有效的A类安全生产考核合格证。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84" w:hRule="atLeast"/>
          <w:jc w:val="center"/>
        </w:trPr>
        <w:tc>
          <w:tcPr>
            <w:tcW w:w="1239" w:type="dxa"/>
            <w:vMerge w:val="continue"/>
            <w:vAlign w:val="center"/>
          </w:tcPr>
          <w:p>
            <w:pPr>
              <w:tabs>
                <w:tab w:val="left" w:pos="1778"/>
              </w:tabs>
              <w:jc w:val="center"/>
              <w:rPr>
                <w:rFonts w:hint="eastAsia" w:ascii="仿宋" w:hAnsi="仿宋" w:eastAsia="仿宋"/>
                <w:sz w:val="22"/>
                <w:szCs w:val="22"/>
                <w:lang w:val="en-US" w:eastAsia="zh-CN"/>
              </w:rPr>
            </w:pPr>
          </w:p>
        </w:tc>
        <w:tc>
          <w:tcPr>
            <w:tcW w:w="1239" w:type="dxa"/>
            <w:vAlign w:val="center"/>
          </w:tcPr>
          <w:p>
            <w:pPr>
              <w:tabs>
                <w:tab w:val="left" w:pos="1778"/>
              </w:tabs>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YHSX-T02</w:t>
            </w:r>
          </w:p>
        </w:tc>
        <w:tc>
          <w:tcPr>
            <w:tcW w:w="6552" w:type="dxa"/>
            <w:vMerge w:val="continue"/>
            <w:tcMar>
              <w:top w:w="0" w:type="dxa"/>
              <w:left w:w="108" w:type="dxa"/>
              <w:bottom w:w="0" w:type="dxa"/>
              <w:right w:w="108" w:type="dxa"/>
            </w:tcMar>
            <w:vAlign w:val="center"/>
          </w:tcPr>
          <w:p>
            <w:pPr>
              <w:keepNext w:val="0"/>
              <w:keepLines w:val="0"/>
              <w:widowControl/>
              <w:suppressLineNumbers w:val="0"/>
              <w:jc w:val="left"/>
              <w:textAlignment w:val="center"/>
              <w:rPr>
                <w:rFonts w:hint="eastAsia" w:ascii="仿宋" w:hAnsi="仿宋" w:eastAsia="仿宋"/>
                <w:sz w:val="22"/>
                <w:szCs w:val="22"/>
                <w:lang w:val="en-US" w:eastAsia="zh-CN"/>
              </w:rPr>
            </w:pP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  （2）</w:t>
      </w:r>
      <w:r>
        <w:rPr>
          <w:rFonts w:hint="eastAsia" w:ascii="宋体" w:hAnsi="宋体" w:eastAsia="宋体" w:cs="宋体"/>
          <w:color w:val="auto"/>
          <w:kern w:val="0"/>
          <w:sz w:val="24"/>
          <w:szCs w:val="24"/>
          <w:highlight w:val="none"/>
        </w:rPr>
        <w:t>业绩最低要求</w:t>
      </w:r>
    </w:p>
    <w:tbl>
      <w:tblPr>
        <w:tblStyle w:val="5"/>
        <w:tblW w:w="9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27"/>
        <w:gridCol w:w="6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1227" w:type="dxa"/>
            <w:vAlign w:val="center"/>
          </w:tcPr>
          <w:p>
            <w:pPr>
              <w:tabs>
                <w:tab w:val="left" w:pos="1778"/>
              </w:tabs>
              <w:jc w:val="center"/>
              <w:rPr>
                <w:rFonts w:hint="eastAsia" w:ascii="仿宋" w:hAnsi="仿宋" w:eastAsia="仿宋"/>
                <w:b/>
                <w:szCs w:val="21"/>
              </w:rPr>
            </w:pPr>
            <w:r>
              <w:rPr>
                <w:rFonts w:hint="eastAsia" w:ascii="仿宋" w:hAnsi="仿宋" w:eastAsia="仿宋"/>
                <w:b/>
                <w:szCs w:val="21"/>
                <w:lang w:val="en-US" w:eastAsia="zh-CN"/>
              </w:rPr>
              <w:t>组别</w:t>
            </w:r>
          </w:p>
        </w:tc>
        <w:tc>
          <w:tcPr>
            <w:tcW w:w="1227"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标段</w:t>
            </w:r>
          </w:p>
        </w:tc>
        <w:tc>
          <w:tcPr>
            <w:tcW w:w="6576"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1227" w:type="dxa"/>
            <w:vMerge w:val="restart"/>
            <w:vAlign w:val="center"/>
          </w:tcPr>
          <w:p>
            <w:pPr>
              <w:tabs>
                <w:tab w:val="left" w:pos="1778"/>
              </w:tabs>
              <w:jc w:val="center"/>
              <w:rPr>
                <w:rFonts w:hint="eastAsia" w:ascii="仿宋" w:hAnsi="仿宋" w:eastAsia="仿宋"/>
                <w:color w:val="000000"/>
                <w:sz w:val="22"/>
                <w:szCs w:val="22"/>
                <w:lang w:val="en-US" w:eastAsia="zh-CN"/>
              </w:rPr>
            </w:pPr>
            <w:r>
              <w:rPr>
                <w:rFonts w:hint="eastAsia" w:ascii="仿宋" w:hAnsi="仿宋" w:eastAsia="仿宋"/>
                <w:sz w:val="22"/>
                <w:szCs w:val="22"/>
                <w:lang w:val="en-US" w:eastAsia="zh-CN"/>
              </w:rPr>
              <w:t>A组</w:t>
            </w:r>
          </w:p>
        </w:tc>
        <w:tc>
          <w:tcPr>
            <w:tcW w:w="1227" w:type="dxa"/>
            <w:vAlign w:val="center"/>
          </w:tcPr>
          <w:p>
            <w:pPr>
              <w:tabs>
                <w:tab w:val="left" w:pos="1778"/>
              </w:tabs>
              <w:jc w:val="center"/>
              <w:rPr>
                <w:rFonts w:hint="eastAsia" w:ascii="仿宋" w:hAnsi="仿宋" w:eastAsia="仿宋"/>
                <w:color w:val="000000"/>
                <w:szCs w:val="21"/>
              </w:rPr>
            </w:pPr>
            <w:r>
              <w:rPr>
                <w:rFonts w:hint="eastAsia" w:ascii="仿宋" w:hAnsi="仿宋" w:eastAsia="仿宋"/>
                <w:color w:val="000000"/>
                <w:sz w:val="22"/>
                <w:szCs w:val="22"/>
                <w:lang w:val="en-US" w:eastAsia="zh-CN"/>
              </w:rPr>
              <w:t>YHSX-T01</w:t>
            </w:r>
          </w:p>
        </w:tc>
        <w:tc>
          <w:tcPr>
            <w:tcW w:w="6576" w:type="dxa"/>
            <w:vMerge w:val="restart"/>
            <w:vAlign w:val="center"/>
          </w:tcPr>
          <w:p>
            <w:pPr>
              <w:tabs>
                <w:tab w:val="left" w:pos="1778"/>
              </w:tabs>
              <w:jc w:val="left"/>
              <w:rPr>
                <w:rFonts w:hint="eastAsia" w:ascii="仿宋" w:hAnsi="仿宋" w:eastAsia="仿宋"/>
                <w:color w:val="000000"/>
                <w:sz w:val="22"/>
                <w:szCs w:val="22"/>
              </w:rPr>
            </w:pPr>
            <w:r>
              <w:rPr>
                <w:rFonts w:hint="eastAsia" w:ascii="仿宋" w:hAnsi="仿宋" w:eastAsia="仿宋"/>
                <w:sz w:val="22"/>
                <w:szCs w:val="22"/>
                <w:lang w:val="en-US" w:eastAsia="zh-CN"/>
              </w:rPr>
              <w:t>2019年1月1日至投标截止时间，独立完成过不少于1个新建、改扩建高速公路项目隧道消防设施施工合同段业绩。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1227" w:type="dxa"/>
            <w:vMerge w:val="continue"/>
            <w:vAlign w:val="center"/>
          </w:tcPr>
          <w:p>
            <w:pPr>
              <w:tabs>
                <w:tab w:val="left" w:pos="1778"/>
              </w:tabs>
              <w:jc w:val="center"/>
              <w:rPr>
                <w:rFonts w:hint="eastAsia" w:ascii="仿宋" w:hAnsi="仿宋" w:eastAsia="仿宋"/>
                <w:sz w:val="22"/>
                <w:szCs w:val="22"/>
                <w:lang w:val="en-US" w:eastAsia="zh-CN"/>
              </w:rPr>
            </w:pPr>
          </w:p>
        </w:tc>
        <w:tc>
          <w:tcPr>
            <w:tcW w:w="1227" w:type="dxa"/>
            <w:vAlign w:val="center"/>
          </w:tcPr>
          <w:p>
            <w:pPr>
              <w:tabs>
                <w:tab w:val="left" w:pos="1778"/>
              </w:tabs>
              <w:jc w:val="center"/>
              <w:rPr>
                <w:rFonts w:hint="eastAsia" w:ascii="仿宋" w:hAnsi="仿宋" w:eastAsia="仿宋"/>
                <w:color w:val="000000"/>
                <w:sz w:val="22"/>
                <w:szCs w:val="22"/>
                <w:lang w:val="en-US" w:eastAsia="zh-CN"/>
              </w:rPr>
            </w:pPr>
            <w:r>
              <w:rPr>
                <w:rFonts w:hint="eastAsia" w:ascii="仿宋" w:hAnsi="仿宋" w:eastAsia="仿宋"/>
                <w:sz w:val="22"/>
                <w:szCs w:val="22"/>
                <w:lang w:val="en-US" w:eastAsia="zh-CN"/>
              </w:rPr>
              <w:t>YHSX-T02</w:t>
            </w:r>
          </w:p>
        </w:tc>
        <w:tc>
          <w:tcPr>
            <w:tcW w:w="6576" w:type="dxa"/>
            <w:vMerge w:val="continue"/>
            <w:vAlign w:val="center"/>
          </w:tcPr>
          <w:p>
            <w:pPr>
              <w:tabs>
                <w:tab w:val="left" w:pos="1778"/>
              </w:tabs>
              <w:jc w:val="left"/>
              <w:rPr>
                <w:rFonts w:hint="eastAsia" w:ascii="仿宋" w:hAnsi="仿宋" w:eastAsia="仿宋"/>
                <w:sz w:val="22"/>
                <w:szCs w:val="22"/>
                <w:lang w:val="en-US" w:eastAsia="zh-CN"/>
              </w:rPr>
            </w:pP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w:t>
      </w: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jc w:val="both"/>
        <w:textAlignment w:val="auto"/>
        <w:rPr>
          <w:rFonts w:hint="eastAsia" w:ascii="宋体" w:hAnsi="宋体" w:eastAsia="宋体" w:cs="宋体"/>
          <w:kern w:val="0"/>
          <w:sz w:val="24"/>
          <w:szCs w:val="24"/>
          <w:lang w:val="en-US" w:eastAsia="zh-CN"/>
        </w:rPr>
      </w:pP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（3）财务最低要求</w:t>
      </w:r>
    </w:p>
    <w:tbl>
      <w:tblPr>
        <w:tblStyle w:val="5"/>
        <w:tblW w:w="9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230"/>
        <w:gridCol w:w="6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blHeader/>
          <w:jc w:val="center"/>
        </w:trPr>
        <w:tc>
          <w:tcPr>
            <w:tcW w:w="1230" w:type="dxa"/>
            <w:vAlign w:val="center"/>
          </w:tcPr>
          <w:p>
            <w:pPr>
              <w:tabs>
                <w:tab w:val="left" w:pos="1778"/>
              </w:tabs>
              <w:jc w:val="center"/>
              <w:rPr>
                <w:rFonts w:hint="eastAsia" w:ascii="仿宋" w:hAnsi="仿宋" w:eastAsia="仿宋"/>
                <w:b/>
                <w:szCs w:val="21"/>
              </w:rPr>
            </w:pPr>
            <w:r>
              <w:rPr>
                <w:rFonts w:hint="eastAsia" w:ascii="仿宋" w:hAnsi="仿宋" w:eastAsia="仿宋"/>
                <w:b/>
                <w:szCs w:val="21"/>
                <w:lang w:val="en-US" w:eastAsia="zh-CN"/>
              </w:rPr>
              <w:t>组别</w:t>
            </w:r>
          </w:p>
        </w:tc>
        <w:tc>
          <w:tcPr>
            <w:tcW w:w="1230"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标段</w:t>
            </w:r>
          </w:p>
        </w:tc>
        <w:tc>
          <w:tcPr>
            <w:tcW w:w="6569"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230" w:type="dxa"/>
            <w:vMerge w:val="restart"/>
            <w:vAlign w:val="center"/>
          </w:tcPr>
          <w:p>
            <w:pPr>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A组</w:t>
            </w:r>
          </w:p>
        </w:tc>
        <w:tc>
          <w:tcPr>
            <w:tcW w:w="1230" w:type="dxa"/>
            <w:vAlign w:val="center"/>
          </w:tcPr>
          <w:p>
            <w:pPr>
              <w:jc w:val="center"/>
              <w:rPr>
                <w:rFonts w:hint="eastAsia" w:ascii="仿宋" w:hAnsi="仿宋" w:eastAsia="仿宋"/>
                <w:szCs w:val="21"/>
              </w:rPr>
            </w:pPr>
            <w:r>
              <w:rPr>
                <w:rFonts w:hint="eastAsia" w:ascii="仿宋" w:hAnsi="仿宋" w:eastAsia="仿宋"/>
                <w:sz w:val="22"/>
                <w:szCs w:val="22"/>
                <w:lang w:val="en-US" w:eastAsia="zh-CN"/>
              </w:rPr>
              <w:t>YHSX-T01</w:t>
            </w:r>
          </w:p>
        </w:tc>
        <w:tc>
          <w:tcPr>
            <w:tcW w:w="6569" w:type="dxa"/>
            <w:vMerge w:val="restart"/>
            <w:vAlign w:val="center"/>
          </w:tcPr>
          <w:p>
            <w:pPr>
              <w:jc w:val="left"/>
              <w:rPr>
                <w:rFonts w:hint="eastAsia" w:ascii="仿宋" w:hAnsi="仿宋" w:eastAsia="仿宋"/>
                <w:szCs w:val="21"/>
              </w:rPr>
            </w:pPr>
            <w:r>
              <w:rPr>
                <w:rFonts w:hint="eastAsia" w:ascii="仿宋" w:hAnsi="仿宋" w:eastAsia="仿宋"/>
                <w:sz w:val="22"/>
                <w:szCs w:val="22"/>
                <w:lang w:val="en-US" w:eastAsia="zh-CN"/>
              </w:rPr>
              <w:t>2020年、2021年、2022年每年的企业资产负债率均小于等于80%。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230" w:type="dxa"/>
            <w:vMerge w:val="continue"/>
            <w:vAlign w:val="center"/>
          </w:tcPr>
          <w:p>
            <w:pPr>
              <w:jc w:val="center"/>
              <w:rPr>
                <w:rFonts w:hint="eastAsia" w:ascii="仿宋" w:hAnsi="仿宋" w:eastAsia="仿宋"/>
                <w:sz w:val="22"/>
                <w:szCs w:val="22"/>
                <w:lang w:val="en-US" w:eastAsia="zh-CN"/>
              </w:rPr>
            </w:pPr>
          </w:p>
        </w:tc>
        <w:tc>
          <w:tcPr>
            <w:tcW w:w="1230" w:type="dxa"/>
            <w:vAlign w:val="center"/>
          </w:tcPr>
          <w:p>
            <w:pPr>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YHSX-T02</w:t>
            </w:r>
          </w:p>
        </w:tc>
        <w:tc>
          <w:tcPr>
            <w:tcW w:w="6569" w:type="dxa"/>
            <w:vMerge w:val="continue"/>
            <w:vAlign w:val="center"/>
          </w:tcPr>
          <w:p>
            <w:pPr>
              <w:jc w:val="left"/>
              <w:rPr>
                <w:rFonts w:hint="eastAsia" w:ascii="仿宋" w:hAnsi="仿宋" w:eastAsia="仿宋"/>
                <w:sz w:val="22"/>
                <w:szCs w:val="22"/>
                <w:lang w:val="en-US" w:eastAsia="zh-CN"/>
              </w:rPr>
            </w:pP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jc w:val="both"/>
        <w:textAlignment w:val="auto"/>
        <w:rPr>
          <w:rFonts w:hint="eastAsia" w:ascii="宋体" w:hAnsi="宋体" w:eastAsia="宋体" w:cs="宋体"/>
          <w:kern w:val="0"/>
          <w:sz w:val="24"/>
          <w:szCs w:val="24"/>
          <w:lang w:val="en-US" w:eastAsia="zh-CN"/>
        </w:rPr>
      </w:pP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（4）信誉最低要求</w:t>
      </w:r>
    </w:p>
    <w:tbl>
      <w:tblPr>
        <w:tblStyle w:val="5"/>
        <w:tblW w:w="9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222"/>
        <w:gridCol w:w="6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1222" w:type="dxa"/>
            <w:vAlign w:val="center"/>
          </w:tcPr>
          <w:p>
            <w:pPr>
              <w:tabs>
                <w:tab w:val="left" w:pos="1778"/>
              </w:tabs>
              <w:jc w:val="center"/>
              <w:rPr>
                <w:rFonts w:hint="eastAsia" w:ascii="仿宋" w:hAnsi="仿宋" w:eastAsia="仿宋"/>
                <w:b/>
                <w:szCs w:val="21"/>
              </w:rPr>
            </w:pPr>
            <w:r>
              <w:rPr>
                <w:rFonts w:hint="eastAsia" w:ascii="仿宋" w:hAnsi="仿宋" w:eastAsia="仿宋"/>
                <w:b/>
                <w:szCs w:val="21"/>
                <w:lang w:val="en-US" w:eastAsia="zh-CN"/>
              </w:rPr>
              <w:t>组别</w:t>
            </w:r>
          </w:p>
        </w:tc>
        <w:tc>
          <w:tcPr>
            <w:tcW w:w="1222"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标段</w:t>
            </w:r>
          </w:p>
        </w:tc>
        <w:tc>
          <w:tcPr>
            <w:tcW w:w="6587" w:type="dxa"/>
            <w:vAlign w:val="center"/>
          </w:tcPr>
          <w:p>
            <w:pPr>
              <w:tabs>
                <w:tab w:val="left" w:pos="1778"/>
              </w:tabs>
              <w:jc w:val="center"/>
              <w:rPr>
                <w:rFonts w:hint="eastAsia" w:ascii="仿宋" w:hAnsi="仿宋" w:eastAsia="仿宋"/>
                <w:b/>
                <w:szCs w:val="21"/>
              </w:rPr>
            </w:pPr>
            <w:r>
              <w:rPr>
                <w:rFonts w:hint="eastAsia" w:ascii="仿宋" w:hAnsi="仿宋" w:eastAsia="仿宋"/>
                <w:b/>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22" w:type="dxa"/>
            <w:vMerge w:val="restart"/>
            <w:vAlign w:val="center"/>
          </w:tcPr>
          <w:p>
            <w:pPr>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A组</w:t>
            </w:r>
          </w:p>
        </w:tc>
        <w:tc>
          <w:tcPr>
            <w:tcW w:w="1222" w:type="dxa"/>
            <w:vAlign w:val="center"/>
          </w:tcPr>
          <w:p>
            <w:pPr>
              <w:jc w:val="center"/>
              <w:rPr>
                <w:rFonts w:hint="eastAsia" w:ascii="仿宋" w:hAnsi="仿宋" w:eastAsia="仿宋"/>
                <w:szCs w:val="21"/>
              </w:rPr>
            </w:pPr>
            <w:r>
              <w:rPr>
                <w:rFonts w:hint="eastAsia" w:ascii="仿宋" w:hAnsi="仿宋" w:eastAsia="仿宋"/>
                <w:sz w:val="22"/>
                <w:szCs w:val="22"/>
                <w:lang w:val="en-US" w:eastAsia="zh-CN"/>
              </w:rPr>
              <w:t>YHSX-T01</w:t>
            </w:r>
          </w:p>
        </w:tc>
        <w:tc>
          <w:tcPr>
            <w:tcW w:w="6587" w:type="dxa"/>
            <w:vMerge w:val="restart"/>
            <w:vAlign w:val="center"/>
          </w:tcPr>
          <w:p>
            <w:pPr>
              <w:jc w:val="left"/>
              <w:rPr>
                <w:rFonts w:hint="eastAsia" w:ascii="仿宋" w:hAnsi="仿宋" w:eastAsia="仿宋"/>
                <w:color w:val="000000"/>
                <w:sz w:val="22"/>
                <w:szCs w:val="22"/>
                <w:lang w:val="en-US" w:eastAsia="zh-CN"/>
              </w:rPr>
            </w:pPr>
            <w:r>
              <w:rPr>
                <w:rFonts w:hint="eastAsia" w:ascii="仿宋" w:hAnsi="仿宋" w:eastAsia="仿宋"/>
                <w:color w:val="000000"/>
                <w:sz w:val="22"/>
                <w:szCs w:val="22"/>
                <w:lang w:val="en-US" w:eastAsia="zh-CN"/>
              </w:rPr>
              <w:t>1.未被交通运输部或陕西省交通运输厅列为信用评价D级或取消投标资格且在处罚期内。</w:t>
            </w:r>
          </w:p>
          <w:p>
            <w:pPr>
              <w:jc w:val="left"/>
              <w:rPr>
                <w:rFonts w:hint="eastAsia" w:ascii="仿宋" w:hAnsi="仿宋" w:eastAsia="仿宋"/>
                <w:szCs w:val="21"/>
              </w:rPr>
            </w:pPr>
            <w:r>
              <w:rPr>
                <w:rFonts w:hint="eastAsia" w:ascii="仿宋" w:hAnsi="仿宋" w:eastAsia="仿宋"/>
                <w:color w:val="000000"/>
                <w:sz w:val="22"/>
                <w:szCs w:val="22"/>
                <w:lang w:val="en-US" w:eastAsia="zh-CN"/>
              </w:rPr>
              <w:t>2.未被省级或以上建设主管部门取消项目所在地的投标资格或禁止进入该区域建设市场且在处罚期内。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22" w:type="dxa"/>
            <w:vMerge w:val="continue"/>
            <w:vAlign w:val="center"/>
          </w:tcPr>
          <w:p>
            <w:pPr>
              <w:jc w:val="center"/>
              <w:rPr>
                <w:rFonts w:hint="eastAsia" w:ascii="仿宋" w:hAnsi="仿宋" w:eastAsia="仿宋"/>
                <w:sz w:val="22"/>
                <w:szCs w:val="22"/>
                <w:lang w:val="en-US" w:eastAsia="zh-CN"/>
              </w:rPr>
            </w:pPr>
          </w:p>
        </w:tc>
        <w:tc>
          <w:tcPr>
            <w:tcW w:w="1222" w:type="dxa"/>
            <w:vAlign w:val="center"/>
          </w:tcPr>
          <w:p>
            <w:pPr>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YHSX-T02</w:t>
            </w:r>
          </w:p>
        </w:tc>
        <w:tc>
          <w:tcPr>
            <w:tcW w:w="6587" w:type="dxa"/>
            <w:vMerge w:val="continue"/>
            <w:vAlign w:val="center"/>
          </w:tcPr>
          <w:p>
            <w:pPr>
              <w:jc w:val="left"/>
              <w:rPr>
                <w:rFonts w:hint="eastAsia" w:ascii="仿宋" w:hAnsi="仿宋" w:eastAsia="仿宋"/>
                <w:sz w:val="22"/>
                <w:szCs w:val="22"/>
                <w:lang w:val="en-US" w:eastAsia="zh-CN"/>
              </w:rPr>
            </w:pP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ind w:left="504"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（5）项目经理和项目总工要求</w:t>
      </w:r>
    </w:p>
    <w:tbl>
      <w:tblPr>
        <w:tblStyle w:val="5"/>
        <w:tblW w:w="9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230"/>
        <w:gridCol w:w="630"/>
        <w:gridCol w:w="690"/>
        <w:gridCol w:w="4215"/>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0" w:type="dxa"/>
            <w:vAlign w:val="center"/>
          </w:tcPr>
          <w:p>
            <w:pPr>
              <w:tabs>
                <w:tab w:val="left" w:pos="1778"/>
              </w:tabs>
              <w:jc w:val="center"/>
              <w:rPr>
                <w:rFonts w:hint="eastAsia" w:ascii="仿宋" w:hAnsi="仿宋" w:eastAsia="仿宋" w:cs="Times New Roman"/>
                <w:b/>
                <w:szCs w:val="21"/>
                <w:lang w:val="en-US" w:eastAsia="zh-CN"/>
              </w:rPr>
            </w:pPr>
            <w:r>
              <w:rPr>
                <w:rFonts w:hint="eastAsia" w:ascii="仿宋" w:hAnsi="仿宋" w:eastAsia="仿宋" w:cs="Times New Roman"/>
                <w:b/>
                <w:szCs w:val="21"/>
                <w:lang w:val="en-US" w:eastAsia="zh-CN"/>
              </w:rPr>
              <w:t>组别</w:t>
            </w:r>
          </w:p>
        </w:tc>
        <w:tc>
          <w:tcPr>
            <w:tcW w:w="1230" w:type="dxa"/>
            <w:vAlign w:val="center"/>
          </w:tcPr>
          <w:p>
            <w:pPr>
              <w:tabs>
                <w:tab w:val="left" w:pos="1778"/>
              </w:tabs>
              <w:jc w:val="center"/>
              <w:rPr>
                <w:rFonts w:hint="eastAsia" w:ascii="仿宋" w:hAnsi="仿宋" w:eastAsia="仿宋" w:cs="Times New Roman"/>
                <w:b/>
                <w:szCs w:val="21"/>
                <w:lang w:val="en-US" w:eastAsia="zh-CN"/>
              </w:rPr>
            </w:pPr>
            <w:r>
              <w:rPr>
                <w:rFonts w:hint="eastAsia" w:ascii="仿宋" w:hAnsi="仿宋" w:eastAsia="仿宋" w:cs="Times New Roman"/>
                <w:b/>
                <w:szCs w:val="21"/>
                <w:lang w:val="en-US" w:eastAsia="zh-CN"/>
              </w:rPr>
              <w:t>标段</w:t>
            </w:r>
          </w:p>
        </w:tc>
        <w:tc>
          <w:tcPr>
            <w:tcW w:w="630" w:type="dxa"/>
            <w:vAlign w:val="center"/>
          </w:tcPr>
          <w:p>
            <w:pPr>
              <w:tabs>
                <w:tab w:val="left" w:pos="1778"/>
              </w:tabs>
              <w:jc w:val="center"/>
              <w:rPr>
                <w:rFonts w:hint="eastAsia" w:ascii="仿宋" w:hAnsi="仿宋" w:eastAsia="仿宋" w:cs="Times New Roman"/>
                <w:b/>
                <w:szCs w:val="21"/>
                <w:lang w:val="en-US" w:eastAsia="zh-CN"/>
              </w:rPr>
            </w:pPr>
            <w:r>
              <w:rPr>
                <w:rFonts w:hint="eastAsia" w:ascii="仿宋" w:hAnsi="仿宋" w:eastAsia="仿宋" w:cs="Times New Roman"/>
                <w:b/>
                <w:szCs w:val="21"/>
                <w:lang w:val="en-US" w:eastAsia="zh-CN"/>
              </w:rPr>
              <w:t>人员</w:t>
            </w:r>
          </w:p>
        </w:tc>
        <w:tc>
          <w:tcPr>
            <w:tcW w:w="690" w:type="dxa"/>
            <w:vAlign w:val="center"/>
          </w:tcPr>
          <w:p>
            <w:pPr>
              <w:tabs>
                <w:tab w:val="left" w:pos="1778"/>
              </w:tabs>
              <w:jc w:val="center"/>
              <w:rPr>
                <w:rFonts w:hint="eastAsia" w:ascii="仿宋" w:hAnsi="仿宋" w:eastAsia="仿宋" w:cs="Times New Roman"/>
                <w:b/>
                <w:szCs w:val="21"/>
                <w:lang w:val="en-US" w:eastAsia="zh-CN"/>
              </w:rPr>
            </w:pPr>
            <w:r>
              <w:rPr>
                <w:rFonts w:hint="eastAsia" w:ascii="仿宋" w:hAnsi="仿宋" w:eastAsia="仿宋" w:cs="Times New Roman"/>
                <w:b/>
                <w:szCs w:val="21"/>
                <w:lang w:val="en-US" w:eastAsia="zh-CN"/>
              </w:rPr>
              <w:t>数量</w:t>
            </w:r>
          </w:p>
        </w:tc>
        <w:tc>
          <w:tcPr>
            <w:tcW w:w="4215" w:type="dxa"/>
            <w:vAlign w:val="center"/>
          </w:tcPr>
          <w:p>
            <w:pPr>
              <w:tabs>
                <w:tab w:val="left" w:pos="1778"/>
              </w:tabs>
              <w:jc w:val="center"/>
              <w:rPr>
                <w:rFonts w:hint="eastAsia" w:ascii="仿宋" w:hAnsi="仿宋" w:eastAsia="仿宋" w:cs="Times New Roman"/>
                <w:b/>
                <w:szCs w:val="21"/>
                <w:lang w:val="en-US" w:eastAsia="zh-CN"/>
              </w:rPr>
            </w:pPr>
            <w:r>
              <w:rPr>
                <w:rFonts w:hint="eastAsia" w:ascii="仿宋" w:hAnsi="仿宋" w:eastAsia="仿宋" w:cs="Times New Roman"/>
                <w:b/>
                <w:szCs w:val="21"/>
                <w:lang w:val="en-US" w:eastAsia="zh-CN"/>
              </w:rPr>
              <w:t>资 格 要 求</w:t>
            </w:r>
          </w:p>
        </w:tc>
        <w:tc>
          <w:tcPr>
            <w:tcW w:w="1574" w:type="dxa"/>
            <w:vAlign w:val="center"/>
          </w:tcPr>
          <w:p>
            <w:pPr>
              <w:tabs>
                <w:tab w:val="left" w:pos="1778"/>
              </w:tabs>
              <w:jc w:val="center"/>
              <w:rPr>
                <w:rFonts w:hint="eastAsia" w:ascii="仿宋" w:hAnsi="仿宋" w:eastAsia="仿宋" w:cs="Times New Roman"/>
                <w:b/>
                <w:szCs w:val="21"/>
                <w:lang w:val="en-US" w:eastAsia="zh-CN"/>
              </w:rPr>
            </w:pPr>
            <w:r>
              <w:rPr>
                <w:rFonts w:hint="eastAsia" w:ascii="仿宋" w:hAnsi="仿宋" w:eastAsia="仿宋" w:cs="Times New Roman"/>
                <w:b/>
                <w:szCs w:val="21"/>
                <w:lang w:val="en-US" w:eastAsia="zh-CN"/>
              </w:rPr>
              <w:t>在岗要求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0" w:type="dxa"/>
            <w:vMerge w:val="restart"/>
            <w:vAlign w:val="center"/>
          </w:tcPr>
          <w:p>
            <w:pPr>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A组</w:t>
            </w:r>
          </w:p>
        </w:tc>
        <w:tc>
          <w:tcPr>
            <w:tcW w:w="1230" w:type="dxa"/>
            <w:vMerge w:val="restart"/>
            <w:vAlign w:val="center"/>
          </w:tcPr>
          <w:p>
            <w:pPr>
              <w:tabs>
                <w:tab w:val="left" w:pos="1778"/>
              </w:tabs>
              <w:jc w:val="center"/>
              <w:rPr>
                <w:rFonts w:hint="eastAsia" w:ascii="仿宋" w:hAnsi="仿宋" w:eastAsia="仿宋"/>
                <w:sz w:val="22"/>
                <w:szCs w:val="22"/>
                <w:lang w:val="en-US" w:eastAsia="zh-CN"/>
              </w:rPr>
            </w:pPr>
            <w:r>
              <w:rPr>
                <w:rFonts w:hint="eastAsia" w:ascii="仿宋" w:hAnsi="仿宋" w:eastAsia="仿宋"/>
                <w:sz w:val="22"/>
                <w:szCs w:val="22"/>
                <w:lang w:val="en-US" w:eastAsia="zh-CN"/>
              </w:rPr>
              <w:t>YHSX-T01</w:t>
            </w:r>
          </w:p>
          <w:p>
            <w:pPr>
              <w:tabs>
                <w:tab w:val="left" w:pos="1778"/>
              </w:tabs>
              <w:jc w:val="center"/>
              <w:rPr>
                <w:rFonts w:hint="eastAsia" w:ascii="宋体" w:hAnsi="宋体"/>
                <w:color w:val="000000"/>
                <w:szCs w:val="21"/>
              </w:rPr>
            </w:pPr>
            <w:r>
              <w:rPr>
                <w:rFonts w:hint="eastAsia" w:ascii="仿宋" w:hAnsi="仿宋" w:eastAsia="仿宋"/>
                <w:sz w:val="22"/>
                <w:szCs w:val="22"/>
                <w:lang w:val="en-US" w:eastAsia="zh-CN"/>
              </w:rPr>
              <w:t>YHSX-T02</w:t>
            </w:r>
          </w:p>
        </w:tc>
        <w:tc>
          <w:tcPr>
            <w:tcW w:w="630" w:type="dxa"/>
            <w:vAlign w:val="center"/>
          </w:tcPr>
          <w:p>
            <w:pPr>
              <w:tabs>
                <w:tab w:val="left" w:pos="1778"/>
              </w:tabs>
              <w:jc w:val="center"/>
              <w:rPr>
                <w:rFonts w:hint="eastAsia" w:ascii="仿宋" w:hAnsi="仿宋" w:eastAsia="仿宋" w:cs="Times New Roman"/>
                <w:sz w:val="22"/>
                <w:szCs w:val="22"/>
                <w:lang w:val="en-US" w:eastAsia="zh-CN"/>
              </w:rPr>
            </w:pPr>
            <w:r>
              <w:rPr>
                <w:rFonts w:hint="eastAsia" w:ascii="仿宋" w:hAnsi="仿宋" w:eastAsia="仿宋" w:cs="Times New Roman"/>
                <w:sz w:val="22"/>
                <w:szCs w:val="22"/>
                <w:lang w:val="en-US" w:eastAsia="zh-CN"/>
              </w:rPr>
              <w:t>项目经理</w:t>
            </w:r>
          </w:p>
        </w:tc>
        <w:tc>
          <w:tcPr>
            <w:tcW w:w="690" w:type="dxa"/>
            <w:vAlign w:val="center"/>
          </w:tcPr>
          <w:p>
            <w:pPr>
              <w:tabs>
                <w:tab w:val="left" w:pos="1778"/>
              </w:tabs>
              <w:jc w:val="center"/>
              <w:rPr>
                <w:rFonts w:hint="eastAsia" w:ascii="仿宋" w:hAnsi="仿宋" w:eastAsia="仿宋" w:cs="Times New Roman"/>
                <w:sz w:val="22"/>
                <w:szCs w:val="22"/>
                <w:lang w:val="en-US" w:eastAsia="zh-CN"/>
              </w:rPr>
            </w:pPr>
            <w:r>
              <w:rPr>
                <w:rFonts w:hint="eastAsia" w:ascii="仿宋" w:hAnsi="仿宋" w:eastAsia="仿宋" w:cs="Times New Roman"/>
                <w:sz w:val="22"/>
                <w:szCs w:val="22"/>
                <w:lang w:val="en-US" w:eastAsia="zh-CN"/>
              </w:rPr>
              <w:t>1人</w:t>
            </w:r>
          </w:p>
        </w:tc>
        <w:tc>
          <w:tcPr>
            <w:tcW w:w="4215" w:type="dxa"/>
            <w:vAlign w:val="center"/>
          </w:tcPr>
          <w:p>
            <w:pPr>
              <w:jc w:val="left"/>
              <w:textAlignment w:val="top"/>
              <w:rPr>
                <w:rFonts w:hint="eastAsia" w:ascii="宋体" w:hAnsi="宋体" w:cs="宋体"/>
                <w:color w:val="000000"/>
                <w:szCs w:val="21"/>
              </w:rPr>
            </w:pPr>
            <w:r>
              <w:rPr>
                <w:rFonts w:hint="eastAsia" w:ascii="仿宋" w:hAnsi="仿宋" w:eastAsia="仿宋"/>
                <w:color w:val="000000"/>
                <w:sz w:val="22"/>
                <w:szCs w:val="22"/>
                <w:lang w:val="en-US" w:eastAsia="zh-CN"/>
              </w:rPr>
              <w:t>中级或以上技术职称；持有机电工程专业一级建造师证书，且注册单位须为投标人，2019年1月1日至投标截止时间（以交工验收时间为准），至少担任过1个新建、改扩建高速公路项目隧道消防设施施工合同段项目经理，持有</w:t>
            </w:r>
            <w:r>
              <w:rPr>
                <w:rFonts w:hint="eastAsia" w:ascii="仿宋" w:hAnsi="仿宋" w:eastAsia="仿宋" w:cs="Times New Roman"/>
                <w:color w:val="000000"/>
                <w:sz w:val="22"/>
                <w:szCs w:val="22"/>
                <w:lang w:val="zh-CN" w:eastAsia="zh-CN"/>
              </w:rPr>
              <w:t>省级或以上</w:t>
            </w:r>
            <w:r>
              <w:rPr>
                <w:rFonts w:hint="eastAsia" w:ascii="仿宋" w:hAnsi="仿宋" w:eastAsia="仿宋" w:cs="Times New Roman"/>
                <w:color w:val="000000"/>
                <w:sz w:val="22"/>
                <w:szCs w:val="22"/>
                <w:lang w:val="en-US" w:eastAsia="zh-CN"/>
              </w:rPr>
              <w:t>交通主管部门或</w:t>
            </w:r>
            <w:r>
              <w:rPr>
                <w:rFonts w:hint="eastAsia" w:ascii="仿宋" w:hAnsi="仿宋" w:eastAsia="仿宋" w:cs="Times New Roman"/>
                <w:color w:val="000000"/>
                <w:sz w:val="22"/>
                <w:szCs w:val="22"/>
                <w:lang w:val="zh-CN" w:eastAsia="zh-CN"/>
              </w:rPr>
              <w:t>建设主管部门</w:t>
            </w:r>
            <w:r>
              <w:rPr>
                <w:rFonts w:hint="eastAsia" w:ascii="仿宋" w:hAnsi="仿宋" w:eastAsia="仿宋" w:cs="Times New Roman"/>
                <w:color w:val="000000"/>
                <w:sz w:val="22"/>
                <w:szCs w:val="22"/>
                <w:lang w:val="en-US" w:eastAsia="zh-CN"/>
              </w:rPr>
              <w:t>核发的</w:t>
            </w:r>
            <w:r>
              <w:rPr>
                <w:rFonts w:hint="eastAsia" w:ascii="仿宋" w:hAnsi="仿宋" w:eastAsia="仿宋"/>
                <w:color w:val="000000"/>
                <w:sz w:val="22"/>
                <w:szCs w:val="22"/>
                <w:lang w:val="en-US" w:eastAsia="zh-CN"/>
              </w:rPr>
              <w:t>有效的安全考核合格证书（B级）。</w:t>
            </w:r>
          </w:p>
        </w:tc>
        <w:tc>
          <w:tcPr>
            <w:tcW w:w="1574" w:type="dxa"/>
            <w:vMerge w:val="restart"/>
            <w:vAlign w:val="center"/>
          </w:tcPr>
          <w:p>
            <w:pPr>
              <w:jc w:val="left"/>
              <w:textAlignment w:val="top"/>
              <w:rPr>
                <w:rFonts w:hint="eastAsia" w:ascii="宋体" w:hAnsi="宋体" w:cs="宋体"/>
                <w:color w:val="000000"/>
                <w:szCs w:val="21"/>
              </w:rPr>
            </w:pPr>
            <w:r>
              <w:rPr>
                <w:rFonts w:hint="eastAsia" w:ascii="仿宋" w:hAnsi="仿宋" w:eastAsia="仿宋"/>
                <w:sz w:val="22"/>
                <w:szCs w:val="22"/>
                <w:lang w:val="en-US" w:eastAsia="zh-CN"/>
              </w:rPr>
              <w:t>无在岗项目（指目前未在其他项目上任职，或虽在其他项目上任职但本项目中标后能够从该项目撤离）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0" w:type="dxa"/>
            <w:vMerge w:val="continue"/>
            <w:vAlign w:val="center"/>
          </w:tcPr>
          <w:p>
            <w:pPr>
              <w:tabs>
                <w:tab w:val="left" w:pos="1778"/>
              </w:tabs>
              <w:jc w:val="center"/>
              <w:rPr>
                <w:rFonts w:hint="eastAsia" w:ascii="宋体" w:hAnsi="宋体"/>
                <w:color w:val="000000"/>
                <w:szCs w:val="21"/>
              </w:rPr>
            </w:pPr>
          </w:p>
        </w:tc>
        <w:tc>
          <w:tcPr>
            <w:tcW w:w="1230" w:type="dxa"/>
            <w:vMerge w:val="continue"/>
            <w:vAlign w:val="center"/>
          </w:tcPr>
          <w:p>
            <w:pPr>
              <w:tabs>
                <w:tab w:val="left" w:pos="1778"/>
              </w:tabs>
              <w:jc w:val="center"/>
              <w:rPr>
                <w:rFonts w:hint="eastAsia" w:ascii="宋体" w:hAnsi="宋体"/>
                <w:color w:val="000000"/>
                <w:szCs w:val="21"/>
              </w:rPr>
            </w:pPr>
          </w:p>
        </w:tc>
        <w:tc>
          <w:tcPr>
            <w:tcW w:w="630" w:type="dxa"/>
            <w:vAlign w:val="center"/>
          </w:tcPr>
          <w:p>
            <w:pPr>
              <w:tabs>
                <w:tab w:val="left" w:pos="1778"/>
              </w:tabs>
              <w:jc w:val="center"/>
              <w:rPr>
                <w:rFonts w:hint="eastAsia" w:ascii="仿宋" w:hAnsi="仿宋" w:eastAsia="仿宋" w:cs="Times New Roman"/>
                <w:sz w:val="22"/>
                <w:szCs w:val="22"/>
                <w:lang w:val="en-US" w:eastAsia="zh-CN"/>
              </w:rPr>
            </w:pPr>
            <w:r>
              <w:rPr>
                <w:rFonts w:hint="eastAsia" w:ascii="仿宋" w:hAnsi="仿宋" w:eastAsia="仿宋" w:cs="Times New Roman"/>
                <w:sz w:val="22"/>
                <w:szCs w:val="22"/>
                <w:lang w:val="en-US" w:eastAsia="zh-CN"/>
              </w:rPr>
              <w:t>项目总工</w:t>
            </w:r>
          </w:p>
        </w:tc>
        <w:tc>
          <w:tcPr>
            <w:tcW w:w="690" w:type="dxa"/>
            <w:vAlign w:val="center"/>
          </w:tcPr>
          <w:p>
            <w:pPr>
              <w:tabs>
                <w:tab w:val="left" w:pos="1778"/>
              </w:tabs>
              <w:jc w:val="center"/>
              <w:rPr>
                <w:rFonts w:hint="eastAsia" w:ascii="仿宋" w:hAnsi="仿宋" w:eastAsia="仿宋" w:cs="Times New Roman"/>
                <w:sz w:val="22"/>
                <w:szCs w:val="22"/>
                <w:lang w:val="en-US" w:eastAsia="zh-CN"/>
              </w:rPr>
            </w:pPr>
            <w:r>
              <w:rPr>
                <w:rFonts w:hint="eastAsia" w:ascii="仿宋" w:hAnsi="仿宋" w:eastAsia="仿宋" w:cs="Times New Roman"/>
                <w:sz w:val="22"/>
                <w:szCs w:val="22"/>
                <w:lang w:val="en-US" w:eastAsia="zh-CN"/>
              </w:rPr>
              <w:t>1人</w:t>
            </w:r>
          </w:p>
        </w:tc>
        <w:tc>
          <w:tcPr>
            <w:tcW w:w="4215" w:type="dxa"/>
            <w:vAlign w:val="center"/>
          </w:tcPr>
          <w:p>
            <w:pPr>
              <w:jc w:val="left"/>
              <w:textAlignment w:val="top"/>
              <w:rPr>
                <w:rFonts w:hint="eastAsia" w:ascii="宋体" w:hAnsi="宋体" w:cs="宋体"/>
                <w:color w:val="000000"/>
                <w:szCs w:val="21"/>
              </w:rPr>
            </w:pPr>
            <w:r>
              <w:rPr>
                <w:rFonts w:hint="eastAsia" w:ascii="仿宋" w:hAnsi="仿宋" w:eastAsia="仿宋"/>
                <w:color w:val="000000"/>
                <w:sz w:val="22"/>
                <w:szCs w:val="22"/>
                <w:lang w:val="en-US" w:eastAsia="zh-CN"/>
              </w:rPr>
              <w:t>具</w:t>
            </w:r>
            <w:r>
              <w:rPr>
                <w:rFonts w:hint="eastAsia" w:ascii="仿宋" w:hAnsi="仿宋" w:eastAsia="仿宋"/>
                <w:color w:val="000000"/>
                <w:sz w:val="22"/>
                <w:szCs w:val="22"/>
                <w:highlight w:val="none"/>
                <w:lang w:val="en-US" w:eastAsia="zh-CN"/>
              </w:rPr>
              <w:t>有机电工程或公路工程相关专业高</w:t>
            </w:r>
            <w:r>
              <w:rPr>
                <w:rFonts w:hint="eastAsia" w:ascii="仿宋" w:hAnsi="仿宋" w:eastAsia="仿宋"/>
                <w:color w:val="000000"/>
                <w:sz w:val="22"/>
                <w:szCs w:val="22"/>
                <w:lang w:val="en-US" w:eastAsia="zh-CN"/>
              </w:rPr>
              <w:t>级或以上技术职称，2019年1月1日至投标截止时间（以交工验收时间为准），至少担任过1个新建、改扩建高速公路项目隧道消防设施施工合同段项目总工，持有省级或以上</w:t>
            </w:r>
            <w:r>
              <w:rPr>
                <w:rFonts w:hint="eastAsia" w:ascii="仿宋" w:hAnsi="仿宋" w:eastAsia="仿宋" w:cs="Times New Roman"/>
                <w:color w:val="000000"/>
                <w:sz w:val="22"/>
                <w:szCs w:val="22"/>
                <w:lang w:val="en-US" w:eastAsia="zh-CN"/>
              </w:rPr>
              <w:t>交通主管部门或</w:t>
            </w:r>
            <w:r>
              <w:rPr>
                <w:rFonts w:hint="eastAsia" w:ascii="仿宋" w:hAnsi="仿宋" w:eastAsia="仿宋"/>
                <w:color w:val="000000"/>
                <w:sz w:val="22"/>
                <w:szCs w:val="22"/>
                <w:lang w:val="zh-CN" w:eastAsia="zh-CN"/>
              </w:rPr>
              <w:t>建设主管部门</w:t>
            </w:r>
            <w:r>
              <w:rPr>
                <w:rFonts w:hint="eastAsia" w:ascii="仿宋" w:hAnsi="仿宋" w:eastAsia="仿宋"/>
                <w:color w:val="000000"/>
                <w:sz w:val="22"/>
                <w:szCs w:val="22"/>
                <w:lang w:val="en-US" w:eastAsia="zh-CN"/>
              </w:rPr>
              <w:t>核发的有效的安全考核合格证书（B级）。</w:t>
            </w:r>
          </w:p>
        </w:tc>
        <w:tc>
          <w:tcPr>
            <w:tcW w:w="1574" w:type="dxa"/>
            <w:vMerge w:val="continue"/>
            <w:vAlign w:val="center"/>
          </w:tcPr>
          <w:p>
            <w:pPr>
              <w:jc w:val="left"/>
              <w:textAlignment w:val="top"/>
              <w:rPr>
                <w:rFonts w:hint="eastAsia" w:ascii="宋体" w:hAnsi="宋体" w:cs="宋体"/>
                <w:color w:val="000000"/>
                <w:szCs w:val="21"/>
              </w:rPr>
            </w:pP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说明：业绩的完成和时间要求以交工验收为准。</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拟投入的其他管理人员和技术人员，在投标时不需填报，但须按招标文件规定做出相关承诺。人员最低要求在招标文件提供的合同附件中明确，具体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pPr>
        <w:spacing w:line="360" w:lineRule="auto"/>
        <w:ind w:firstLine="480" w:firstLineChars="200"/>
        <w:contextualSpacing/>
        <w:rPr>
          <w:rFonts w:hint="eastAsia" w:ascii="仿宋" w:hAnsi="仿宋" w:eastAsia="仿宋" w:cs="仿宋_GB2312"/>
          <w:sz w:val="32"/>
          <w:szCs w:val="32"/>
          <w:lang w:val="en-US" w:eastAsia="zh-CN"/>
        </w:rPr>
      </w:pPr>
      <w:r>
        <w:rPr>
          <w:rFonts w:hint="eastAsia" w:ascii="宋体" w:hAnsi="宋体" w:eastAsia="宋体" w:cs="黑体"/>
          <w:color w:val="auto"/>
          <w:kern w:val="0"/>
          <w:sz w:val="24"/>
          <w:szCs w:val="24"/>
          <w:highlight w:val="none"/>
          <w:lang w:val="en-US" w:eastAsia="zh-CN" w:bidi="ar-SA"/>
        </w:rPr>
        <w:t>（7）拟投入的主要机械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2.投标人应已在住房和城乡建设部“全国建筑市场监管公共服务平台”中登记，且投标人名称和资质与该平台中的相应企业名称和资质完全一致。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3.本次招标不接受联合体投标。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lang w:val="en-US" w:eastAsia="zh-CN"/>
        </w:rPr>
      </w:pPr>
      <w:r>
        <w:rPr>
          <w:rFonts w:hint="eastAsia" w:ascii="宋体" w:hAnsi="宋体" w:eastAsia="宋体" w:cs="黑体"/>
          <w:color w:val="auto"/>
          <w:kern w:val="0"/>
          <w:sz w:val="24"/>
          <w:szCs w:val="24"/>
          <w:highlight w:val="none"/>
          <w:lang w:val="en-US" w:eastAsia="zh-CN" w:bidi="ar-SA"/>
        </w:rPr>
        <w:t>4.在“信用中国”网站中被列入失信被执行人名单的投标人，不得参加投标。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5.与招标人存在利害关系可能影响招标公正性的单位，不得参加投标。单位负责人为同一人或者存在控股、管理关系的不同单位可以同时参加同一组别投标，但该组别中通过第一个信封（商务及技术文件）评审的投标人数量不得超过组别内的标段数量。本次招标，若组别内具有上述关联关系且满足通过商务及技术文件初步评审要求的投标人数量大于2个，则按其填报的符合评审要求的项目业绩的累计合同金额由高到低进行排序，选择排序前2名的关联关系投标人最终通过第一个信封（商务及技术文件）评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6.投标人按组别进行投标，每个投标人只允许获得1个标段的中标资格。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_GB2312"/>
          <w:sz w:val="32"/>
          <w:szCs w:val="32"/>
          <w:lang w:val="en-US" w:eastAsia="zh-CN"/>
        </w:rPr>
      </w:pPr>
      <w:r>
        <w:rPr>
          <w:rFonts w:hint="eastAsia" w:ascii="宋体" w:hAnsi="宋体" w:eastAsia="宋体" w:cs="黑体"/>
          <w:color w:val="auto"/>
          <w:kern w:val="0"/>
          <w:sz w:val="24"/>
          <w:szCs w:val="24"/>
          <w:highlight w:val="none"/>
          <w:lang w:val="en-US" w:eastAsia="zh-CN" w:bidi="ar-SA"/>
        </w:rPr>
        <w:t>7.投标保证金：每个投标人15万元人民币；投标保证金形式：现金或银行保函。</w:t>
      </w:r>
    </w:p>
    <w:p>
      <w:pPr>
        <w:keepNext w:val="0"/>
        <w:keepLines w:val="0"/>
        <w:pageBreakBefore w:val="0"/>
        <w:widowControl w:val="0"/>
        <w:kinsoku/>
        <w:wordWrap/>
        <w:overflowPunct/>
        <w:topLinePunct w:val="0"/>
        <w:autoSpaceDE/>
        <w:autoSpaceDN/>
        <w:bidi w:val="0"/>
        <w:adjustRightInd/>
        <w:snapToGrid/>
        <w:spacing w:line="500" w:lineRule="exact"/>
        <w:ind w:left="479" w:leftChars="228" w:firstLine="0" w:firstLineChars="0"/>
        <w:textAlignment w:val="auto"/>
        <w:rPr>
          <w:rFonts w:hint="eastAsia" w:ascii="宋体" w:hAnsi="宋体" w:eastAsia="宋体" w:cs="黑体"/>
          <w:b/>
          <w:kern w:val="0"/>
          <w:sz w:val="28"/>
          <w:szCs w:val="28"/>
          <w:lang w:val="en-US" w:eastAsia="zh-CN" w:bidi="ar-SA"/>
        </w:rPr>
      </w:pPr>
      <w:r>
        <w:rPr>
          <w:rFonts w:hint="eastAsia" w:ascii="宋体" w:hAnsi="宋体" w:eastAsia="宋体" w:cs="黑体"/>
          <w:b/>
          <w:kern w:val="0"/>
          <w:sz w:val="28"/>
          <w:szCs w:val="28"/>
          <w:lang w:val="en-US" w:eastAsia="zh-CN" w:bidi="ar-SA"/>
        </w:rPr>
        <w:t>三、</w:t>
      </w:r>
      <w:bookmarkStart w:id="4" w:name="bookmark126"/>
      <w:r>
        <w:rPr>
          <w:rFonts w:hint="eastAsia" w:ascii="宋体" w:hAnsi="宋体" w:eastAsia="宋体" w:cs="黑体"/>
          <w:b/>
          <w:kern w:val="0"/>
          <w:sz w:val="28"/>
          <w:szCs w:val="28"/>
          <w:lang w:val="en-US" w:eastAsia="zh-CN" w:bidi="ar-SA"/>
        </w:rPr>
        <w:t>‌‌‌评标办法（</w:t>
      </w:r>
      <w:r>
        <w:rPr>
          <w:rFonts w:hint="eastAsia" w:ascii="宋体" w:hAnsi="宋体" w:eastAsia="宋体" w:cs="黑体"/>
          <w:color w:val="auto"/>
          <w:kern w:val="0"/>
          <w:sz w:val="24"/>
          <w:szCs w:val="24"/>
          <w:highlight w:val="none"/>
          <w:lang w:val="en-US" w:eastAsia="zh-CN" w:bidi="ar-SA"/>
        </w:rPr>
        <w:t>采用按类分组、资格后审、随机组合开标、技术评分最低价法评标</w:t>
      </w:r>
      <w:r>
        <w:rPr>
          <w:rFonts w:hint="eastAsia" w:ascii="宋体" w:hAnsi="宋体" w:eastAsia="宋体" w:cs="黑体"/>
          <w:b/>
          <w:kern w:val="0"/>
          <w:sz w:val="28"/>
          <w:szCs w:val="28"/>
          <w:lang w:val="en-US" w:eastAsia="zh-CN" w:bidi="ar-SA"/>
        </w:rPr>
        <w:t>）</w:t>
      </w:r>
      <w:bookmarkEnd w:id="4"/>
    </w:p>
    <w:p>
      <w:pPr>
        <w:pStyle w:val="3"/>
        <w:jc w:val="both"/>
        <w:rPr>
          <w:rFonts w:hint="eastAsia"/>
          <w:lang w:val="en-US" w:eastAsia="zh-CN"/>
        </w:rPr>
      </w:pPr>
      <w:r>
        <w:rPr>
          <w:rFonts w:hint="eastAsia" w:ascii="宋体" w:hAnsi="宋体" w:eastAsia="宋体" w:cs="黑体"/>
          <w:b/>
          <w:color w:val="auto"/>
          <w:kern w:val="0"/>
          <w:sz w:val="28"/>
          <w:szCs w:val="28"/>
          <w:lang w:val="en-US" w:eastAsia="zh-CN" w:bidi="ar-SA"/>
        </w:rPr>
        <w:t>（一）评标方法</w:t>
      </w:r>
    </w:p>
    <w:tbl>
      <w:tblPr>
        <w:tblStyle w:val="5"/>
        <w:tblW w:w="9082" w:type="dxa"/>
        <w:jc w:val="center"/>
        <w:tblLayout w:type="fixed"/>
        <w:tblCellMar>
          <w:top w:w="0" w:type="dxa"/>
          <w:left w:w="10" w:type="dxa"/>
          <w:bottom w:w="0" w:type="dxa"/>
          <w:right w:w="10" w:type="dxa"/>
        </w:tblCellMar>
      </w:tblPr>
      <w:tblGrid>
        <w:gridCol w:w="1037"/>
        <w:gridCol w:w="1785"/>
        <w:gridCol w:w="6260"/>
      </w:tblGrid>
      <w:tr>
        <w:tblPrEx>
          <w:tblCellMar>
            <w:top w:w="0" w:type="dxa"/>
            <w:left w:w="10" w:type="dxa"/>
            <w:bottom w:w="0" w:type="dxa"/>
            <w:right w:w="10" w:type="dxa"/>
          </w:tblCellMar>
        </w:tblPrEx>
        <w:trPr>
          <w:tblHeader/>
          <w:jc w:val="center"/>
        </w:trPr>
        <w:tc>
          <w:tcPr>
            <w:tcW w:w="2822" w:type="dxa"/>
            <w:gridSpan w:val="2"/>
            <w:tcBorders>
              <w:top w:val="single" w:color="auto" w:sz="4" w:space="0"/>
              <w:lef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条款号</w:t>
            </w:r>
          </w:p>
        </w:tc>
        <w:tc>
          <w:tcPr>
            <w:tcW w:w="6260" w:type="dxa"/>
            <w:tcBorders>
              <w:top w:val="single" w:color="auto" w:sz="4" w:space="0"/>
              <w:left w:val="single" w:color="auto" w:sz="4" w:space="0"/>
              <w:righ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评审因素与评审标准</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iCs/>
                <w:sz w:val="21"/>
                <w:szCs w:val="21"/>
                <w:highlight w:val="none"/>
              </w:rPr>
            </w:pPr>
            <w:r>
              <w:rPr>
                <w:rStyle w:val="11"/>
                <w:rFonts w:hint="eastAsia"/>
                <w:i w:val="0"/>
                <w:color w:val="auto"/>
                <w:spacing w:val="0"/>
                <w:sz w:val="21"/>
                <w:szCs w:val="21"/>
                <w:highlight w:val="none"/>
                <w:lang w:val="zh-TW"/>
              </w:rPr>
              <w:t>1</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iCs/>
                <w:sz w:val="21"/>
                <w:szCs w:val="21"/>
                <w:highlight w:val="none"/>
              </w:rPr>
            </w:pPr>
            <w:r>
              <w:rPr>
                <w:rStyle w:val="11"/>
                <w:rFonts w:hint="eastAsia"/>
                <w:i w:val="0"/>
                <w:color w:val="auto"/>
                <w:spacing w:val="0"/>
                <w:sz w:val="21"/>
                <w:szCs w:val="21"/>
                <w:highlight w:val="none"/>
              </w:rPr>
              <w:t>评标</w:t>
            </w:r>
            <w:r>
              <w:rPr>
                <w:rStyle w:val="11"/>
                <w:rFonts w:hint="eastAsia"/>
                <w:i w:val="0"/>
                <w:color w:val="auto"/>
                <w:spacing w:val="0"/>
                <w:sz w:val="21"/>
                <w:szCs w:val="21"/>
                <w:highlight w:val="none"/>
                <w:lang w:val="zh-TW"/>
              </w:rPr>
              <w:t>方法</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本次采用按类分组、资格后审、随机组合开标、技术评分最低价法评标。评标委员会对满足招标文件实质性要求的投标文件的施工组织设计、主要管理人员、技术能力、履约信誉、业绩等因素进行评分，按照得分由高到低排序，对排名前10名的投标人随机组合分配标段，按分配结果对每标段5名投标人的报价文件进行评审，按评标价由低到高的顺序推荐中标候选人。商务和技术得分相等时，施工组织设计得分高的投标人优先，但投标报价低于其成本的除外。</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商务和技术得分相等时，评标委员会依次按以下优先顺序进行排序：</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（1）履约信誉得分较高的投标人优先；</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（2）施工组织设计得分较高的投标人优先。</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评标价相等时，评标委员会依次按以下优先顺序进行排序：</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（1）履约信誉得分较高的投标人优先；</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（2）商务和技术得分较高的投标人优先；</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（3）施工组织设计得分较高的投标人优先。</w:t>
            </w:r>
          </w:p>
        </w:tc>
      </w:tr>
    </w:tbl>
    <w:p>
      <w:pPr>
        <w:numPr>
          <w:ilvl w:val="0"/>
          <w:numId w:val="2"/>
        </w:numPr>
        <w:spacing w:line="360" w:lineRule="auto"/>
        <w:jc w:val="left"/>
        <w:rPr>
          <w:rFonts w:hint="eastAsia" w:ascii="宋体" w:hAnsi="宋体" w:eastAsia="宋体" w:cs="黑体"/>
          <w:b/>
          <w:color w:val="auto"/>
          <w:kern w:val="0"/>
          <w:sz w:val="28"/>
          <w:szCs w:val="28"/>
          <w:lang w:val="en-US" w:eastAsia="zh-CN" w:bidi="ar-SA"/>
        </w:rPr>
      </w:pPr>
      <w:r>
        <w:rPr>
          <w:rFonts w:hint="eastAsia" w:ascii="宋体" w:hAnsi="宋体" w:eastAsia="宋体" w:cs="黑体"/>
          <w:b/>
          <w:color w:val="auto"/>
          <w:kern w:val="0"/>
          <w:sz w:val="28"/>
          <w:szCs w:val="28"/>
          <w:lang w:val="en-US" w:eastAsia="zh-CN" w:bidi="ar-SA"/>
        </w:rPr>
        <w:t>评审标准</w:t>
      </w:r>
    </w:p>
    <w:tbl>
      <w:tblPr>
        <w:tblStyle w:val="5"/>
        <w:tblW w:w="9082" w:type="dxa"/>
        <w:jc w:val="center"/>
        <w:tblLayout w:type="fixed"/>
        <w:tblCellMar>
          <w:top w:w="0" w:type="dxa"/>
          <w:left w:w="10" w:type="dxa"/>
          <w:bottom w:w="0" w:type="dxa"/>
          <w:right w:w="10" w:type="dxa"/>
        </w:tblCellMar>
      </w:tblPr>
      <w:tblGrid>
        <w:gridCol w:w="1037"/>
        <w:gridCol w:w="1785"/>
        <w:gridCol w:w="6260"/>
      </w:tblGrid>
      <w:tr>
        <w:tblPrEx>
          <w:tblCellMar>
            <w:top w:w="0" w:type="dxa"/>
            <w:left w:w="10" w:type="dxa"/>
            <w:bottom w:w="0" w:type="dxa"/>
            <w:right w:w="10" w:type="dxa"/>
          </w:tblCellMar>
        </w:tblPrEx>
        <w:trPr>
          <w:tblHeader/>
          <w:jc w:val="center"/>
        </w:trPr>
        <w:tc>
          <w:tcPr>
            <w:tcW w:w="2822" w:type="dxa"/>
            <w:gridSpan w:val="2"/>
            <w:tcBorders>
              <w:top w:val="single" w:color="auto" w:sz="4" w:space="0"/>
              <w:lef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条款号</w:t>
            </w:r>
          </w:p>
        </w:tc>
        <w:tc>
          <w:tcPr>
            <w:tcW w:w="6260" w:type="dxa"/>
            <w:tcBorders>
              <w:top w:val="single" w:color="auto" w:sz="4" w:space="0"/>
              <w:left w:val="single" w:color="auto" w:sz="4" w:space="0"/>
              <w:righ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评审因素与评审标准</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iCs/>
                <w:sz w:val="21"/>
                <w:szCs w:val="21"/>
              </w:rPr>
            </w:pPr>
            <w:r>
              <w:rPr>
                <w:rStyle w:val="11"/>
                <w:rFonts w:hint="eastAsia"/>
                <w:i w:val="0"/>
                <w:color w:val="auto"/>
                <w:spacing w:val="0"/>
                <w:sz w:val="21"/>
                <w:szCs w:val="21"/>
              </w:rPr>
              <w:t>2.1.1</w:t>
            </w:r>
          </w:p>
          <w:p>
            <w:pPr>
              <w:pStyle w:val="10"/>
              <w:shd w:val="clear" w:color="auto" w:fill="auto"/>
              <w:spacing w:before="0" w:after="0" w:line="360" w:lineRule="exact"/>
              <w:rPr>
                <w:iCs/>
                <w:sz w:val="21"/>
                <w:szCs w:val="21"/>
              </w:rPr>
            </w:pPr>
            <w:r>
              <w:rPr>
                <w:rStyle w:val="11"/>
                <w:rFonts w:hint="eastAsia"/>
                <w:i w:val="0"/>
                <w:color w:val="auto"/>
                <w:spacing w:val="0"/>
                <w:sz w:val="21"/>
                <w:szCs w:val="21"/>
              </w:rPr>
              <w:t>2.1.3</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rStyle w:val="11"/>
                <w:i w:val="0"/>
                <w:color w:val="auto"/>
                <w:spacing w:val="0"/>
                <w:sz w:val="21"/>
                <w:szCs w:val="21"/>
              </w:rPr>
            </w:pPr>
            <w:r>
              <w:rPr>
                <w:rStyle w:val="11"/>
                <w:rFonts w:hint="eastAsia"/>
                <w:i w:val="0"/>
                <w:color w:val="auto"/>
                <w:spacing w:val="0"/>
                <w:sz w:val="21"/>
                <w:szCs w:val="21"/>
              </w:rPr>
              <w:t>形式评审与</w:t>
            </w:r>
          </w:p>
          <w:p>
            <w:pPr>
              <w:pStyle w:val="10"/>
              <w:shd w:val="clear" w:color="auto" w:fill="auto"/>
              <w:spacing w:before="0" w:after="0" w:line="360" w:lineRule="exact"/>
              <w:rPr>
                <w:iCs/>
                <w:sz w:val="21"/>
                <w:szCs w:val="21"/>
              </w:rPr>
            </w:pPr>
            <w:r>
              <w:rPr>
                <w:rStyle w:val="11"/>
                <w:rFonts w:hint="eastAsia"/>
                <w:i w:val="0"/>
                <w:color w:val="auto"/>
                <w:spacing w:val="0"/>
                <w:sz w:val="21"/>
                <w:szCs w:val="21"/>
              </w:rPr>
              <w:t>响应性评审标准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hint="eastAsia" w:ascii="宋体" w:hAnsi="宋体" w:cs="宋体"/>
                <w:b/>
                <w:bCs/>
                <w:szCs w:val="21"/>
              </w:rPr>
            </w:pPr>
            <w:r>
              <w:rPr>
                <w:rFonts w:hint="eastAsia" w:ascii="宋体" w:hAnsi="宋体" w:cs="宋体"/>
                <w:b/>
                <w:bCs/>
                <w:szCs w:val="21"/>
              </w:rPr>
              <w:t>第一个信封（商务及技术文件）评审标准：</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（1）投标文件按照招标文件规定的格式、内容填写，字迹清晰可辨：</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a.投标函按招标文件规定填报了项目名称、组别、补遗书编号（如有）、工期、工程质量要求及安全目标；</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b.投标函附录的所有数据均符合招标文件规定；</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c.投标文件组成齐全完整，提供的相关资料符合招标文件规定，内容均按规定填写。</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（2）投标文件上法定代表人或其委托代理人的签字、投标人的单位章盖章齐全，符合招标文件规定。</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（3）投标人按照招标文件规定提供了投标保证金：</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a.投标保证金金额符合招标文件规定的金额，且投标保证金有效期不少于投标有效期；</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b.若投标保证金采用现金形式提交，投标人应在递交投标文件截止时间之前，将投标保证金由投标人的基本账户转入招标人指定账户；</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c.若投标保证金采用银行保函形式提交，银行保函的格式、开具保函的银行均满足招标文件要求，且在递交投标文件截止时间之前向招标人提交了银行保函和开具保函权限说明（如有）的原件。</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（4）投标人法定代表人授权委托代理人签署投标文件的，须提交授权委托书，且授权人和被授权人均在授权委托书上按招标文件规定签名或盖章。</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（5）投标人法定代表人亲自签署投标文件的，提供了法定代表人身份证明，且法定代表人在法定代表人身份证明上按招标文件规定签名或盖章。</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（6）投标人未以联合体形式投标。</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（7）投标人无分包计划，符合招标文件第二章“投标人须知”第1.11款规定。</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（8）同一投标人未提交两个以上不同的投标文件。</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（9）投标文件第一个信封（商务及技术文件）中未出现投标报价的相关信息。</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（10）投标文件载明的招标项目完成期限未超过招标文件规定的时限。</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（11）投标文件对招标文件的实质性要求和条件作出响应。</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（12）权利义务符合招标文件规定：</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a.投标人应接受招标文件规定的风险划分原则，未提出新的风险划分办法；</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b.投标人未增加发包人的责任范围，或减少投标人义务；</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c.投标人未提出不同的工程验收、计量、支付办法；</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d.投标人对合同纠纷、事故处理办法未提出异议；</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e.投标人在投标活动中无欺诈行为；</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f.投标人未对合同条款有重要保留。</w:t>
            </w:r>
          </w:p>
          <w:p>
            <w:pPr>
              <w:rPr>
                <w:rFonts w:hint="eastAsia" w:ascii="宋体" w:hAnsi="宋体" w:cs="宋体"/>
                <w:b/>
                <w:bCs/>
                <w:szCs w:val="21"/>
              </w:rPr>
            </w:pPr>
            <w:r>
              <w:rPr>
                <w:rFonts w:hint="eastAsia" w:ascii="宋体" w:hAnsi="宋体" w:cs="宋体"/>
                <w:b/>
                <w:bCs/>
                <w:szCs w:val="21"/>
              </w:rPr>
              <w:t>第二个信封（投标报价文件）评审标准：</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（1）投标文件按照招标文件规定的格式、内容填写，字迹清晰可辨：</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a.投标函按招标文件规定填报了项目名称、组别、标段号、补遗书编号（如有）、投标价（包括大写金额和小写金额）；</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b.已标价工程量清单说明文字与招标文件规定一致，未进行实质性修改和删减；</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c.投标文件组成齐全完整，提供的相关资料符合招标文件规定，内容均按规定。</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（2）投标文件上法定代表人或其授权代理人的签字、投标人的单位章盖章齐全，符合招标文件规定。</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（3）投标报价未超过招标文件设定的最高投标限价。</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（4）投标报价中报价金额能够确定具体数值。</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（5）同一投标人未提交两个以上不同的投标报价。</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（6）递交的报价文件的标段数量满足招标文件要求。</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（7）投标人未提交调价函。</w:t>
            </w:r>
          </w:p>
          <w:p>
            <w:pPr>
              <w:rPr>
                <w:rStyle w:val="11"/>
                <w:rFonts w:hint="eastAsia"/>
                <w:i w:val="0"/>
                <w:color w:val="auto"/>
                <w:spacing w:val="0"/>
                <w:kern w:val="2"/>
                <w:sz w:val="21"/>
                <w:szCs w:val="21"/>
                <w:lang w:val="en-US" w:eastAsia="zh-CN" w:bidi="ar-SA"/>
              </w:rPr>
            </w:pPr>
            <w:r>
              <w:rPr>
                <w:rStyle w:val="11"/>
                <w:rFonts w:hint="eastAsia"/>
                <w:i w:val="0"/>
                <w:color w:val="auto"/>
                <w:spacing w:val="0"/>
                <w:kern w:val="2"/>
                <w:sz w:val="21"/>
                <w:szCs w:val="21"/>
                <w:lang w:val="en-US" w:eastAsia="zh-CN" w:bidi="ar-SA"/>
              </w:rPr>
              <w:t>（8）投标人填写完毕的工程量固化清单未对工程量固化清单电子文件中的数据、格式和运算定义进行修改；工程量固化清单中的投标报价和投标函大写金额报价一致。</w:t>
            </w:r>
          </w:p>
          <w:p>
            <w:pPr>
              <w:rPr>
                <w:rStyle w:val="11"/>
                <w:i w:val="0"/>
                <w:color w:val="auto"/>
                <w:spacing w:val="0"/>
                <w:sz w:val="21"/>
                <w:szCs w:val="21"/>
              </w:rPr>
            </w:pPr>
            <w:r>
              <w:rPr>
                <w:rStyle w:val="11"/>
                <w:rFonts w:hint="eastAsia"/>
                <w:i w:val="0"/>
                <w:color w:val="auto"/>
                <w:spacing w:val="0"/>
                <w:kern w:val="2"/>
                <w:sz w:val="21"/>
                <w:szCs w:val="21"/>
                <w:lang w:val="en-US" w:eastAsia="zh-CN" w:bidi="ar-SA"/>
              </w:rPr>
              <w:t>（9）已标价工程量清单中填报的子目报价符合招标文件合同条款中相关子目报价的规定。</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400" w:lineRule="exact"/>
              <w:rPr>
                <w:iCs/>
                <w:sz w:val="21"/>
                <w:szCs w:val="21"/>
              </w:rPr>
            </w:pPr>
            <w:r>
              <w:rPr>
                <w:rStyle w:val="11"/>
                <w:rFonts w:hint="eastAsia"/>
                <w:i w:val="0"/>
                <w:color w:val="auto"/>
                <w:spacing w:val="0"/>
                <w:sz w:val="21"/>
                <w:szCs w:val="21"/>
              </w:rPr>
              <w:t>2.1.2</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400" w:lineRule="exact"/>
              <w:rPr>
                <w:iCs/>
                <w:sz w:val="21"/>
                <w:szCs w:val="21"/>
              </w:rPr>
            </w:pPr>
            <w:r>
              <w:rPr>
                <w:rStyle w:val="11"/>
                <w:rFonts w:hint="eastAsia"/>
                <w:i w:val="0"/>
                <w:color w:val="auto"/>
                <w:spacing w:val="0"/>
                <w:sz w:val="21"/>
                <w:szCs w:val="21"/>
              </w:rPr>
              <w:t>资格评审标准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（1）投标人具备有效的营业执照、资质证书、安全生产许可证和基本账户开户许可证（或基本账户开户行出具含有企业基本存款账户编号的《基本存款账户信息》）；</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（2）投标人的资质等级符合招标文件规定；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（3）投标人的财务状况符合招标文件规定；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（4）投标人的类似项目业绩符合招标文件规定；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（5）投标人的信誉符合招标文件规定；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（6）投标人的项目经理和项目总工资格、在岗情况符合招标文件规定；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（7）投标人的其他要求符合招标文件规定；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（8）投标人不存在第二章“投标人须知”第1.4.3项或第1.4.4项规定的任何一种情形。</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sz w:val="21"/>
                <w:szCs w:val="21"/>
                <w:highlight w:val="none"/>
              </w:rPr>
            </w:pPr>
            <w:r>
              <w:rPr>
                <w:rStyle w:val="13"/>
                <w:rFonts w:hint="eastAsia" w:ascii="宋体" w:hAnsi="宋体" w:eastAsia="宋体" w:cs="宋体"/>
                <w:color w:val="auto"/>
                <w:sz w:val="21"/>
                <w:szCs w:val="21"/>
                <w:highlight w:val="none"/>
              </w:rPr>
              <w:t>2.2.1</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sz w:val="21"/>
                <w:szCs w:val="21"/>
                <w:highlight w:val="none"/>
              </w:rPr>
            </w:pPr>
            <w:r>
              <w:rPr>
                <w:rStyle w:val="11"/>
                <w:rFonts w:hint="eastAsia"/>
                <w:i w:val="0"/>
                <w:color w:val="auto"/>
                <w:spacing w:val="0"/>
                <w:sz w:val="21"/>
                <w:szCs w:val="21"/>
                <w:highlight w:val="none"/>
                <w:lang w:val="en-US" w:eastAsia="zh-CN"/>
              </w:rPr>
              <w:t>第一信封评分</w:t>
            </w:r>
            <w:r>
              <w:rPr>
                <w:rStyle w:val="11"/>
                <w:i w:val="0"/>
                <w:color w:val="auto"/>
                <w:spacing w:val="0"/>
                <w:sz w:val="21"/>
                <w:szCs w:val="21"/>
                <w:highlight w:val="none"/>
              </w:rPr>
              <w:t>分值</w:t>
            </w:r>
            <w:r>
              <w:rPr>
                <w:rStyle w:val="11"/>
                <w:i w:val="0"/>
                <w:color w:val="auto"/>
                <w:spacing w:val="0"/>
                <w:sz w:val="21"/>
                <w:szCs w:val="21"/>
                <w:highlight w:val="none"/>
                <w:lang w:val="zh-TW"/>
              </w:rPr>
              <w:t>构成</w:t>
            </w:r>
            <w:r>
              <w:rPr>
                <w:rStyle w:val="11"/>
                <w:i w:val="0"/>
                <w:color w:val="auto"/>
                <w:spacing w:val="0"/>
                <w:sz w:val="21"/>
                <w:szCs w:val="21"/>
                <w:highlight w:val="none"/>
              </w:rPr>
              <w:t>（总分</w:t>
            </w:r>
            <w:r>
              <w:rPr>
                <w:rStyle w:val="13"/>
                <w:rFonts w:ascii="宋体" w:hAnsi="宋体" w:eastAsia="宋体"/>
                <w:color w:val="auto"/>
                <w:sz w:val="21"/>
                <w:szCs w:val="21"/>
                <w:highlight w:val="none"/>
                <w:lang w:val="zh-TW"/>
              </w:rPr>
              <w:t>100</w:t>
            </w:r>
            <w:r>
              <w:rPr>
                <w:rStyle w:val="11"/>
                <w:i w:val="0"/>
                <w:color w:val="auto"/>
                <w:spacing w:val="0"/>
                <w:sz w:val="21"/>
                <w:szCs w:val="21"/>
                <w:highlight w:val="none"/>
              </w:rPr>
              <w:t>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320" w:lineRule="exact"/>
              <w:ind w:right="59" w:rightChars="28"/>
              <w:jc w:val="left"/>
              <w:rPr>
                <w:rStyle w:val="11"/>
                <w:rFonts w:ascii="宋体" w:hAnsi="宋体" w:eastAsia="宋体" w:cs="宋体"/>
                <w:i w:val="0"/>
                <w:color w:val="auto"/>
                <w:spacing w:val="0"/>
                <w:sz w:val="21"/>
                <w:szCs w:val="21"/>
                <w:highlight w:val="none"/>
              </w:rPr>
            </w:pPr>
            <w:r>
              <w:rPr>
                <w:rStyle w:val="11"/>
                <w:rFonts w:hint="eastAsia" w:ascii="宋体" w:hAnsi="宋体" w:eastAsia="宋体" w:cs="宋体"/>
                <w:i w:val="0"/>
                <w:color w:val="auto"/>
                <w:spacing w:val="0"/>
                <w:sz w:val="21"/>
                <w:szCs w:val="21"/>
                <w:highlight w:val="none"/>
                <w:lang w:val="en-US" w:eastAsia="zh-CN"/>
              </w:rPr>
              <w:t>1、施工组织设计</w:t>
            </w:r>
            <w:r>
              <w:rPr>
                <w:rStyle w:val="11"/>
                <w:rFonts w:hint="eastAsia" w:ascii="宋体" w:hAnsi="宋体" w:eastAsia="宋体" w:cs="宋体"/>
                <w:i w:val="0"/>
                <w:color w:val="auto"/>
                <w:spacing w:val="0"/>
                <w:sz w:val="21"/>
                <w:szCs w:val="21"/>
                <w:highlight w:val="none"/>
              </w:rPr>
              <w:t>：</w:t>
            </w:r>
            <w:r>
              <w:rPr>
                <w:rStyle w:val="11"/>
                <w:rFonts w:hint="eastAsia" w:ascii="宋体" w:hAnsi="宋体" w:eastAsia="宋体" w:cs="宋体"/>
                <w:i w:val="0"/>
                <w:color w:val="auto"/>
                <w:spacing w:val="0"/>
                <w:sz w:val="21"/>
                <w:szCs w:val="21"/>
                <w:highlight w:val="none"/>
                <w:lang w:val="en-US" w:eastAsia="zh-CN"/>
              </w:rPr>
              <w:t>40</w:t>
            </w:r>
            <w:r>
              <w:rPr>
                <w:rStyle w:val="11"/>
                <w:rFonts w:hint="eastAsia" w:ascii="宋体" w:hAnsi="宋体" w:eastAsia="宋体" w:cs="宋体"/>
                <w:i w:val="0"/>
                <w:color w:val="auto"/>
                <w:spacing w:val="0"/>
                <w:sz w:val="21"/>
                <w:szCs w:val="21"/>
                <w:highlight w:val="none"/>
              </w:rPr>
              <w:t>分</w:t>
            </w:r>
          </w:p>
          <w:p>
            <w:pPr>
              <w:pStyle w:val="10"/>
              <w:shd w:val="clear" w:color="auto" w:fill="auto"/>
              <w:spacing w:before="0" w:after="0" w:line="320" w:lineRule="exact"/>
              <w:ind w:right="59" w:rightChars="28"/>
              <w:jc w:val="left"/>
              <w:rPr>
                <w:rStyle w:val="11"/>
                <w:rFonts w:ascii="宋体" w:hAnsi="宋体" w:eastAsia="宋体" w:cs="宋体"/>
                <w:i w:val="0"/>
                <w:color w:val="auto"/>
                <w:spacing w:val="0"/>
                <w:sz w:val="21"/>
                <w:szCs w:val="21"/>
                <w:highlight w:val="none"/>
              </w:rPr>
            </w:pPr>
            <w:r>
              <w:rPr>
                <w:rStyle w:val="11"/>
                <w:rFonts w:hint="eastAsia" w:ascii="宋体" w:hAnsi="宋体" w:eastAsia="宋体" w:cs="宋体"/>
                <w:i w:val="0"/>
                <w:color w:val="auto"/>
                <w:spacing w:val="0"/>
                <w:sz w:val="21"/>
                <w:szCs w:val="21"/>
                <w:highlight w:val="none"/>
                <w:lang w:val="en-US" w:eastAsia="zh-CN"/>
              </w:rPr>
              <w:t>2、</w:t>
            </w:r>
            <w:r>
              <w:rPr>
                <w:rStyle w:val="11"/>
                <w:rFonts w:hint="eastAsia" w:ascii="宋体" w:hAnsi="宋体" w:eastAsia="宋体" w:cs="宋体"/>
                <w:i w:val="0"/>
                <w:color w:val="auto"/>
                <w:spacing w:val="0"/>
                <w:sz w:val="21"/>
                <w:szCs w:val="21"/>
                <w:highlight w:val="none"/>
              </w:rPr>
              <w:t>主要人员：</w:t>
            </w:r>
            <w:r>
              <w:rPr>
                <w:rStyle w:val="11"/>
                <w:rFonts w:hint="eastAsia" w:ascii="宋体" w:hAnsi="宋体" w:eastAsia="宋体" w:cs="宋体"/>
                <w:i w:val="0"/>
                <w:color w:val="auto"/>
                <w:spacing w:val="0"/>
                <w:sz w:val="21"/>
                <w:szCs w:val="21"/>
                <w:highlight w:val="none"/>
                <w:lang w:val="en-US" w:eastAsia="zh-CN"/>
              </w:rPr>
              <w:t>25</w:t>
            </w:r>
            <w:r>
              <w:rPr>
                <w:rStyle w:val="11"/>
                <w:rFonts w:hint="eastAsia" w:ascii="宋体" w:hAnsi="宋体" w:eastAsia="宋体" w:cs="宋体"/>
                <w:i w:val="0"/>
                <w:color w:val="auto"/>
                <w:spacing w:val="0"/>
                <w:sz w:val="21"/>
                <w:szCs w:val="21"/>
                <w:highlight w:val="none"/>
              </w:rPr>
              <w:t>分</w:t>
            </w:r>
            <w:bookmarkStart w:id="5" w:name="_GoBack"/>
            <w:bookmarkEnd w:id="5"/>
          </w:p>
          <w:p>
            <w:pPr>
              <w:pStyle w:val="10"/>
              <w:shd w:val="clear" w:color="auto" w:fill="auto"/>
              <w:spacing w:before="0" w:after="0" w:line="320" w:lineRule="exact"/>
              <w:ind w:right="59" w:rightChars="28"/>
              <w:jc w:val="left"/>
              <w:rPr>
                <w:rStyle w:val="11"/>
                <w:rFonts w:hint="eastAsia" w:ascii="宋体" w:hAnsi="宋体" w:eastAsia="宋体" w:cs="宋体"/>
                <w:i w:val="0"/>
                <w:color w:val="auto"/>
                <w:spacing w:val="0"/>
                <w:sz w:val="21"/>
                <w:szCs w:val="21"/>
                <w:highlight w:val="none"/>
              </w:rPr>
            </w:pPr>
            <w:r>
              <w:rPr>
                <w:rStyle w:val="11"/>
                <w:rFonts w:hint="eastAsia" w:ascii="宋体" w:hAnsi="宋体" w:eastAsia="宋体" w:cs="宋体"/>
                <w:i w:val="0"/>
                <w:color w:val="auto"/>
                <w:spacing w:val="0"/>
                <w:sz w:val="21"/>
                <w:szCs w:val="21"/>
                <w:highlight w:val="none"/>
                <w:lang w:val="en-US" w:eastAsia="zh-CN"/>
              </w:rPr>
              <w:t>3、技术能力</w:t>
            </w:r>
            <w:r>
              <w:rPr>
                <w:rStyle w:val="11"/>
                <w:rFonts w:hint="eastAsia" w:ascii="宋体" w:hAnsi="宋体" w:eastAsia="宋体" w:cs="宋体"/>
                <w:i w:val="0"/>
                <w:color w:val="auto"/>
                <w:spacing w:val="0"/>
                <w:sz w:val="21"/>
                <w:szCs w:val="21"/>
                <w:highlight w:val="none"/>
              </w:rPr>
              <w:t>：</w:t>
            </w:r>
            <w:r>
              <w:rPr>
                <w:rStyle w:val="11"/>
                <w:rFonts w:hint="eastAsia" w:ascii="宋体" w:hAnsi="宋体" w:eastAsia="宋体" w:cs="宋体"/>
                <w:i w:val="0"/>
                <w:color w:val="auto"/>
                <w:spacing w:val="0"/>
                <w:sz w:val="21"/>
                <w:szCs w:val="21"/>
                <w:highlight w:val="none"/>
                <w:lang w:val="en-US" w:eastAsia="zh-CN"/>
              </w:rPr>
              <w:t>10</w:t>
            </w:r>
            <w:r>
              <w:rPr>
                <w:rStyle w:val="11"/>
                <w:rFonts w:hint="eastAsia" w:ascii="宋体" w:hAnsi="宋体" w:eastAsia="宋体" w:cs="宋体"/>
                <w:i w:val="0"/>
                <w:color w:val="auto"/>
                <w:spacing w:val="0"/>
                <w:sz w:val="21"/>
                <w:szCs w:val="21"/>
                <w:highlight w:val="none"/>
              </w:rPr>
              <w:t>分</w:t>
            </w:r>
          </w:p>
          <w:p>
            <w:pPr>
              <w:pStyle w:val="10"/>
              <w:shd w:val="clear" w:color="auto" w:fill="auto"/>
              <w:spacing w:before="0" w:after="0" w:line="320" w:lineRule="exact"/>
              <w:ind w:right="59" w:rightChars="28"/>
              <w:jc w:val="left"/>
              <w:rPr>
                <w:rStyle w:val="11"/>
                <w:rFonts w:hint="default"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4、履约信誉：15分</w:t>
            </w:r>
          </w:p>
          <w:p>
            <w:pPr>
              <w:pStyle w:val="10"/>
              <w:shd w:val="clear" w:color="auto" w:fill="auto"/>
              <w:spacing w:before="0" w:after="0" w:line="240" w:lineRule="auto"/>
              <w:jc w:val="both"/>
              <w:rPr>
                <w:rStyle w:val="11"/>
                <w:i w:val="0"/>
                <w:color w:val="auto"/>
                <w:spacing w:val="0"/>
                <w:sz w:val="21"/>
                <w:szCs w:val="21"/>
                <w:highlight w:val="none"/>
              </w:rPr>
            </w:pPr>
            <w:r>
              <w:rPr>
                <w:rStyle w:val="11"/>
                <w:rFonts w:hint="eastAsia" w:ascii="宋体" w:hAnsi="宋体" w:eastAsia="宋体" w:cs="宋体"/>
                <w:i w:val="0"/>
                <w:color w:val="auto"/>
                <w:spacing w:val="0"/>
                <w:sz w:val="21"/>
                <w:szCs w:val="21"/>
                <w:highlight w:val="none"/>
                <w:lang w:val="en-US" w:eastAsia="zh-CN"/>
              </w:rPr>
              <w:t>5、业绩：10</w:t>
            </w:r>
            <w:r>
              <w:rPr>
                <w:rStyle w:val="11"/>
                <w:rFonts w:hint="eastAsia" w:ascii="宋体" w:hAnsi="宋体" w:eastAsia="宋体" w:cs="宋体"/>
                <w:i w:val="0"/>
                <w:color w:val="auto"/>
                <w:spacing w:val="0"/>
                <w:sz w:val="21"/>
                <w:szCs w:val="21"/>
                <w:highlight w:val="none"/>
              </w:rPr>
              <w:t>分</w:t>
            </w:r>
          </w:p>
        </w:tc>
      </w:tr>
      <w:tr>
        <w:tblPrEx>
          <w:tblCellMar>
            <w:top w:w="0" w:type="dxa"/>
            <w:left w:w="10" w:type="dxa"/>
            <w:bottom w:w="0" w:type="dxa"/>
            <w:right w:w="10" w:type="dxa"/>
          </w:tblCellMar>
        </w:tblPrEx>
        <w:trPr>
          <w:trHeight w:val="1040" w:hRule="atLeast"/>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rStyle w:val="13"/>
                <w:rFonts w:hint="default" w:ascii="宋体" w:hAnsi="宋体" w:eastAsia="宋体" w:cs="宋体"/>
                <w:color w:val="auto"/>
                <w:sz w:val="21"/>
                <w:szCs w:val="21"/>
                <w:highlight w:val="none"/>
                <w:lang w:val="en-US" w:eastAsia="zh-CN"/>
              </w:rPr>
            </w:pPr>
            <w:r>
              <w:rPr>
                <w:rStyle w:val="13"/>
                <w:rFonts w:hint="eastAsia" w:ascii="宋体" w:hAnsi="宋体" w:eastAsia="宋体" w:cs="宋体"/>
                <w:color w:val="auto"/>
                <w:sz w:val="21"/>
                <w:szCs w:val="21"/>
                <w:highlight w:val="none"/>
                <w:lang w:val="en-US" w:eastAsia="zh-CN"/>
              </w:rPr>
              <w:t>2.2.3</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rStyle w:val="13"/>
                <w:rFonts w:hint="eastAsia" w:ascii="宋体" w:hAnsi="宋体" w:eastAsia="宋体" w:cs="宋体"/>
                <w:color w:val="auto"/>
                <w:sz w:val="21"/>
                <w:szCs w:val="21"/>
                <w:highlight w:val="none"/>
              </w:rPr>
            </w:pPr>
            <w:r>
              <w:rPr>
                <w:rStyle w:val="13"/>
                <w:rFonts w:hint="eastAsia" w:ascii="宋体" w:hAnsi="宋体" w:eastAsia="宋体" w:cs="宋体"/>
                <w:color w:val="auto"/>
                <w:sz w:val="21"/>
                <w:szCs w:val="21"/>
                <w:highlight w:val="none"/>
                <w:lang w:val="en-US" w:eastAsia="zh-CN"/>
              </w:rPr>
              <w:t>第二信封详细评审标准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360" w:lineRule="exact"/>
              <w:rPr>
                <w:rStyle w:val="13"/>
                <w:rFonts w:hint="eastAsia" w:ascii="宋体" w:hAnsi="宋体" w:eastAsia="宋体" w:cs="宋体"/>
                <w:color w:val="auto"/>
                <w:sz w:val="21"/>
                <w:szCs w:val="21"/>
                <w:highlight w:val="none"/>
              </w:rPr>
            </w:pPr>
            <w:r>
              <w:rPr>
                <w:rStyle w:val="13"/>
                <w:rFonts w:hint="eastAsia" w:ascii="宋体" w:hAnsi="宋体" w:eastAsia="宋体" w:cs="宋体"/>
                <w:color w:val="auto"/>
                <w:sz w:val="21"/>
                <w:szCs w:val="21"/>
                <w:highlight w:val="none"/>
                <w:lang w:val="en-US" w:eastAsia="zh-CN"/>
              </w:rPr>
              <w:t>评标价计算公式：评标价=投标函中的投标总报价-暂估价-暂列金额</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sz w:val="21"/>
                <w:szCs w:val="21"/>
              </w:rPr>
            </w:pPr>
            <w:r>
              <w:rPr>
                <w:rStyle w:val="11"/>
                <w:rFonts w:hint="eastAsia" w:cs="MS Gothic"/>
                <w:i w:val="0"/>
                <w:iCs w:val="0"/>
                <w:color w:val="auto"/>
                <w:spacing w:val="0"/>
                <w:sz w:val="21"/>
                <w:szCs w:val="21"/>
                <w:lang w:val="en-US" w:eastAsia="zh-CN"/>
              </w:rPr>
              <w:t>3.2.4</w:t>
            </w:r>
          </w:p>
        </w:tc>
        <w:tc>
          <w:tcPr>
            <w:tcW w:w="1785" w:type="dxa"/>
            <w:tcBorders>
              <w:top w:val="single" w:color="auto" w:sz="4" w:space="0"/>
              <w:left w:val="single" w:color="auto" w:sz="4" w:space="0"/>
              <w:bottom w:val="single" w:color="auto" w:sz="4" w:space="0"/>
            </w:tcBorders>
            <w:shd w:val="clear" w:color="auto" w:fill="FFFFFF"/>
            <w:vAlign w:val="center"/>
          </w:tcPr>
          <w:p>
            <w:pPr>
              <w:pStyle w:val="10"/>
              <w:spacing w:before="0" w:after="0" w:line="360" w:lineRule="exact"/>
              <w:rPr>
                <w:sz w:val="21"/>
                <w:szCs w:val="21"/>
                <w:highlight w:val="none"/>
              </w:rPr>
            </w:pPr>
            <w:r>
              <w:rPr>
                <w:rStyle w:val="11"/>
                <w:rFonts w:hint="eastAsia"/>
                <w:i w:val="0"/>
                <w:color w:val="auto"/>
                <w:spacing w:val="0"/>
                <w:sz w:val="21"/>
                <w:szCs w:val="21"/>
                <w:highlight w:val="none"/>
                <w:lang w:val="en-US" w:eastAsia="zh-CN"/>
              </w:rPr>
              <w:t>通过第一个信封详细评审的投标人数量</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pacing w:before="0" w:after="0" w:line="320" w:lineRule="exact"/>
              <w:ind w:right="59" w:rightChars="28" w:firstLine="420" w:firstLineChars="200"/>
              <w:jc w:val="both"/>
              <w:rPr>
                <w:rFonts w:hint="default"/>
                <w:iCs/>
                <w:sz w:val="21"/>
                <w:szCs w:val="21"/>
                <w:highlight w:val="none"/>
                <w:shd w:val="clear" w:color="auto" w:fill="FFFFFF"/>
                <w:lang w:val="en-US"/>
              </w:rPr>
            </w:pPr>
            <w:r>
              <w:rPr>
                <w:rStyle w:val="11"/>
                <w:rFonts w:hint="eastAsia"/>
                <w:i w:val="0"/>
                <w:color w:val="auto"/>
                <w:spacing w:val="0"/>
                <w:sz w:val="21"/>
                <w:szCs w:val="21"/>
                <w:highlight w:val="none"/>
                <w:lang w:val="en-US" w:eastAsia="zh-CN"/>
              </w:rPr>
              <w:t>对排名前10名的投标人，其投标文件第一个信封（商务及技术文件）通过详细评审，通过投标文件第一个信封（商务及技术文件）初步评审的投标人不少于6名且未超过10名的，均通过投标文件第一个信封（商务及技术文件）详细评审，不再对投标人的商务和技术文件进行评分。商务和技术得分相等时，</w:t>
            </w:r>
            <w:r>
              <w:rPr>
                <w:rStyle w:val="11"/>
                <w:rFonts w:hint="eastAsia" w:cs="宋体"/>
                <w:i w:val="0"/>
                <w:color w:val="auto"/>
                <w:spacing w:val="0"/>
                <w:sz w:val="21"/>
                <w:szCs w:val="21"/>
                <w:highlight w:val="none"/>
                <w:lang w:val="en-US" w:eastAsia="zh-CN"/>
              </w:rPr>
              <w:t>按本评标办法条款1确定通过的投标人。</w:t>
            </w:r>
          </w:p>
        </w:tc>
      </w:tr>
    </w:tbl>
    <w:p>
      <w:pPr>
        <w:pStyle w:val="3"/>
        <w:jc w:val="both"/>
        <w:rPr>
          <w:rFonts w:hint="eastAsia" w:ascii="宋体" w:hAnsi="宋体" w:eastAsia="宋体" w:cs="黑体"/>
          <w:b/>
          <w:color w:val="auto"/>
          <w:kern w:val="0"/>
          <w:sz w:val="28"/>
          <w:szCs w:val="28"/>
          <w:lang w:val="en-US" w:eastAsia="zh-CN" w:bidi="ar-SA"/>
        </w:rPr>
      </w:pPr>
      <w:r>
        <w:rPr>
          <w:rFonts w:hint="eastAsia" w:ascii="宋体" w:hAnsi="宋体" w:eastAsia="宋体" w:cs="黑体"/>
          <w:b/>
          <w:color w:val="auto"/>
          <w:kern w:val="0"/>
          <w:sz w:val="28"/>
          <w:szCs w:val="28"/>
          <w:lang w:val="en-US" w:eastAsia="zh-CN" w:bidi="ar-SA"/>
        </w:rPr>
        <w:t>（三）评分因素、分值及评分方法</w:t>
      </w:r>
    </w:p>
    <w:tbl>
      <w:tblPr>
        <w:tblStyle w:val="5"/>
        <w:tblpPr w:leftFromText="180" w:rightFromText="180" w:vertAnchor="text" w:horzAnchor="page" w:tblpX="1770" w:tblpY="558"/>
        <w:tblOverlap w:val="never"/>
        <w:tblW w:w="84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81"/>
        <w:gridCol w:w="918"/>
        <w:gridCol w:w="1137"/>
        <w:gridCol w:w="1622"/>
        <w:gridCol w:w="841"/>
        <w:gridCol w:w="33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7" w:hRule="atLeast"/>
        </w:trPr>
        <w:tc>
          <w:tcPr>
            <w:tcW w:w="58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序号</w:t>
            </w:r>
          </w:p>
        </w:tc>
        <w:tc>
          <w:tcPr>
            <w:tcW w:w="451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评分因素与权重分值</w:t>
            </w:r>
          </w:p>
        </w:tc>
        <w:tc>
          <w:tcPr>
            <w:tcW w:w="338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4"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i w:val="0"/>
                <w:color w:val="000000"/>
                <w:sz w:val="21"/>
                <w:szCs w:val="21"/>
                <w:u w:val="none"/>
              </w:rPr>
            </w:pPr>
          </w:p>
        </w:tc>
        <w:tc>
          <w:tcPr>
            <w:tcW w:w="91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评分因素</w:t>
            </w:r>
          </w:p>
        </w:tc>
        <w:tc>
          <w:tcPr>
            <w:tcW w:w="113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各评分因素权重分值</w:t>
            </w: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kern w:val="0"/>
                <w:sz w:val="21"/>
                <w:szCs w:val="21"/>
                <w:u w:val="none"/>
                <w:lang w:val="en-US" w:eastAsia="zh-CN" w:bidi="ar"/>
              </w:rPr>
            </w:pPr>
            <w:r>
              <w:rPr>
                <w:rFonts w:hint="eastAsia" w:ascii="仿宋" w:hAnsi="仿宋" w:eastAsia="仿宋" w:cs="仿宋"/>
                <w:b/>
                <w:i w:val="0"/>
                <w:color w:val="000000"/>
                <w:kern w:val="0"/>
                <w:sz w:val="21"/>
                <w:szCs w:val="21"/>
                <w:u w:val="none"/>
                <w:lang w:val="en-US" w:eastAsia="zh-CN" w:bidi="ar"/>
              </w:rPr>
              <w:t>各评分因素</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细分项</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分值</w:t>
            </w:r>
          </w:p>
        </w:tc>
        <w:tc>
          <w:tcPr>
            <w:tcW w:w="338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58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w:t>
            </w:r>
          </w:p>
        </w:tc>
        <w:tc>
          <w:tcPr>
            <w:tcW w:w="91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施</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工</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组</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织</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设</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计</w:t>
            </w:r>
          </w:p>
        </w:tc>
        <w:tc>
          <w:tcPr>
            <w:tcW w:w="11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40分</w:t>
            </w: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总体施工组织布置及规划</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8</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u w:val="none"/>
                <w:lang w:val="en-US" w:eastAsia="zh-CN" w:bidi="ar"/>
              </w:rPr>
              <w:t>好得7.2～8分；较好得5.6～7.2分；基本满足要求得4.8～5.6分。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各专业工程施工方案、方法与技术措施</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8</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好得7.2～8分；较好得5.6～7.2分；基本满足要求得4.8～5.6分。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80"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工期、质量、安全生产、交通保畅管理体系及保证措施</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8</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好得7.2～8分；较好得5.6～7.2分；基本满足要求得4.8～5.6分。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环境保护、文明施工、事故处理管理体系及保证措施</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6</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好得5.4～6分；较好得4.2～5.4分；基本满足要求得3.6～4.2分。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2"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kern w:val="0"/>
                <w:sz w:val="21"/>
                <w:szCs w:val="21"/>
                <w:highlight w:val="green"/>
                <w:u w:val="none"/>
                <w:lang w:val="en-US" w:eastAsia="zh-CN" w:bidi="ar"/>
              </w:rPr>
            </w:pPr>
            <w:r>
              <w:rPr>
                <w:rFonts w:hint="eastAsia" w:ascii="仿宋" w:hAnsi="仿宋" w:eastAsia="仿宋" w:cs="仿宋"/>
                <w:color w:val="000000"/>
                <w:kern w:val="0"/>
                <w:sz w:val="21"/>
                <w:szCs w:val="21"/>
                <w:highlight w:val="none"/>
                <w:lang w:val="en-US" w:eastAsia="zh-CN" w:bidi="ar"/>
              </w:rPr>
              <w:t>项目管理协调方案及措施</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5</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好得 4.5～5 分； 较好得 3.5～4.5 分；基本满足要求得 3～3.5 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3"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支付保障管理体系及保证措施</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5</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好得4.5～5分；较好得3.5～4.5分；基本满足要求得3～3.5分。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3" w:hRule="atLeast"/>
        </w:trPr>
        <w:tc>
          <w:tcPr>
            <w:tcW w:w="58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主</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要</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人</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员</w:t>
            </w:r>
          </w:p>
        </w:tc>
        <w:tc>
          <w:tcPr>
            <w:tcW w:w="113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25分</w:t>
            </w: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满足资格审查条件</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仿宋" w:hAnsi="仿宋" w:eastAsia="仿宋" w:cs="仿宋"/>
                <w:i w:val="0"/>
                <w:color w:val="000000"/>
                <w:sz w:val="21"/>
                <w:szCs w:val="21"/>
                <w:u w:val="none"/>
                <w:lang w:val="en-US"/>
              </w:rPr>
            </w:pPr>
            <w:r>
              <w:rPr>
                <w:rFonts w:hint="eastAsia" w:ascii="仿宋" w:hAnsi="仿宋" w:eastAsia="仿宋" w:cs="仿宋"/>
                <w:i w:val="0"/>
                <w:color w:val="000000"/>
                <w:kern w:val="0"/>
                <w:sz w:val="21"/>
                <w:szCs w:val="21"/>
                <w:u w:val="none"/>
                <w:lang w:val="en-US" w:eastAsia="zh-CN" w:bidi="ar"/>
              </w:rPr>
              <w:t>25</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通过资格评审得25分。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8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3</w:t>
            </w:r>
          </w:p>
        </w:tc>
        <w:tc>
          <w:tcPr>
            <w:tcW w:w="91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技</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术</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能</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力</w:t>
            </w:r>
          </w:p>
        </w:tc>
        <w:tc>
          <w:tcPr>
            <w:tcW w:w="11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10分</w:t>
            </w: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满足资格审查条件</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6</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通过资格评审得6分。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0"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highlight w:val="none"/>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科研开发和技术创新能力</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4</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投标人曾获得与项目实施有关的国家级工法、专利（发明专利或实用新型专利）、国家或省级科学技术进步奖的，主编或参编过的国家、行业或地方标准的，每有一项加2分，最多加4分。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8" w:hRule="atLeast"/>
        </w:trPr>
        <w:tc>
          <w:tcPr>
            <w:tcW w:w="58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4</w:t>
            </w:r>
          </w:p>
        </w:tc>
        <w:tc>
          <w:tcPr>
            <w:tcW w:w="91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履</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约</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信</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誉</w:t>
            </w:r>
          </w:p>
        </w:tc>
        <w:tc>
          <w:tcPr>
            <w:tcW w:w="113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15分</w:t>
            </w: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信用评价</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15</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根据陕西省交通运输厅《关于陕西省2022年度高速公路设计施工及公路监理从业企业信用评价结果应用》（陕交函[2023]225号）文件规定，施工企业信用评价结果：按照施工企业的信用评价等级进行评分，信用评价等级为AA级企业得15分；信用评价等级为A级企业得12分；信用评价等级为B级企业得10.5分；信用评价等级为C级企业得 9分；信用评价等级为D级企业限制进入我省公路建设市场。</w:t>
            </w:r>
            <w:r>
              <w:rPr>
                <w:rFonts w:hint="eastAsia" w:ascii="仿宋" w:hAnsi="仿宋" w:eastAsia="仿宋" w:cs="仿宋"/>
                <w:color w:val="000000"/>
                <w:sz w:val="21"/>
                <w:szCs w:val="21"/>
                <w:highlight w:val="none"/>
                <w:lang w:val="en-US" w:eastAsia="zh-CN"/>
              </w:rPr>
              <w:br w:type="textWrapping"/>
            </w:r>
            <w:r>
              <w:rPr>
                <w:rFonts w:hint="eastAsia" w:ascii="仿宋" w:hAnsi="仿宋" w:eastAsia="仿宋" w:cs="仿宋"/>
                <w:color w:val="000000"/>
                <w:sz w:val="21"/>
                <w:szCs w:val="21"/>
                <w:highlight w:val="none"/>
                <w:lang w:val="en-US" w:eastAsia="zh-CN"/>
              </w:rPr>
              <w:t>2.对具有陕西省2021年度信用评价等级而无2022年度信用评价等级的企业，其2021年度信用评价等级延续1年，初次进入陕西省的施工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58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5</w:t>
            </w:r>
          </w:p>
        </w:tc>
        <w:tc>
          <w:tcPr>
            <w:tcW w:w="91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业</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绩</w:t>
            </w:r>
          </w:p>
        </w:tc>
        <w:tc>
          <w:tcPr>
            <w:tcW w:w="11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10分</w:t>
            </w: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满足资格审查条件</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6</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通过资格评审得6分。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0" w:hRule="atLeast"/>
        </w:trPr>
        <w:tc>
          <w:tcPr>
            <w:tcW w:w="58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u w:val="none"/>
              </w:rPr>
            </w:pPr>
          </w:p>
        </w:tc>
        <w:tc>
          <w:tcPr>
            <w:tcW w:w="11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1"/>
                <w:szCs w:val="21"/>
                <w:highlight w:val="none"/>
                <w:u w:val="none"/>
              </w:rPr>
            </w:pPr>
          </w:p>
        </w:tc>
        <w:tc>
          <w:tcPr>
            <w:tcW w:w="162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工程业绩</w:t>
            </w:r>
          </w:p>
        </w:tc>
        <w:tc>
          <w:tcPr>
            <w:tcW w:w="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4</w:t>
            </w:r>
          </w:p>
        </w:tc>
        <w:tc>
          <w:tcPr>
            <w:tcW w:w="33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满足资格审查条件之外，</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2019年1月1日至投标截止时间（以交工验收时间为准），每增加</w:t>
            </w:r>
            <w:r>
              <w:rPr>
                <w:rFonts w:hint="eastAsia" w:ascii="仿宋" w:hAnsi="仿宋" w:eastAsia="仿宋"/>
                <w:sz w:val="22"/>
                <w:szCs w:val="22"/>
                <w:lang w:val="en-US" w:eastAsia="zh-CN"/>
              </w:rPr>
              <w:t>1个新建、改扩建高速公路项目隧道消防设施施工合同段业绩</w:t>
            </w:r>
            <w:r>
              <w:rPr>
                <w:rFonts w:hint="eastAsia" w:ascii="仿宋" w:hAnsi="仿宋" w:eastAsia="仿宋" w:cs="仿宋"/>
                <w:color w:val="000000"/>
                <w:sz w:val="21"/>
                <w:szCs w:val="21"/>
                <w:highlight w:val="none"/>
                <w:lang w:val="en-US" w:eastAsia="zh-CN"/>
              </w:rPr>
              <w:t>加4分</w:t>
            </w:r>
            <w:r>
              <w:rPr>
                <w:rFonts w:hint="eastAsia" w:ascii="仿宋" w:hAnsi="仿宋" w:eastAsia="仿宋" w:cs="仿宋"/>
                <w:color w:val="000000"/>
                <w:kern w:val="0"/>
                <w:sz w:val="21"/>
                <w:szCs w:val="21"/>
                <w:highlight w:val="none"/>
                <w:lang w:val="en-US" w:eastAsia="zh-CN"/>
              </w:rPr>
              <w:t>，</w:t>
            </w:r>
            <w:r>
              <w:rPr>
                <w:rFonts w:hint="eastAsia" w:ascii="仿宋" w:hAnsi="仿宋" w:eastAsia="仿宋" w:cs="仿宋"/>
                <w:i w:val="0"/>
                <w:color w:val="000000"/>
                <w:kern w:val="0"/>
                <w:sz w:val="21"/>
                <w:szCs w:val="21"/>
                <w:highlight w:val="none"/>
                <w:u w:val="none"/>
                <w:lang w:val="en-US" w:eastAsia="zh-CN" w:bidi="ar"/>
              </w:rPr>
              <w:t>此项最多加4分。</w:t>
            </w: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1.第一信封（商务及技术文件）评分因素与分值构成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第一信封（商务及技术文件）评分总分为100分，投标人的商务和技术得分为各评分因素之和。投标人的商务和技术得分分值计算保留小数点后两位，小数点后第三位“四舍五入”。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2.第二信封（报价文件）评标价计算公式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评标价=投标函中的投标总报价-暂估价-暂列金额。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lang w:val="en-US" w:eastAsia="zh-CN"/>
        </w:rPr>
      </w:pPr>
      <w:r>
        <w:rPr>
          <w:rFonts w:hint="eastAsia" w:ascii="宋体" w:hAnsi="宋体" w:eastAsia="宋体" w:cs="黑体"/>
          <w:color w:val="auto"/>
          <w:kern w:val="0"/>
          <w:sz w:val="24"/>
          <w:szCs w:val="24"/>
          <w:highlight w:val="none"/>
          <w:lang w:val="en-US" w:eastAsia="zh-CN" w:bidi="ar-SA"/>
        </w:rPr>
        <w:t>本项目招标由投标人按照招标人提供的工程量固化清单电子文件填写工程量清单，无须对投标报价进行修正。</w:t>
      </w:r>
    </w:p>
    <w:p>
      <w:pPr>
        <w:pStyle w:val="3"/>
        <w:ind w:firstLine="281" w:firstLineChars="100"/>
        <w:jc w:val="both"/>
        <w:rPr>
          <w:rFonts w:hint="eastAsia" w:ascii="宋体" w:hAnsi="宋体" w:eastAsia="宋体" w:cs="黑体"/>
          <w:b/>
          <w:color w:val="auto"/>
          <w:kern w:val="0"/>
          <w:sz w:val="28"/>
          <w:szCs w:val="28"/>
          <w:lang w:val="en-US" w:eastAsia="zh-CN" w:bidi="ar-SA"/>
        </w:rPr>
      </w:pPr>
      <w:r>
        <w:rPr>
          <w:rFonts w:hint="eastAsia" w:ascii="宋体" w:hAnsi="宋体" w:eastAsia="宋体" w:cs="黑体"/>
          <w:b/>
          <w:color w:val="auto"/>
          <w:kern w:val="0"/>
          <w:sz w:val="28"/>
          <w:szCs w:val="28"/>
          <w:lang w:val="en-US" w:eastAsia="zh-CN" w:bidi="ar-SA"/>
        </w:rPr>
        <w:t>（四）投标文件相关信息的核查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1.在评标过程中，评标委员会将对投标人的资质在其注册、登记或备案的网站（网站应为对其资质注册、登记或备案具有监督管理职责的行政主管部门或政府公共资源交易平台的官方网站）进行核查；对投标人填报的业绩在有关交通运输主管部门“公路建设市场信用信息管理系统”进行核查，或在其中标公示或登记、备案的网站（网站应为对其业绩项目的招投标活动或登记、备案具有监督管理职责的行政主管部门或政府公共资源交易平台的官方网站，或项目建设单位的官方网站）进行核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评标委员会对资格审查条件要求的建造师注册证书、安全生产考核合格证书，在政府相关部门网站中进行核实。若投标文件载明的信息与其中发布的信息不符，使得投标人的资格条件不符合招标文件规定的，评标委员会将否决其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3.评标委员会对投标人信誉情况在“国家企业信用信息公示系统”及“信用中国”网站进行核查，若投标人在“国家企业信用信息公示系统”中被列入严重违法失信企业名单或在“信用中国”网站中被列入失信被执行人名单，评标委员会将否决其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4.上述要求核查的内容，评审时以核查到的信息为准，因核查不一致或无法核查,导致投标人不能满足资格审查要求的，将否决其投标。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5.评标委员会对在评标过程中发现的投标人与投标人之间、投标人与招标人之间存在的串通投标的情形进行评审和认定。投标人存在串通投标、弄虚作假、行贿等违法行为的，评标委员会将否决其投标。</w:t>
      </w:r>
    </w:p>
    <w:p>
      <w:pPr>
        <w:pStyle w:val="9"/>
        <w:shd w:val="clear" w:color="auto" w:fill="auto"/>
        <w:tabs>
          <w:tab w:val="left" w:leader="underscore" w:pos="3528"/>
          <w:tab w:val="left" w:leader="underscore" w:pos="7357"/>
        </w:tabs>
        <w:spacing w:before="0" w:after="0" w:line="360" w:lineRule="auto"/>
        <w:jc w:val="both"/>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b/>
          <w:color w:val="auto"/>
          <w:kern w:val="0"/>
          <w:sz w:val="28"/>
          <w:szCs w:val="28"/>
          <w:lang w:val="en-US" w:eastAsia="zh-CN" w:bidi="ar-SA"/>
        </w:rPr>
        <w:t xml:space="preserve">    （五）</w:t>
      </w:r>
      <w:r>
        <w:rPr>
          <w:rFonts w:hint="eastAsia" w:ascii="宋体" w:hAnsi="宋体" w:eastAsia="宋体" w:cs="黑体"/>
          <w:color w:val="auto"/>
          <w:kern w:val="0"/>
          <w:sz w:val="24"/>
          <w:szCs w:val="24"/>
          <w:highlight w:val="none"/>
          <w:lang w:val="en-US" w:eastAsia="zh-CN" w:bidi="ar-SA"/>
        </w:rPr>
        <w:t>评标办法正文详见中华人民共和国交通运输部《公路工程标准施工招标文件（2018年版·第一册）》相应内容。</w:t>
      </w:r>
    </w:p>
    <w:p>
      <w:pPr>
        <w:pStyle w:val="9"/>
        <w:shd w:val="clear" w:color="auto" w:fill="auto"/>
        <w:tabs>
          <w:tab w:val="left" w:leader="underscore" w:pos="3528"/>
          <w:tab w:val="left" w:leader="underscore" w:pos="7357"/>
        </w:tabs>
        <w:spacing w:before="0" w:after="0" w:line="460" w:lineRule="exact"/>
        <w:ind w:firstLine="562" w:firstLineChars="200"/>
        <w:jc w:val="both"/>
        <w:rPr>
          <w:rFonts w:hint="eastAsia" w:ascii="宋体" w:hAnsi="宋体" w:eastAsia="宋体" w:cs="黑体"/>
          <w:b/>
          <w:kern w:val="0"/>
          <w:sz w:val="28"/>
          <w:szCs w:val="28"/>
          <w:lang w:val="en-US" w:eastAsia="zh-CN" w:bidi="ar-SA"/>
        </w:rPr>
      </w:pPr>
      <w:r>
        <w:rPr>
          <w:rFonts w:hint="eastAsia" w:ascii="宋体" w:hAnsi="宋体" w:eastAsia="宋体" w:cs="黑体"/>
          <w:b/>
          <w:kern w:val="0"/>
          <w:sz w:val="28"/>
          <w:szCs w:val="28"/>
          <w:lang w:val="en-US" w:eastAsia="zh-CN" w:bidi="ar-SA"/>
        </w:rPr>
        <w:t>四.招标人联系方式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招标人：陕西交通控股集团有限公司</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地址：西安市太白南路9号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邮编：710065</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联系人：冯先生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电话：15509118396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C67B81"/>
    <w:multiLevelType w:val="singleLevel"/>
    <w:tmpl w:val="3CC67B81"/>
    <w:lvl w:ilvl="0" w:tentative="0">
      <w:start w:val="1"/>
      <w:numFmt w:val="decimal"/>
      <w:lvlText w:val="%1."/>
      <w:lvlJc w:val="left"/>
      <w:pPr>
        <w:tabs>
          <w:tab w:val="left" w:pos="312"/>
        </w:tabs>
      </w:pPr>
    </w:lvl>
  </w:abstractNum>
  <w:abstractNum w:abstractNumId="1">
    <w:nsid w:val="65D5AB1C"/>
    <w:multiLevelType w:val="singleLevel"/>
    <w:tmpl w:val="65D5AB1C"/>
    <w:lvl w:ilvl="0" w:tentative="0">
      <w:start w:val="6"/>
      <w:numFmt w:val="decimal"/>
      <w:suff w:val="nothing"/>
      <w:lvlText w:val="（%1）"/>
      <w:lvlJc w:val="left"/>
    </w:lvl>
  </w:abstractNum>
  <w:abstractNum w:abstractNumId="2">
    <w:nsid w:val="65E6834F"/>
    <w:multiLevelType w:val="singleLevel"/>
    <w:tmpl w:val="65E6834F"/>
    <w:lvl w:ilvl="0" w:tentative="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000000"/>
    <w:rsid w:val="03866278"/>
    <w:rsid w:val="067F1859"/>
    <w:rsid w:val="0B521AE6"/>
    <w:rsid w:val="0CA5180B"/>
    <w:rsid w:val="0EE04D7C"/>
    <w:rsid w:val="12EC7649"/>
    <w:rsid w:val="144E68DC"/>
    <w:rsid w:val="1B645889"/>
    <w:rsid w:val="1CF51C59"/>
    <w:rsid w:val="20326BF2"/>
    <w:rsid w:val="21FA0062"/>
    <w:rsid w:val="30356C20"/>
    <w:rsid w:val="3421051B"/>
    <w:rsid w:val="3A575A8B"/>
    <w:rsid w:val="417D1988"/>
    <w:rsid w:val="41CC7075"/>
    <w:rsid w:val="44DE5F3D"/>
    <w:rsid w:val="454C2B1F"/>
    <w:rsid w:val="46537607"/>
    <w:rsid w:val="47BB151E"/>
    <w:rsid w:val="4BF268BF"/>
    <w:rsid w:val="4C1D3DDB"/>
    <w:rsid w:val="50F419E6"/>
    <w:rsid w:val="5E6068C1"/>
    <w:rsid w:val="5FA647F3"/>
    <w:rsid w:val="6940054A"/>
    <w:rsid w:val="72D031F1"/>
    <w:rsid w:val="72EF764B"/>
    <w:rsid w:val="7A9F2A9C"/>
    <w:rsid w:val="7B3030FD"/>
    <w:rsid w:val="7FB34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宋体"/>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0"/>
    <w:rPr>
      <w:rFonts w:ascii="Arial" w:hAnsi="Arial"/>
      <w:sz w:val="24"/>
    </w:rPr>
  </w:style>
  <w:style w:type="paragraph" w:styleId="3">
    <w:name w:val="caption"/>
    <w:basedOn w:val="1"/>
    <w:next w:val="1"/>
    <w:autoRedefine/>
    <w:qFormat/>
    <w:uiPriority w:val="0"/>
    <w:pPr>
      <w:jc w:val="center"/>
    </w:pPr>
    <w:rPr>
      <w:color w:val="FF0000"/>
      <w:sz w:val="72"/>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文本5"/>
    <w:basedOn w:val="1"/>
    <w:autoRedefine/>
    <w:qFormat/>
    <w:uiPriority w:val="0"/>
    <w:pPr>
      <w:shd w:val="clear" w:color="auto" w:fill="FFFFFF"/>
      <w:spacing w:before="120" w:after="240" w:line="0" w:lineRule="atLeast"/>
      <w:jc w:val="center"/>
    </w:pPr>
    <w:rPr>
      <w:rFonts w:ascii="黑体" w:hAnsi="黑体" w:eastAsia="黑体" w:cs="黑体"/>
    </w:rPr>
  </w:style>
  <w:style w:type="paragraph" w:customStyle="1" w:styleId="10">
    <w:name w:val="正文文本11"/>
    <w:basedOn w:val="1"/>
    <w:link w:val="12"/>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11">
    <w:name w:val="正文文本 + 12.5 pt"/>
    <w:basedOn w:val="12"/>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12">
    <w:name w:val="正文文本_"/>
    <w:basedOn w:val="7"/>
    <w:link w:val="10"/>
    <w:qFormat/>
    <w:uiPriority w:val="0"/>
    <w:rPr>
      <w:rFonts w:ascii="宋体" w:hAnsi="宋体" w:eastAsia="宋体" w:cs="宋体"/>
      <w:sz w:val="23"/>
      <w:szCs w:val="23"/>
    </w:rPr>
  </w:style>
  <w:style w:type="character" w:customStyle="1" w:styleId="13">
    <w:name w:val="正文文本 + MS Gothic"/>
    <w:basedOn w:val="12"/>
    <w:autoRedefine/>
    <w:qFormat/>
    <w:uiPriority w:val="0"/>
    <w:rPr>
      <w:rFonts w:ascii="MS Gothic" w:hAnsi="MS Gothic" w:eastAsia="MS Gothic" w:cs="MS Gothic"/>
      <w:color w:val="000000"/>
      <w:spacing w:val="0"/>
      <w:w w:val="100"/>
      <w:position w:val="0"/>
      <w:sz w:val="15"/>
      <w:szCs w:val="15"/>
      <w:shd w:val="clear" w:color="auto" w:fill="FFFFFF"/>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2023-11-01T06:19:00Z</dcterms:created>
  <dc:creator>HP</dc:creator>
  <cp:lastModifiedBy>仵晓煜</cp:lastModifiedBy>
  <cp:lastPrinted>2024-03-05T02:25:00Z</cp:lastPrinted>
  <dcterms:modified xsi:type="dcterms:W3CDTF">2024-03-05T03:19:00Z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17A4AAD3484047039816B5A30D566CB0_12</vt:lpwstr>
  </property>
</Properties>
</file>