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陕西省交通运输厅2024年度生态环境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保护职责履行情况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p>
    <w:p>
      <w:pPr>
        <w:pStyle w:val="4"/>
        <w:pageBreakBefore w:val="0"/>
        <w:widowControl w:val="0"/>
        <w:kinsoku/>
        <w:wordWrap/>
        <w:overflowPunct/>
        <w:topLinePunct w:val="0"/>
        <w:autoSpaceDE/>
        <w:autoSpaceDN/>
        <w:bidi w:val="0"/>
        <w:adjustRightInd/>
        <w:snapToGrid/>
        <w:spacing w:line="600" w:lineRule="exact"/>
        <w:textAlignment w:val="auto"/>
        <w:rPr>
          <w:rFonts w:hint="eastAsia"/>
          <w:highlight w:val="none"/>
          <w:lang w:val="en-US" w:eastAsia="zh-CN"/>
        </w:rPr>
      </w:pPr>
      <w:r>
        <w:rPr>
          <w:rFonts w:hint="eastAsia" w:ascii="仿宋_GB2312" w:hAnsi="仿宋_GB2312" w:eastAsia="仿宋_GB2312" w:cs="仿宋_GB2312"/>
          <w:color w:val="auto"/>
          <w:sz w:val="32"/>
          <w:szCs w:val="32"/>
          <w:lang w:val="en-US" w:eastAsia="zh-CN"/>
        </w:rPr>
        <w:t>2024年，全省交通运输系统以习近平新时代中国特色社会主义思想为指导，深入贯彻习近平生态文明思想和习近平总书记来陕考察重要讲话重要指示精神，认真落实党中央、国务院关于生态环境保护工作的决策部署，在省委省政府的坚强领导下，全面履行生态环境保护责任，扎实推进我省交通运输生态环境保护各项工作。</w:t>
      </w:r>
      <w:bookmarkStart w:id="0" w:name="_GoBack"/>
      <w:bookmarkEnd w:id="0"/>
    </w:p>
    <w:p>
      <w:pPr>
        <w:pStyle w:val="4"/>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ascii="黑体" w:hAnsi="黑体" w:eastAsia="黑体" w:cs="Times New Roman"/>
          <w:kern w:val="44"/>
          <w:sz w:val="32"/>
          <w:szCs w:val="24"/>
          <w:highlight w:val="none"/>
          <w:lang w:val="en-US" w:eastAsia="zh-CN" w:bidi="ar-SA"/>
        </w:rPr>
      </w:pPr>
      <w:r>
        <w:rPr>
          <w:rFonts w:hint="eastAsia" w:cs="Times New Roman"/>
          <w:kern w:val="44"/>
          <w:sz w:val="32"/>
          <w:szCs w:val="24"/>
          <w:highlight w:val="none"/>
          <w:lang w:val="en-US" w:eastAsia="zh-CN" w:bidi="ar-SA"/>
        </w:rPr>
        <w:t>一、</w:t>
      </w:r>
      <w:r>
        <w:rPr>
          <w:rFonts w:hint="eastAsia" w:ascii="黑体" w:hAnsi="黑体" w:eastAsia="黑体" w:cs="Times New Roman"/>
          <w:kern w:val="44"/>
          <w:sz w:val="32"/>
          <w:szCs w:val="24"/>
          <w:highlight w:val="none"/>
          <w:lang w:val="en-US" w:eastAsia="zh-CN" w:bidi="ar-SA"/>
        </w:rPr>
        <w:t>强化政策引领，持续推进运输结构调整</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起草制订《陕西省交通运输结构调整专项工作实施方案（2024-2027年）》，并报送省大气专项办、省政府审定。做好运行监测，跟踪运输结构调整关键指标，按季度通报各地市、重点国有企业任务完成情况。2024年全省完成铁路货运量</w:t>
      </w:r>
      <w:r>
        <w:rPr>
          <w:rFonts w:hint="default" w:ascii="仿宋_GB2312" w:hAnsi="仿宋_GB2312" w:eastAsia="仿宋_GB2312" w:cs="仿宋_GB2312"/>
          <w:color w:val="auto"/>
          <w:kern w:val="2"/>
          <w:sz w:val="32"/>
          <w:szCs w:val="32"/>
          <w:highlight w:val="none"/>
          <w:lang w:val="en" w:eastAsia="zh-CN" w:bidi="ar-SA"/>
        </w:rPr>
        <w:t>4.44</w:t>
      </w:r>
      <w:r>
        <w:rPr>
          <w:rFonts w:hint="eastAsia" w:ascii="仿宋_GB2312" w:hAnsi="仿宋_GB2312" w:eastAsia="仿宋_GB2312" w:cs="仿宋_GB2312"/>
          <w:color w:val="auto"/>
          <w:kern w:val="2"/>
          <w:sz w:val="32"/>
          <w:szCs w:val="32"/>
          <w:highlight w:val="none"/>
          <w:lang w:val="en-US" w:eastAsia="zh-CN" w:bidi="ar-SA"/>
        </w:rPr>
        <w:t>亿吨，完成年度目标任务。我厅会同省发改委、西安海关，组织相关企业申报创建的“陕鲁协同依托新亚欧大陆桥国际运输通道推进降本提质增效”“依托‘西煤东运’通道推进物流降本提质增效”2个试点任务顺利入选首批交通物流降本提质增效交通强国专项试点任务名单。</w:t>
      </w:r>
    </w:p>
    <w:p>
      <w:pPr>
        <w:pStyle w:val="4"/>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cs="Times New Roman"/>
          <w:kern w:val="44"/>
          <w:sz w:val="32"/>
          <w:szCs w:val="24"/>
          <w:highlight w:val="none"/>
          <w:lang w:val="en-US" w:eastAsia="zh-CN" w:bidi="ar-SA"/>
        </w:rPr>
      </w:pPr>
      <w:r>
        <w:rPr>
          <w:rFonts w:hint="eastAsia" w:cs="Times New Roman"/>
          <w:kern w:val="44"/>
          <w:sz w:val="32"/>
          <w:szCs w:val="24"/>
          <w:highlight w:val="none"/>
          <w:lang w:val="en-US" w:eastAsia="zh-CN" w:bidi="ar-SA"/>
        </w:rPr>
        <w:t>二、加强建设监管，全过程落实绿色公路建设理念</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highlight w:val="none"/>
          <w:lang w:val="en-US" w:eastAsia="zh-CN"/>
        </w:rPr>
        <w:t>依法对交通运输建设项目生态环境保护实施监督管理，从项目规划、设计、建设、运营、管理全过程落实绿色公路建设理念，环境保护措施贯穿始终。如安康至岚皋（陕渝界）高速公路施工期间在全线跨（临）河桥梁路段设置移动式泥浆收集箱和移动式“脱泥-净化”一体机处理桥梁施工泥浆、废水等。项目建设过程中通过采用雨污水收集系统、废旧沥青路面循环利用等环保方式，实现交通项目建设与环境保护共赢。综合利用建筑垃圾生产再生材料替代砂石材料，在路面基层、底基层、路基、地基处理、防护工程及附属工程等领域进行大规模循环利用，为解决建筑垃圾回收再利用和道路原材料紧缺两大问题提供有效的途径。</w:t>
      </w:r>
    </w:p>
    <w:p>
      <w:pPr>
        <w:pStyle w:val="4"/>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cs="Times New Roman"/>
          <w:kern w:val="44"/>
          <w:sz w:val="32"/>
          <w:szCs w:val="24"/>
          <w:highlight w:val="none"/>
          <w:lang w:val="en-US" w:eastAsia="zh-CN" w:bidi="ar-SA"/>
        </w:rPr>
      </w:pPr>
      <w:r>
        <w:rPr>
          <w:rFonts w:hint="eastAsia" w:cs="Times New Roman"/>
          <w:kern w:val="44"/>
          <w:sz w:val="32"/>
          <w:szCs w:val="24"/>
          <w:highlight w:val="none"/>
          <w:lang w:val="en-US" w:eastAsia="zh-CN" w:bidi="ar-SA"/>
        </w:rPr>
        <w:t>三、倡导节能技术，推动公路养护管理绿色化</w:t>
      </w:r>
    </w:p>
    <w:p>
      <w:pPr>
        <w:pStyle w:val="7"/>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auto"/>
          <w:kern w:val="2"/>
          <w:sz w:val="32"/>
          <w:szCs w:val="32"/>
          <w:highlight w:val="yellow"/>
          <w:lang w:val="en-US" w:eastAsia="zh-CN" w:bidi="ar-SA"/>
        </w:rPr>
      </w:pPr>
      <w:r>
        <w:rPr>
          <w:rFonts w:hint="eastAsia" w:ascii="仿宋_GB2312" w:hAnsi="仿宋_GB2312" w:eastAsia="仿宋_GB2312" w:cs="仿宋_GB2312"/>
          <w:color w:val="auto"/>
          <w:kern w:val="2"/>
          <w:sz w:val="32"/>
          <w:szCs w:val="32"/>
          <w:highlight w:val="none"/>
          <w:lang w:val="en-US" w:eastAsia="zh-CN" w:bidi="ar-SA"/>
        </w:rPr>
        <w:t>强化日常养护绿色化，抓住春季有利季节，开展公路两侧植树增绿工作。高速公路全面采用机械化清扫，加大机械设备配备，提高工作效率。突出养护工程绿色化，推广采用废旧路面循环再生利用技术和水泥路面碎石化技术，废旧路面材料回收率高速公路、普通国省道分别达到100%，废旧路面材料循环利用率高速公路、普通国省道分别达到98.82%、91.22%。推动节能减排常态化，在高速公路服务区（停车区）停车位、公路服务区（停车区）屋顶、收费站屋顶等位置建设分布式光伏，2024年建成装机容量10MW。持续推进公路沿线充电基础设施建设，持续优化加密高速公路服务区充电基础设施，积极推动具备条件的普通国省干线公路服务区（站）因地制宜科学布设充电基础设施，不断提升公路沿线充电基础服务。</w:t>
      </w:r>
    </w:p>
    <w:p>
      <w:pPr>
        <w:pStyle w:val="4"/>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cs="Times New Roman"/>
          <w:kern w:val="44"/>
          <w:sz w:val="32"/>
          <w:szCs w:val="24"/>
          <w:highlight w:val="none"/>
          <w:lang w:val="en-US" w:eastAsia="zh-CN" w:bidi="ar-SA"/>
        </w:rPr>
      </w:pPr>
      <w:r>
        <w:rPr>
          <w:rFonts w:hint="eastAsia" w:cs="Times New Roman"/>
          <w:kern w:val="44"/>
          <w:sz w:val="32"/>
          <w:szCs w:val="24"/>
          <w:highlight w:val="none"/>
          <w:lang w:val="en-US" w:eastAsia="zh-CN" w:bidi="ar-SA"/>
        </w:rPr>
        <w:t>四、持续推广发行ETC，大力推行差异化收费</w:t>
      </w:r>
    </w:p>
    <w:p>
      <w:pPr>
        <w:pStyle w:val="7"/>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积极对接各合作银行、各高速公路ETC发行服务网点，全力做好设备供应、技术支持、业务培训等服务保障工作。继续扩大ETC预存卡试点受众范围，2024年新办理ETC预存卡用户7.44万户，累计发行8.53万户；年度新增ETC套装42.37万户。按照省委、省政府《关于陕西大气污染治理专项行动方案（2023-2027年）》要求，制定工作方案，对通行西安外环高速公路南段的货车实施差异化收费政策，并对西安绕城高速公路实施过境西安黄牌货车限行措施。2024年，全省高速公路累计减免优惠通行费63.92亿元。对神佳米、延黄、旬凤等高速公路开展“以量定价”差异化收费政策研究，结合实际情况对货车按最低2.5折收取通行费，积极吸引货车通行高速公路。</w:t>
      </w:r>
    </w:p>
    <w:p>
      <w:pPr>
        <w:pStyle w:val="7"/>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黑体" w:hAnsi="黑体" w:eastAsia="黑体" w:cs="Times New Roman"/>
          <w:kern w:val="44"/>
          <w:sz w:val="32"/>
          <w:szCs w:val="24"/>
          <w:highlight w:val="none"/>
          <w:lang w:val="en-US" w:eastAsia="zh-CN" w:bidi="ar-SA"/>
        </w:rPr>
        <w:t>五</w:t>
      </w:r>
      <w:r>
        <w:rPr>
          <w:rFonts w:hint="eastAsia" w:ascii="黑体" w:hAnsi="黑体" w:cs="Times New Roman"/>
          <w:kern w:val="44"/>
          <w:sz w:val="32"/>
          <w:szCs w:val="24"/>
          <w:highlight w:val="none"/>
          <w:lang w:val="en-US" w:eastAsia="zh-CN" w:bidi="ar-SA"/>
        </w:rPr>
        <w:t>、</w:t>
      </w:r>
      <w:r>
        <w:rPr>
          <w:rFonts w:hint="eastAsia" w:ascii="黑体" w:hAnsi="黑体" w:eastAsia="黑体" w:cs="Times New Roman"/>
          <w:kern w:val="44"/>
          <w:sz w:val="32"/>
          <w:szCs w:val="24"/>
          <w:highlight w:val="none"/>
          <w:lang w:val="en-US" w:eastAsia="zh-CN" w:bidi="ar-SA"/>
        </w:rPr>
        <w:t>倡导绿色出行,积极开展公交都市创建</w:t>
      </w:r>
    </w:p>
    <w:p>
      <w:pPr>
        <w:pStyle w:val="7"/>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i w:val="0"/>
          <w:color w:val="auto"/>
          <w:spacing w:val="0"/>
          <w:sz w:val="32"/>
          <w:szCs w:val="32"/>
          <w:u w:val="none"/>
          <w:lang w:val="en-US" w:eastAsia="zh-CN"/>
        </w:rPr>
        <w:t>指导西安、宝鸡市不断巩固公交都市示范创建成果。争取下拨全省</w:t>
      </w:r>
      <w:r>
        <w:rPr>
          <w:rFonts w:hint="eastAsia" w:ascii="仿宋_GB2312" w:hAnsi="仿宋_GB2312" w:eastAsia="仿宋_GB2312" w:cs="仿宋_GB2312"/>
          <w:sz w:val="32"/>
          <w:szCs w:val="32"/>
          <w:lang w:val="en-US" w:eastAsia="zh-CN"/>
        </w:rPr>
        <w:t>城市交通发展奖励资金25787万元，</w:t>
      </w:r>
      <w:r>
        <w:rPr>
          <w:rFonts w:hint="eastAsia" w:ascii="仿宋_GB2312" w:hAnsi="仿宋_GB2312" w:eastAsia="仿宋_GB2312" w:cs="仿宋_GB2312"/>
          <w:color w:val="000000"/>
          <w:kern w:val="2"/>
          <w:sz w:val="32"/>
          <w:szCs w:val="32"/>
          <w:lang w:val="zh-TW" w:eastAsia="zh-TW" w:bidi="zh-TW"/>
        </w:rPr>
        <w:t>促进出租车、城市公共交通等行业健康可持续和高质量发展。</w:t>
      </w:r>
      <w:r>
        <w:rPr>
          <w:rFonts w:hint="eastAsia" w:ascii="仿宋_GB2312" w:hAnsi="仿宋_GB2312" w:eastAsia="仿宋_GB2312" w:cs="仿宋_GB2312"/>
          <w:i w:val="0"/>
          <w:color w:val="auto"/>
          <w:spacing w:val="0"/>
          <w:sz w:val="32"/>
          <w:szCs w:val="32"/>
          <w:u w:val="none"/>
          <w:lang w:val="en-US" w:eastAsia="zh-CN"/>
        </w:rPr>
        <w:t>全省新打造敬老爱老城市公交线路36条</w:t>
      </w:r>
      <w:r>
        <w:rPr>
          <w:rFonts w:hint="eastAsia" w:ascii="仿宋_GB2312" w:hAnsi="Calibri" w:eastAsia="仿宋_GB2312" w:cs="仿宋_GB2312"/>
          <w:kern w:val="2"/>
          <w:sz w:val="32"/>
          <w:szCs w:val="32"/>
          <w:lang w:val="en-US" w:eastAsia="zh-CN" w:bidi="ar"/>
        </w:rPr>
        <w:t>，</w:t>
      </w:r>
      <w:r>
        <w:rPr>
          <w:rFonts w:hint="eastAsia" w:ascii="仿宋_GB2312" w:eastAsia="仿宋_GB2312" w:cs="仿宋_GB2312"/>
          <w:kern w:val="2"/>
          <w:sz w:val="32"/>
          <w:szCs w:val="32"/>
          <w:lang w:val="en-US" w:eastAsia="zh-CN" w:bidi="ar"/>
        </w:rPr>
        <w:t>打造通学公交线路49条，建成投运9个出租车“司机小站（驿站）”。指导西安</w:t>
      </w:r>
      <w:r>
        <w:rPr>
          <w:rFonts w:hint="eastAsia" w:ascii="仿宋_GB2312" w:hAnsi="Calibri" w:eastAsia="仿宋_GB2312" w:cs="仿宋_GB2312"/>
          <w:kern w:val="2"/>
          <w:sz w:val="32"/>
          <w:szCs w:val="32"/>
          <w:lang w:val="en-US" w:eastAsia="zh-CN" w:bidi="ar"/>
        </w:rPr>
        <w:t>地铁4号线</w:t>
      </w:r>
      <w:r>
        <w:rPr>
          <w:rFonts w:hint="eastAsia" w:ascii="仿宋_GB2312" w:eastAsia="仿宋_GB2312" w:cs="仿宋_GB2312"/>
          <w:kern w:val="2"/>
          <w:sz w:val="32"/>
          <w:szCs w:val="32"/>
          <w:lang w:val="en-US" w:eastAsia="zh-CN" w:bidi="ar"/>
        </w:rPr>
        <w:t>成功</w:t>
      </w:r>
      <w:r>
        <w:rPr>
          <w:rFonts w:hint="eastAsia" w:ascii="仿宋_GB2312" w:hAnsi="Calibri" w:eastAsia="仿宋_GB2312" w:cs="仿宋_GB2312"/>
          <w:kern w:val="2"/>
          <w:sz w:val="32"/>
          <w:szCs w:val="32"/>
          <w:lang w:val="en-US" w:eastAsia="zh-CN" w:bidi="ar"/>
        </w:rPr>
        <w:t>打造</w:t>
      </w:r>
      <w:r>
        <w:rPr>
          <w:rFonts w:hint="eastAsia" w:ascii="仿宋_GB2312" w:eastAsia="仿宋_GB2312" w:cs="仿宋_GB2312"/>
          <w:kern w:val="2"/>
          <w:sz w:val="32"/>
          <w:szCs w:val="32"/>
          <w:lang w:val="en-US" w:eastAsia="zh-CN" w:bidi="ar"/>
        </w:rPr>
        <w:t>全国</w:t>
      </w:r>
      <w:r>
        <w:rPr>
          <w:rFonts w:hint="eastAsia" w:ascii="仿宋_GB2312" w:hAnsi="Calibri" w:eastAsia="仿宋_GB2312" w:cs="仿宋_GB2312"/>
          <w:kern w:val="2"/>
          <w:sz w:val="32"/>
          <w:szCs w:val="32"/>
          <w:lang w:val="en-US" w:eastAsia="zh-CN" w:bidi="ar"/>
        </w:rPr>
        <w:t>城市轨道交通运营服务品牌线路，升级“无障碍联程”服务、乘客电子意见箱、“活地图”等特色服务</w:t>
      </w:r>
      <w:r>
        <w:rPr>
          <w:rFonts w:hint="eastAsia" w:ascii="仿宋_GB2312" w:hAnsi="仿宋_GB2312" w:eastAsia="仿宋_GB2312" w:cs="仿宋_GB2312"/>
          <w:i w:val="0"/>
          <w:color w:val="auto"/>
          <w:spacing w:val="0"/>
          <w:sz w:val="32"/>
          <w:szCs w:val="32"/>
          <w:u w:val="none"/>
          <w:lang w:val="en-US" w:eastAsia="zh-CN"/>
        </w:rPr>
        <w:t>。</w:t>
      </w:r>
    </w:p>
    <w:p>
      <w:pPr>
        <w:pStyle w:val="7"/>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Times New Roman"/>
          <w:kern w:val="44"/>
          <w:sz w:val="32"/>
          <w:szCs w:val="24"/>
          <w:highlight w:val="none"/>
          <w:lang w:val="en-US" w:eastAsia="zh-CN" w:bidi="ar-SA"/>
        </w:rPr>
      </w:pPr>
      <w:r>
        <w:rPr>
          <w:rFonts w:hint="eastAsia" w:ascii="黑体" w:hAnsi="黑体" w:eastAsia="黑体" w:cs="Times New Roman"/>
          <w:kern w:val="44"/>
          <w:sz w:val="32"/>
          <w:szCs w:val="24"/>
          <w:highlight w:val="none"/>
          <w:lang w:val="en-US" w:eastAsia="zh-CN" w:bidi="ar-SA"/>
        </w:rPr>
        <w:t>六</w:t>
      </w:r>
      <w:r>
        <w:rPr>
          <w:rFonts w:hint="eastAsia" w:ascii="黑体" w:hAnsi="黑体" w:cs="Times New Roman"/>
          <w:kern w:val="44"/>
          <w:sz w:val="32"/>
          <w:szCs w:val="24"/>
          <w:highlight w:val="none"/>
          <w:lang w:val="en-US" w:eastAsia="zh-CN" w:bidi="ar-SA"/>
        </w:rPr>
        <w:t>、</w:t>
      </w:r>
      <w:r>
        <w:rPr>
          <w:rFonts w:hint="eastAsia" w:ascii="黑体" w:hAnsi="黑体" w:eastAsia="黑体" w:cs="Times New Roman"/>
          <w:kern w:val="44"/>
          <w:sz w:val="32"/>
          <w:szCs w:val="24"/>
          <w:highlight w:val="none"/>
          <w:lang w:val="en-US" w:eastAsia="zh-CN" w:bidi="ar-SA"/>
        </w:rPr>
        <w:t>提升处突能力，加强船舶防污染监管</w:t>
      </w:r>
    </w:p>
    <w:p>
      <w:pPr>
        <w:pStyle w:val="7"/>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印发《陕西省交通运输厅关于持续做好丹江口库区上游流域水路运输污染防治工作的通知》，督促和指导相关地市加强营运船舶防污染监督管理。投入省级交通资金170万元，支持安康建设旬阳船舶污染物接送专用码头，提高丹</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江口库区上游流域</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船舶水污染物收集效率。联合榆林市政府、省农业农村厅在榆林红碱淖水域举办2024年水上交通应急救援演练，演练设置漂浮物打捞、泄漏油污处置等与水污染防治有关科目，提升我省湖泊水域水路运输突发水污染事件应急处置能力。贯彻落实部省有关要求，联合省发改委制定印发《陕西省老旧营运船舶报废更新补贴实施办法》，指导和支持地市报废更新老旧营运船舶。</w:t>
      </w:r>
    </w:p>
    <w:p>
      <w:pPr>
        <w:pStyle w:val="4"/>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ascii="黑体" w:hAnsi="黑体" w:eastAsia="黑体" w:cs="Times New Roman"/>
          <w:kern w:val="44"/>
          <w:sz w:val="32"/>
          <w:szCs w:val="24"/>
          <w:highlight w:val="none"/>
          <w:lang w:val="en-US" w:eastAsia="zh-CN" w:bidi="ar-SA"/>
        </w:rPr>
      </w:pPr>
      <w:r>
        <w:rPr>
          <w:rFonts w:hint="eastAsia" w:ascii="黑体" w:hAnsi="黑体" w:eastAsia="黑体" w:cs="Times New Roman"/>
          <w:kern w:val="44"/>
          <w:sz w:val="32"/>
          <w:szCs w:val="24"/>
          <w:highlight w:val="none"/>
          <w:lang w:val="en-US" w:eastAsia="zh-CN" w:bidi="ar-SA"/>
        </w:rPr>
        <w:t>七</w:t>
      </w:r>
      <w:r>
        <w:rPr>
          <w:rFonts w:hint="eastAsia" w:cs="Times New Roman"/>
          <w:kern w:val="44"/>
          <w:sz w:val="32"/>
          <w:szCs w:val="24"/>
          <w:highlight w:val="none"/>
          <w:lang w:val="en-US" w:eastAsia="zh-CN" w:bidi="ar-SA"/>
        </w:rPr>
        <w:t>、</w:t>
      </w:r>
      <w:r>
        <w:rPr>
          <w:rFonts w:hint="eastAsia" w:ascii="黑体" w:hAnsi="黑体" w:eastAsia="黑体" w:cs="Times New Roman"/>
          <w:kern w:val="44"/>
          <w:sz w:val="32"/>
          <w:szCs w:val="24"/>
          <w:highlight w:val="none"/>
          <w:lang w:val="en-US" w:eastAsia="zh-CN" w:bidi="ar-SA"/>
        </w:rPr>
        <w:t>优化运输路径，强力保障危化品运输安全</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40"/>
          <w:lang w:val="en-US" w:eastAsia="zh-CN"/>
        </w:rPr>
        <w:t>会同省公安厅交警总队，指导陕南有关地市加强应急能力建设，稳步有序放开G5京昆高速汉中至陕川界段危化品运输，将以往危化品运输以“国省道”为主方式，调整为“高速路+国省道”多路径通行，有效缓解我省去往四川方向的国省干线公路危化品运输压力。督促危险货物运输企业合理安排运输线路，严格执行恶劣天气、特殊路段禁限行要求。</w:t>
      </w:r>
      <w:r>
        <w:rPr>
          <w:rFonts w:hint="eastAsia" w:ascii="仿宋_GB2312" w:hAnsi="仿宋_GB2312" w:eastAsia="仿宋_GB2312" w:cs="仿宋_GB2312"/>
          <w:b w:val="0"/>
          <w:bCs w:val="0"/>
          <w:sz w:val="32"/>
          <w:szCs w:val="32"/>
          <w:lang w:val="zh-TW" w:eastAsia="zh-TW"/>
        </w:rPr>
        <w:t>强化道路危险货物运输车辆管理</w:t>
      </w:r>
      <w:r>
        <w:rPr>
          <w:rFonts w:hint="eastAsia" w:ascii="仿宋_GB2312" w:hAnsi="仿宋_GB2312" w:eastAsia="仿宋_GB2312" w:cs="仿宋_GB2312"/>
          <w:b w:val="0"/>
          <w:bCs w:val="0"/>
          <w:sz w:val="32"/>
          <w:szCs w:val="32"/>
          <w:lang w:val="zh-TW" w:eastAsia="zh-CN"/>
        </w:rPr>
        <w:t>，</w:t>
      </w:r>
      <w:r>
        <w:rPr>
          <w:rFonts w:hint="default" w:ascii="仿宋_GB2312" w:hAnsi="仿宋_GB2312" w:eastAsia="仿宋_GB2312" w:cs="仿宋_GB2312"/>
          <w:b w:val="0"/>
          <w:bCs w:val="0"/>
          <w:sz w:val="32"/>
          <w:szCs w:val="32"/>
          <w:lang w:val="en" w:eastAsia="zh-TW"/>
        </w:rPr>
        <w:t>确保</w:t>
      </w:r>
      <w:r>
        <w:rPr>
          <w:rFonts w:ascii="仿宋_GB2312" w:hAnsi="仿宋_GB2312" w:eastAsia="仿宋_GB2312" w:cs="仿宋_GB2312"/>
          <w:b w:val="0"/>
          <w:bCs w:val="0"/>
          <w:sz w:val="32"/>
          <w:szCs w:val="32"/>
          <w:lang w:val="zh-TW" w:eastAsia="zh-TW"/>
        </w:rPr>
        <w:t>在用</w:t>
      </w:r>
      <w:r>
        <w:rPr>
          <w:rFonts w:hint="eastAsia" w:ascii="仿宋_GB2312" w:hAnsi="仿宋_GB2312" w:eastAsia="仿宋_GB2312" w:cs="仿宋_GB2312"/>
          <w:b w:val="0"/>
          <w:bCs w:val="0"/>
          <w:sz w:val="32"/>
          <w:szCs w:val="32"/>
          <w:lang w:val="zh-TW" w:eastAsia="zh-CN"/>
        </w:rPr>
        <w:t>危运</w:t>
      </w:r>
      <w:r>
        <w:rPr>
          <w:rFonts w:ascii="仿宋_GB2312" w:hAnsi="仿宋_GB2312" w:eastAsia="仿宋_GB2312" w:cs="仿宋_GB2312"/>
          <w:b w:val="0"/>
          <w:bCs w:val="0"/>
          <w:sz w:val="32"/>
          <w:szCs w:val="32"/>
          <w:lang w:val="zh-TW" w:eastAsia="zh-TW"/>
        </w:rPr>
        <w:t>车辆技术等级达到一级标准，</w:t>
      </w:r>
      <w:r>
        <w:rPr>
          <w:rFonts w:hint="eastAsia" w:ascii="仿宋_GB2312" w:hAnsi="仿宋_GB2312" w:eastAsia="仿宋_GB2312" w:cs="仿宋_GB2312"/>
          <w:b w:val="0"/>
          <w:bCs w:val="0"/>
          <w:sz w:val="32"/>
          <w:szCs w:val="32"/>
          <w:lang w:val="zh-TW" w:eastAsia="zh-CN"/>
        </w:rPr>
        <w:t>车辆实时监控</w:t>
      </w:r>
      <w:r>
        <w:rPr>
          <w:rFonts w:ascii="仿宋_GB2312" w:hAnsi="仿宋_GB2312" w:eastAsia="仿宋_GB2312" w:cs="仿宋_GB2312"/>
          <w:b w:val="0"/>
          <w:bCs w:val="0"/>
          <w:sz w:val="32"/>
          <w:szCs w:val="32"/>
          <w:lang w:val="zh-TW" w:eastAsia="zh-TW"/>
        </w:rPr>
        <w:t>的入网率达100%。</w:t>
      </w:r>
      <w:r>
        <w:rPr>
          <w:rFonts w:hint="eastAsia" w:ascii="仿宋_GB2312" w:hAnsi="仿宋_GB2312" w:eastAsia="仿宋_GB2312" w:cs="仿宋_GB2312"/>
          <w:b w:val="0"/>
          <w:bCs w:val="0"/>
          <w:sz w:val="32"/>
          <w:szCs w:val="32"/>
          <w:lang w:val="zh-TW" w:eastAsia="zh-TW"/>
        </w:rPr>
        <w:t>全面推广使用危运电子运单系统</w:t>
      </w:r>
      <w:r>
        <w:rPr>
          <w:rFonts w:hint="eastAsia" w:ascii="仿宋_GB2312" w:hAnsi="仿宋_GB2312" w:eastAsia="仿宋_GB2312" w:cs="仿宋_GB2312"/>
          <w:b w:val="0"/>
          <w:bCs w:val="0"/>
          <w:sz w:val="32"/>
          <w:szCs w:val="32"/>
          <w:lang w:val="zh-TW" w:eastAsia="zh-CN"/>
        </w:rPr>
        <w:t>，目前全省危运</w:t>
      </w:r>
      <w:r>
        <w:rPr>
          <w:rFonts w:hint="eastAsia" w:ascii="仿宋_GB2312" w:hAnsi="仿宋_GB2312" w:eastAsia="仿宋_GB2312" w:cs="仿宋_GB2312"/>
          <w:b w:val="0"/>
          <w:bCs w:val="0"/>
          <w:snapToGrid/>
          <w:kern w:val="2"/>
          <w:sz w:val="32"/>
          <w:szCs w:val="32"/>
          <w:lang w:val="en-US" w:eastAsia="zh-CN"/>
        </w:rPr>
        <w:t>企业覆盖率99%</w:t>
      </w:r>
      <w:r>
        <w:rPr>
          <w:rFonts w:ascii="仿宋_GB2312" w:hAnsi="仿宋_GB2312" w:eastAsia="仿宋_GB2312" w:cs="仿宋_GB2312"/>
          <w:b w:val="0"/>
          <w:bCs w:val="0"/>
          <w:sz w:val="32"/>
          <w:szCs w:val="32"/>
          <w:lang w:val="zh-TW" w:eastAsia="zh-TW"/>
        </w:rPr>
        <w:t>（一类爆炸品运输企业覆盖率100%）</w:t>
      </w:r>
      <w:r>
        <w:rPr>
          <w:rFonts w:hint="eastAsia" w:ascii="仿宋_GB2312" w:hAnsi="仿宋_GB2312" w:eastAsia="仿宋_GB2312" w:cs="仿宋_GB2312"/>
          <w:b w:val="0"/>
          <w:bCs w:val="0"/>
          <w:snapToGrid/>
          <w:kern w:val="2"/>
          <w:sz w:val="32"/>
          <w:szCs w:val="32"/>
          <w:lang w:val="en-US" w:eastAsia="zh-CN"/>
        </w:rPr>
        <w:t>，车辆覆盖率99.08%</w:t>
      </w:r>
      <w:r>
        <w:rPr>
          <w:rFonts w:ascii="仿宋_GB2312" w:hAnsi="仿宋_GB2312" w:eastAsia="仿宋_GB2312" w:cs="仿宋_GB2312"/>
          <w:b w:val="0"/>
          <w:bCs w:val="0"/>
          <w:sz w:val="32"/>
          <w:szCs w:val="32"/>
          <w:lang w:val="zh-TW" w:eastAsia="zh-TW"/>
        </w:rPr>
        <w:t>，居全国前列。</w:t>
      </w:r>
      <w:r>
        <w:rPr>
          <w:rFonts w:hint="eastAsia" w:ascii="仿宋_GB2312" w:hAnsi="仿宋_GB2312" w:eastAsia="仿宋_GB2312" w:cs="仿宋_GB2312"/>
          <w:b w:val="0"/>
          <w:bCs w:val="0"/>
          <w:kern w:val="2"/>
          <w:sz w:val="32"/>
          <w:szCs w:val="32"/>
          <w:lang w:val="en-US" w:eastAsia="zh-CN" w:bidi="ar-SA"/>
        </w:rPr>
        <w:t>扎实开展信誉评价并强化结果应用，组织开展了</w:t>
      </w:r>
      <w:r>
        <w:rPr>
          <w:rFonts w:hint="default" w:ascii="仿宋_GB2312" w:hAnsi="仿宋_GB2312" w:eastAsia="仿宋_GB2312" w:cs="仿宋_GB2312"/>
          <w:b w:val="0"/>
          <w:bCs w:val="0"/>
          <w:kern w:val="2"/>
          <w:sz w:val="32"/>
          <w:szCs w:val="32"/>
          <w:lang w:val="en" w:eastAsia="zh-CN" w:bidi="ar-SA"/>
        </w:rPr>
        <w:t>上一</w:t>
      </w:r>
      <w:r>
        <w:rPr>
          <w:rFonts w:hint="eastAsia" w:ascii="仿宋_GB2312" w:hAnsi="仿宋_GB2312" w:eastAsia="仿宋_GB2312" w:cs="仿宋_GB2312"/>
          <w:b w:val="0"/>
          <w:bCs w:val="0"/>
          <w:kern w:val="2"/>
          <w:sz w:val="32"/>
          <w:szCs w:val="32"/>
          <w:lang w:val="en-US" w:eastAsia="zh-CN" w:bidi="ar-SA"/>
        </w:rPr>
        <w:t>年度全省道路危险货物运输企业质量信誉评价工作，评选年度我省道路危险货物运输企业质量信誉评价AAA级企业24家</w:t>
      </w:r>
      <w:r>
        <w:rPr>
          <w:rFonts w:hint="eastAsia" w:ascii="仿宋_GB2312" w:hAnsi="仿宋_GB2312" w:eastAsia="仿宋_GB2312" w:cs="仿宋_GB2312"/>
          <w:kern w:val="2"/>
          <w:sz w:val="32"/>
          <w:szCs w:val="32"/>
          <w:lang w:val="en-US" w:eastAsia="zh-CN" w:bidi="ar-SA"/>
        </w:rPr>
        <w:t>。</w:t>
      </w:r>
    </w:p>
    <w:sectPr>
      <w:footerReference r:id="rId4" w:type="first"/>
      <w:footerReference r:id="rId3" w:type="default"/>
      <w:pgSz w:w="11906" w:h="16838"/>
      <w:pgMar w:top="2098" w:right="1474" w:bottom="1984" w:left="158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- 2 -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9"/>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- 2 -</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9"/>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wNDUyODU4ZTRhMTgwOTVkOTU5OWNlZDQzMmY2YTUifQ=="/>
  </w:docVars>
  <w:rsids>
    <w:rsidRoot w:val="00000000"/>
    <w:rsid w:val="0FEED6FD"/>
    <w:rsid w:val="127A0D97"/>
    <w:rsid w:val="14FF7A88"/>
    <w:rsid w:val="19BBA480"/>
    <w:rsid w:val="1A3028A3"/>
    <w:rsid w:val="1AEF2E4F"/>
    <w:rsid w:val="1BE7B787"/>
    <w:rsid w:val="1C79B20F"/>
    <w:rsid w:val="1D9FE5A3"/>
    <w:rsid w:val="1DFBECA5"/>
    <w:rsid w:val="1EFDEDF5"/>
    <w:rsid w:val="23B71A1A"/>
    <w:rsid w:val="27736D27"/>
    <w:rsid w:val="27CF862D"/>
    <w:rsid w:val="29FB916B"/>
    <w:rsid w:val="2C5BE933"/>
    <w:rsid w:val="2F6D8F6C"/>
    <w:rsid w:val="2F9E76C5"/>
    <w:rsid w:val="2FAF759C"/>
    <w:rsid w:val="32FF588E"/>
    <w:rsid w:val="3537BF85"/>
    <w:rsid w:val="37B76097"/>
    <w:rsid w:val="3A9E5677"/>
    <w:rsid w:val="3B791F8A"/>
    <w:rsid w:val="3D9D97E6"/>
    <w:rsid w:val="3EAB0813"/>
    <w:rsid w:val="3EBB2953"/>
    <w:rsid w:val="3EDF4F1A"/>
    <w:rsid w:val="3F9D6127"/>
    <w:rsid w:val="3F9E46E0"/>
    <w:rsid w:val="3FA70367"/>
    <w:rsid w:val="3FBBBDB8"/>
    <w:rsid w:val="3FBFD345"/>
    <w:rsid w:val="3FE3F15C"/>
    <w:rsid w:val="3FF60147"/>
    <w:rsid w:val="3FF98BD9"/>
    <w:rsid w:val="41F5E20C"/>
    <w:rsid w:val="4377B693"/>
    <w:rsid w:val="46FD0F04"/>
    <w:rsid w:val="47B9D2CD"/>
    <w:rsid w:val="4BFF1D03"/>
    <w:rsid w:val="4DEF1BDA"/>
    <w:rsid w:val="4EF98F2C"/>
    <w:rsid w:val="4EFCB8D8"/>
    <w:rsid w:val="4F9AB675"/>
    <w:rsid w:val="4FEF7AD5"/>
    <w:rsid w:val="4FFFF887"/>
    <w:rsid w:val="53E3D765"/>
    <w:rsid w:val="53FDE54A"/>
    <w:rsid w:val="55EFEBEC"/>
    <w:rsid w:val="5727447D"/>
    <w:rsid w:val="577EB97A"/>
    <w:rsid w:val="57F5C0FB"/>
    <w:rsid w:val="5CEDD891"/>
    <w:rsid w:val="5E7F2BF1"/>
    <w:rsid w:val="5EB3D619"/>
    <w:rsid w:val="5F7F26C2"/>
    <w:rsid w:val="5F9F42E5"/>
    <w:rsid w:val="5FCB7DB0"/>
    <w:rsid w:val="5FDB31B1"/>
    <w:rsid w:val="5FE50226"/>
    <w:rsid w:val="5FFB2723"/>
    <w:rsid w:val="5FFEDDC4"/>
    <w:rsid w:val="637F5E5E"/>
    <w:rsid w:val="669B72CA"/>
    <w:rsid w:val="677F4E07"/>
    <w:rsid w:val="67ED3FEC"/>
    <w:rsid w:val="67FDBB27"/>
    <w:rsid w:val="69EF19DA"/>
    <w:rsid w:val="6DFB2F14"/>
    <w:rsid w:val="6DFF0DFB"/>
    <w:rsid w:val="6EFF7B37"/>
    <w:rsid w:val="6F2DB4FA"/>
    <w:rsid w:val="6F3E95F6"/>
    <w:rsid w:val="6FD1B833"/>
    <w:rsid w:val="6FE85F6A"/>
    <w:rsid w:val="6FED6BA0"/>
    <w:rsid w:val="6FEF2D52"/>
    <w:rsid w:val="6FEFAA01"/>
    <w:rsid w:val="6FF29AA7"/>
    <w:rsid w:val="6FF9A4C8"/>
    <w:rsid w:val="7377015B"/>
    <w:rsid w:val="73EE6AAD"/>
    <w:rsid w:val="74AEAC8D"/>
    <w:rsid w:val="753D5A53"/>
    <w:rsid w:val="7555D31E"/>
    <w:rsid w:val="75F60AFB"/>
    <w:rsid w:val="75FE4AA4"/>
    <w:rsid w:val="76FBFB04"/>
    <w:rsid w:val="777DCD46"/>
    <w:rsid w:val="7793FC7F"/>
    <w:rsid w:val="77D67AA8"/>
    <w:rsid w:val="77DEC6EE"/>
    <w:rsid w:val="79BB252D"/>
    <w:rsid w:val="7A6744DD"/>
    <w:rsid w:val="7ADEF555"/>
    <w:rsid w:val="7AFD7EBF"/>
    <w:rsid w:val="7BD907AC"/>
    <w:rsid w:val="7BDE7BA2"/>
    <w:rsid w:val="7BEF9DFC"/>
    <w:rsid w:val="7BFE2AED"/>
    <w:rsid w:val="7CEF7161"/>
    <w:rsid w:val="7CFB8BB7"/>
    <w:rsid w:val="7CFF0E96"/>
    <w:rsid w:val="7DBD3CC1"/>
    <w:rsid w:val="7DE3579A"/>
    <w:rsid w:val="7DED8B74"/>
    <w:rsid w:val="7E3B0D86"/>
    <w:rsid w:val="7E57D52F"/>
    <w:rsid w:val="7E74F13E"/>
    <w:rsid w:val="7E7EB4F8"/>
    <w:rsid w:val="7EAFE5C9"/>
    <w:rsid w:val="7ECD082D"/>
    <w:rsid w:val="7EDB8969"/>
    <w:rsid w:val="7EDE12C5"/>
    <w:rsid w:val="7EE796EB"/>
    <w:rsid w:val="7F0DD83A"/>
    <w:rsid w:val="7F3EA0F7"/>
    <w:rsid w:val="7F5D7504"/>
    <w:rsid w:val="7F8E299B"/>
    <w:rsid w:val="7F995C93"/>
    <w:rsid w:val="7FDF4B94"/>
    <w:rsid w:val="7FEBD9A9"/>
    <w:rsid w:val="7FEF552D"/>
    <w:rsid w:val="7FF06DC2"/>
    <w:rsid w:val="7FF376AE"/>
    <w:rsid w:val="7FF4012D"/>
    <w:rsid w:val="7FFF369F"/>
    <w:rsid w:val="7FFFA3EA"/>
    <w:rsid w:val="7FFFC9F7"/>
    <w:rsid w:val="83EDC860"/>
    <w:rsid w:val="8DBD894E"/>
    <w:rsid w:val="8DBF65C0"/>
    <w:rsid w:val="8EC5F1DE"/>
    <w:rsid w:val="907F70AE"/>
    <w:rsid w:val="97DEEF3B"/>
    <w:rsid w:val="990C49DE"/>
    <w:rsid w:val="9BDFFC5B"/>
    <w:rsid w:val="9E73F64C"/>
    <w:rsid w:val="9EBF9A31"/>
    <w:rsid w:val="9FB1671B"/>
    <w:rsid w:val="9FF6F7B9"/>
    <w:rsid w:val="9FFCB0A2"/>
    <w:rsid w:val="9FFF16CE"/>
    <w:rsid w:val="A4EEAA6B"/>
    <w:rsid w:val="A4FD87F9"/>
    <w:rsid w:val="A6F7219B"/>
    <w:rsid w:val="AEF78AA6"/>
    <w:rsid w:val="AFCF5A25"/>
    <w:rsid w:val="AFD8CD77"/>
    <w:rsid w:val="AFDF2D24"/>
    <w:rsid w:val="AFFF8BF3"/>
    <w:rsid w:val="B2E73D45"/>
    <w:rsid w:val="B3CFD6B7"/>
    <w:rsid w:val="B67FE112"/>
    <w:rsid w:val="B6EFCF5B"/>
    <w:rsid w:val="B6FEEC8E"/>
    <w:rsid w:val="B7E9ED31"/>
    <w:rsid w:val="B9DFD12A"/>
    <w:rsid w:val="B9EF09AA"/>
    <w:rsid w:val="BA718DCE"/>
    <w:rsid w:val="BBA798B4"/>
    <w:rsid w:val="BBC3127D"/>
    <w:rsid w:val="BD772707"/>
    <w:rsid w:val="BDBD2F35"/>
    <w:rsid w:val="BE566953"/>
    <w:rsid w:val="BE7F5468"/>
    <w:rsid w:val="BE9FE3BF"/>
    <w:rsid w:val="BEFEFA08"/>
    <w:rsid w:val="BF5FD826"/>
    <w:rsid w:val="BFB79D49"/>
    <w:rsid w:val="BFBB5689"/>
    <w:rsid w:val="BFBF2209"/>
    <w:rsid w:val="BFDC7BB2"/>
    <w:rsid w:val="BFEFF6D3"/>
    <w:rsid w:val="BFF799B0"/>
    <w:rsid w:val="BFFDF7AC"/>
    <w:rsid w:val="BFFFE49B"/>
    <w:rsid w:val="C77FA2E8"/>
    <w:rsid w:val="C7951E47"/>
    <w:rsid w:val="C7EFC735"/>
    <w:rsid w:val="C7F909DF"/>
    <w:rsid w:val="C7FD6724"/>
    <w:rsid w:val="C9DFFA3D"/>
    <w:rsid w:val="CBDE0414"/>
    <w:rsid w:val="CE6F5F5F"/>
    <w:rsid w:val="CFC57575"/>
    <w:rsid w:val="CFDF8DFB"/>
    <w:rsid w:val="D3DFDCFD"/>
    <w:rsid w:val="D3FDAAC2"/>
    <w:rsid w:val="D5FEA1E1"/>
    <w:rsid w:val="D5FF04B2"/>
    <w:rsid w:val="D925BB57"/>
    <w:rsid w:val="DBAE4C62"/>
    <w:rsid w:val="DBECC7F3"/>
    <w:rsid w:val="DDBFA2D4"/>
    <w:rsid w:val="DDF8992C"/>
    <w:rsid w:val="DEBD415B"/>
    <w:rsid w:val="DEFBC5AD"/>
    <w:rsid w:val="DF5F026E"/>
    <w:rsid w:val="DF9BE27E"/>
    <w:rsid w:val="DFAEC31F"/>
    <w:rsid w:val="DFB56116"/>
    <w:rsid w:val="DFBE1B82"/>
    <w:rsid w:val="DFBE2773"/>
    <w:rsid w:val="DFF68A8A"/>
    <w:rsid w:val="DFF703E9"/>
    <w:rsid w:val="DFFCDC76"/>
    <w:rsid w:val="DFFFA6C3"/>
    <w:rsid w:val="E3FFAE05"/>
    <w:rsid w:val="E6BB8C51"/>
    <w:rsid w:val="E7EDD7B8"/>
    <w:rsid w:val="E8BD0066"/>
    <w:rsid w:val="E9BFA3FF"/>
    <w:rsid w:val="EAE8D2DC"/>
    <w:rsid w:val="EAFB151C"/>
    <w:rsid w:val="EBBFADB5"/>
    <w:rsid w:val="EBFFBBE7"/>
    <w:rsid w:val="ECFD6A04"/>
    <w:rsid w:val="EDBBFD6F"/>
    <w:rsid w:val="EDFDE01E"/>
    <w:rsid w:val="EE5CD2F5"/>
    <w:rsid w:val="EEAC4AE8"/>
    <w:rsid w:val="EEF9E1EA"/>
    <w:rsid w:val="EEFBADA8"/>
    <w:rsid w:val="EF3F5C0B"/>
    <w:rsid w:val="EF96D45B"/>
    <w:rsid w:val="EFBFAEBB"/>
    <w:rsid w:val="EFDBC675"/>
    <w:rsid w:val="F1901261"/>
    <w:rsid w:val="F1FB7026"/>
    <w:rsid w:val="F217B043"/>
    <w:rsid w:val="F2FB9B7B"/>
    <w:rsid w:val="F37FBE34"/>
    <w:rsid w:val="F4BF25ED"/>
    <w:rsid w:val="F57CAEF1"/>
    <w:rsid w:val="F5BFE26F"/>
    <w:rsid w:val="F5DF03D3"/>
    <w:rsid w:val="F5FA20ED"/>
    <w:rsid w:val="F69998AE"/>
    <w:rsid w:val="F6EB97BC"/>
    <w:rsid w:val="F6F7ACF8"/>
    <w:rsid w:val="F72F60FD"/>
    <w:rsid w:val="F799C5AB"/>
    <w:rsid w:val="F7D8158E"/>
    <w:rsid w:val="F7EF2817"/>
    <w:rsid w:val="F7EF9836"/>
    <w:rsid w:val="F7FF6E7B"/>
    <w:rsid w:val="F8EDBA9A"/>
    <w:rsid w:val="F91ED9D8"/>
    <w:rsid w:val="FB1A40F6"/>
    <w:rsid w:val="FB2F1CE1"/>
    <w:rsid w:val="FBDD0DB5"/>
    <w:rsid w:val="FBDFC716"/>
    <w:rsid w:val="FBFBD3EB"/>
    <w:rsid w:val="FBFBE089"/>
    <w:rsid w:val="FBFFF0A2"/>
    <w:rsid w:val="FC7DE296"/>
    <w:rsid w:val="FCA49647"/>
    <w:rsid w:val="FCB0FB2F"/>
    <w:rsid w:val="FCFF12EE"/>
    <w:rsid w:val="FD2F8FF1"/>
    <w:rsid w:val="FD958211"/>
    <w:rsid w:val="FDAD1C8C"/>
    <w:rsid w:val="FDC608A5"/>
    <w:rsid w:val="FDDFC78C"/>
    <w:rsid w:val="FDFF010A"/>
    <w:rsid w:val="FE70134F"/>
    <w:rsid w:val="FEEFF15B"/>
    <w:rsid w:val="FEF62559"/>
    <w:rsid w:val="FEFE6ABF"/>
    <w:rsid w:val="FEFEE322"/>
    <w:rsid w:val="FF396757"/>
    <w:rsid w:val="FF4FD750"/>
    <w:rsid w:val="FF5D7458"/>
    <w:rsid w:val="FF6F0488"/>
    <w:rsid w:val="FF77E08F"/>
    <w:rsid w:val="FF791169"/>
    <w:rsid w:val="FF79CC47"/>
    <w:rsid w:val="FF7C1118"/>
    <w:rsid w:val="FF7E926C"/>
    <w:rsid w:val="FF9AA4E5"/>
    <w:rsid w:val="FFAF10D3"/>
    <w:rsid w:val="FFAFCABE"/>
    <w:rsid w:val="FFB985B6"/>
    <w:rsid w:val="FFBDCDBE"/>
    <w:rsid w:val="FFCFA5D6"/>
    <w:rsid w:val="FFD7996E"/>
    <w:rsid w:val="FFE73CA6"/>
    <w:rsid w:val="FFEA734C"/>
    <w:rsid w:val="FFEE6D00"/>
    <w:rsid w:val="FFEE78C0"/>
    <w:rsid w:val="FFEF7729"/>
    <w:rsid w:val="FFF7CE00"/>
    <w:rsid w:val="FFFE43A9"/>
    <w:rsid w:val="FFFFA04B"/>
    <w:rsid w:val="FFFFBD00"/>
    <w:rsid w:val="FFFFEC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line="600" w:lineRule="exact"/>
      <w:ind w:firstLine="880" w:firstLineChars="200"/>
      <w:outlineLvl w:val="0"/>
    </w:pPr>
    <w:rPr>
      <w:rFonts w:ascii="黑体" w:hAnsi="黑体" w:eastAsia="黑体" w:cs="Times New Roman"/>
      <w:kern w:val="44"/>
      <w:sz w:val="32"/>
    </w:rPr>
  </w:style>
  <w:style w:type="paragraph" w:styleId="5">
    <w:name w:val="heading 2"/>
    <w:basedOn w:val="1"/>
    <w:next w:val="1"/>
    <w:unhideWhenUsed/>
    <w:qFormat/>
    <w:uiPriority w:val="0"/>
    <w:pPr>
      <w:keepNext/>
      <w:keepLines/>
      <w:spacing w:line="600" w:lineRule="exact"/>
      <w:ind w:firstLine="880" w:firstLineChars="200"/>
      <w:outlineLvl w:val="1"/>
    </w:pPr>
    <w:rPr>
      <w:rFonts w:hint="eastAsia" w:ascii="Times New Roman" w:hAnsi="Times New Roman" w:eastAsia="楷体_GB2312" w:cs="Times New Roman"/>
      <w:b/>
      <w:sz w:val="32"/>
      <w:szCs w:val="20"/>
    </w:rPr>
  </w:style>
  <w:style w:type="paragraph" w:styleId="6">
    <w:name w:val="heading 3"/>
    <w:next w:val="1"/>
    <w:unhideWhenUsed/>
    <w:qFormat/>
    <w:uiPriority w:val="9"/>
    <w:pPr>
      <w:widowControl w:val="0"/>
      <w:spacing w:before="100" w:beforeAutospacing="1" w:after="100" w:afterAutospacing="1"/>
      <w:jc w:val="left"/>
      <w:outlineLvl w:val="2"/>
    </w:pPr>
    <w:rPr>
      <w:rFonts w:hint="eastAsia" w:ascii="宋体" w:hAnsi="宋体" w:eastAsia="宋体" w:cs="宋体"/>
      <w:b/>
      <w:kern w:val="0"/>
      <w:sz w:val="27"/>
      <w:szCs w:val="27"/>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1"/>
    <w:qFormat/>
    <w:uiPriority w:val="0"/>
    <w:pPr>
      <w:ind w:firstLine="420"/>
    </w:pPr>
  </w:style>
  <w:style w:type="paragraph" w:customStyle="1" w:styleId="3">
    <w:name w:val="正文文本缩进1"/>
    <w:basedOn w:val="1"/>
    <w:qFormat/>
    <w:uiPriority w:val="0"/>
    <w:pPr>
      <w:spacing w:after="120"/>
      <w:ind w:left="420" w:leftChars="200"/>
    </w:pPr>
    <w:rPr>
      <w:rFonts w:ascii="Times New Roman" w:hAnsi="Times New Roman"/>
    </w:rPr>
  </w:style>
  <w:style w:type="paragraph" w:styleId="7">
    <w:name w:val="caption"/>
    <w:basedOn w:val="1"/>
    <w:next w:val="1"/>
    <w:unhideWhenUsed/>
    <w:qFormat/>
    <w:uiPriority w:val="0"/>
    <w:rPr>
      <w:rFonts w:ascii="Arial" w:hAnsi="Arial" w:eastAsia="黑体"/>
      <w:sz w:val="20"/>
    </w:rPr>
  </w:style>
  <w:style w:type="paragraph" w:styleId="8">
    <w:name w:val="annotation text"/>
    <w:basedOn w:val="1"/>
    <w:qFormat/>
    <w:uiPriority w:val="0"/>
    <w:pPr>
      <w:jc w:val="left"/>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4">
    <w:name w:val="NormalCharacter"/>
    <w:link w:val="15"/>
    <w:semiHidden/>
    <w:qFormat/>
    <w:uiPriority w:val="0"/>
    <w:rPr>
      <w:kern w:val="0"/>
      <w:sz w:val="20"/>
    </w:rPr>
  </w:style>
  <w:style w:type="paragraph" w:customStyle="1" w:styleId="15">
    <w:name w:val="UserStyle_0"/>
    <w:basedOn w:val="1"/>
    <w:link w:val="14"/>
    <w:qFormat/>
    <w:uiPriority w:val="0"/>
    <w:pPr>
      <w:widowControl/>
      <w:spacing w:after="160" w:line="240" w:lineRule="exact"/>
      <w:jc w:val="left"/>
    </w:pPr>
    <w:rPr>
      <w:kern w:val="0"/>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2014-11-14T20:08:00Z</dcterms:created>
  <dc:creator>Administrator</dc:creator>
  <cp:lastModifiedBy>user</cp:lastModifiedBy>
  <cp:lastPrinted>2025-01-15T10:45:00Z</cp:lastPrinted>
  <dcterms:modified xsi:type="dcterms:W3CDTF">2025-04-29T17:07:59Z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8464ED02E0374D25938ADF6BF27DF396_13</vt:lpwstr>
  </property>
</Properties>
</file>