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53B56">
      <w:pPr>
        <w:jc w:val="center"/>
        <w:rPr>
          <w:rFonts w:hint="eastAsia" w:ascii="宋体" w:hAnsi="宋体" w:eastAsia="宋体" w:cs="宋体"/>
          <w:b/>
          <w:sz w:val="36"/>
          <w:szCs w:val="36"/>
          <w:highlight w:val="none"/>
          <w:lang w:eastAsia="zh-CN"/>
        </w:rPr>
      </w:pPr>
      <w:r>
        <w:rPr>
          <w:rFonts w:hint="eastAsia" w:ascii="宋体" w:hAnsi="宋体" w:eastAsia="宋体" w:cs="宋体"/>
          <w:b/>
          <w:sz w:val="36"/>
          <w:szCs w:val="36"/>
          <w:highlight w:val="none"/>
          <w:lang w:eastAsia="zh-CN"/>
        </w:rPr>
        <w:t>国家高速公路银百线安康至岚皋（陕渝界）高速公路</w:t>
      </w:r>
    </w:p>
    <w:p w14:paraId="1646124B">
      <w:pPr>
        <w:tabs>
          <w:tab w:val="left" w:pos="1778"/>
        </w:tabs>
        <w:spacing w:line="760" w:lineRule="exact"/>
        <w:jc w:val="center"/>
        <w:rPr>
          <w:rFonts w:hint="eastAsia" w:ascii="宋体" w:hAnsi="宋体" w:eastAsia="宋体" w:cs="宋体"/>
          <w:b/>
          <w:color w:val="000000"/>
          <w:spacing w:val="20"/>
          <w:sz w:val="52"/>
          <w:szCs w:val="52"/>
          <w:highlight w:val="none"/>
        </w:rPr>
      </w:pPr>
      <w:r>
        <w:rPr>
          <w:rFonts w:hint="eastAsia" w:ascii="宋体" w:hAnsi="宋体" w:eastAsia="宋体" w:cs="宋体"/>
          <w:b/>
          <w:sz w:val="36"/>
          <w:szCs w:val="36"/>
          <w:highlight w:val="none"/>
        </w:rPr>
        <w:t>岚皋至陕渝界段</w:t>
      </w:r>
      <w:r>
        <w:rPr>
          <w:rFonts w:hint="eastAsia" w:ascii="宋体" w:hAnsi="宋体" w:eastAsia="宋体" w:cs="宋体"/>
          <w:b/>
          <w:sz w:val="36"/>
          <w:szCs w:val="36"/>
          <w:highlight w:val="none"/>
          <w:lang w:eastAsia="zh-CN"/>
        </w:rPr>
        <w:t>机电</w:t>
      </w:r>
      <w:r>
        <w:rPr>
          <w:rFonts w:hint="eastAsia" w:ascii="宋体" w:hAnsi="宋体" w:eastAsia="宋体" w:cs="宋体"/>
          <w:b/>
          <w:sz w:val="36"/>
          <w:szCs w:val="36"/>
          <w:highlight w:val="none"/>
        </w:rPr>
        <w:t>工程施工招标</w:t>
      </w:r>
      <w:r>
        <w:rPr>
          <w:rFonts w:hint="eastAsia" w:ascii="Times New Roman" w:hAnsiTheme="minorEastAsia" w:eastAsiaTheme="minorEastAsia"/>
          <w:b/>
          <w:sz w:val="36"/>
          <w:szCs w:val="36"/>
          <w:highlight w:val="none"/>
        </w:rPr>
        <w:t>关键内容公示</w:t>
      </w:r>
    </w:p>
    <w:p w14:paraId="2BCB5D47">
      <w:pPr>
        <w:rPr>
          <w:highlight w:val="none"/>
        </w:rPr>
      </w:pPr>
    </w:p>
    <w:p w14:paraId="6012E6F9">
      <w:pPr>
        <w:widowControl w:val="0"/>
        <w:kinsoku/>
        <w:autoSpaceDE/>
        <w:autoSpaceDN/>
        <w:adjustRightInd/>
        <w:snapToGrid/>
        <w:spacing w:line="360" w:lineRule="auto"/>
        <w:ind w:firstLine="640" w:firstLineChars="200"/>
        <w:jc w:val="both"/>
        <w:textAlignment w:val="auto"/>
        <w:rPr>
          <w:rFonts w:hint="eastAsia" w:ascii="黑体" w:hAnsi="黑体" w:eastAsia="黑体" w:cs="黑体"/>
          <w:b w:val="0"/>
          <w:bCs w:val="0"/>
          <w:snapToGrid/>
          <w:color w:val="000000"/>
          <w:kern w:val="2"/>
          <w:sz w:val="32"/>
          <w:szCs w:val="32"/>
          <w:highlight w:val="none"/>
          <w:lang w:val="en-US" w:eastAsia="en-US"/>
        </w:rPr>
      </w:pPr>
      <w:r>
        <w:rPr>
          <w:rFonts w:hint="eastAsia" w:ascii="黑体" w:hAnsi="黑体" w:eastAsia="黑体" w:cs="黑体"/>
          <w:b w:val="0"/>
          <w:bCs w:val="0"/>
          <w:snapToGrid/>
          <w:color w:val="000000"/>
          <w:kern w:val="2"/>
          <w:sz w:val="32"/>
          <w:szCs w:val="32"/>
          <w:highlight w:val="none"/>
          <w:lang w:val="en-US" w:eastAsia="en-US"/>
        </w:rPr>
        <w:t>一、项目概况</w:t>
      </w:r>
    </w:p>
    <w:p w14:paraId="07AF97FE">
      <w:pPr>
        <w:tabs>
          <w:tab w:val="left" w:pos="1778"/>
        </w:tabs>
        <w:spacing w:line="360" w:lineRule="auto"/>
        <w:ind w:firstLine="640" w:firstLineChars="200"/>
        <w:outlineLvl w:val="1"/>
        <w:rPr>
          <w:rFonts w:hint="eastAsia" w:ascii="仿宋_GB2312" w:hAnsi="仿宋_GB2312" w:eastAsia="仿宋_GB2312" w:cs="仿宋_GB2312"/>
          <w:color w:val="000000"/>
          <w:sz w:val="32"/>
          <w:highlight w:val="none"/>
          <w:lang w:val="en-US" w:eastAsia="zh-CN"/>
        </w:rPr>
      </w:pPr>
      <w:r>
        <w:rPr>
          <w:rFonts w:hint="eastAsia" w:ascii="仿宋_GB2312" w:hAnsi="仿宋_GB2312" w:eastAsia="仿宋_GB2312" w:cs="仿宋_GB2312"/>
          <w:color w:val="000000"/>
          <w:sz w:val="32"/>
          <w:highlight w:val="none"/>
          <w:lang w:val="en-US" w:eastAsia="zh-CN"/>
        </w:rPr>
        <w:t>安康至岚皋（陕渝界）高速公路（以下简称“本项目”）是国家高速公路银百线陕西境内重要路段，路线起于安康市汉滨区月河河口北岸，与十（堰）天（水）高速公路衔接，止于陕渝界大巴山隧道内的两省交界处，与在建的重庆市开县至城口高速公路相接，路线全长88.583公里。全线采用双向四车道高速公路技术标准，其中岚皋至陕渝界段设计速度80公里/小时，路基宽度25.5米。</w:t>
      </w:r>
    </w:p>
    <w:p w14:paraId="0519EB1F">
      <w:pPr>
        <w:numPr>
          <w:ilvl w:val="0"/>
          <w:numId w:val="2"/>
        </w:numPr>
        <w:rPr>
          <w:rFonts w:hint="eastAsia" w:ascii="黑体" w:hAnsi="黑体" w:eastAsia="黑体" w:cs="黑体"/>
          <w:color w:val="000000"/>
          <w:sz w:val="32"/>
          <w:szCs w:val="32"/>
          <w:highlight w:val="none"/>
          <w:lang w:eastAsia="en-US"/>
        </w:rPr>
      </w:pPr>
      <w:r>
        <w:rPr>
          <w:rFonts w:hint="eastAsia" w:ascii="黑体" w:hAnsi="黑体" w:eastAsia="黑体" w:cs="黑体"/>
          <w:color w:val="000000"/>
          <w:sz w:val="32"/>
          <w:szCs w:val="32"/>
          <w:highlight w:val="none"/>
          <w:lang w:eastAsia="en-US"/>
        </w:rPr>
        <w:t>投标人资格要求</w:t>
      </w:r>
      <w:bookmarkStart w:id="0" w:name="_GoBack"/>
      <w:bookmarkEnd w:id="0"/>
    </w:p>
    <w:p w14:paraId="6DB89212">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1.资格审查要求</w:t>
      </w:r>
    </w:p>
    <w:p w14:paraId="763AA0A5">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本次招标要求投标人满足下述各项资格审查要求，并在人员、设备、资金等方面具有相应的施工能力。</w:t>
      </w:r>
    </w:p>
    <w:p w14:paraId="28F4FFFB">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（1）资质最低要求</w:t>
      </w:r>
    </w:p>
    <w:tbl>
      <w:tblPr>
        <w:tblStyle w:val="5"/>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8120"/>
      </w:tblGrid>
      <w:tr w14:paraId="522E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1" w:type="dxa"/>
            <w:vAlign w:val="center"/>
          </w:tcPr>
          <w:p w14:paraId="6240190A">
            <w:pPr>
              <w:tabs>
                <w:tab w:val="left" w:pos="1778"/>
              </w:tabs>
              <w:jc w:val="center"/>
              <w:rPr>
                <w:rFonts w:hint="eastAsia" w:ascii="宋体" w:hAnsi="宋体" w:eastAsia="宋体" w:cs="宋体"/>
                <w:b/>
                <w:szCs w:val="21"/>
                <w:highlight w:val="none"/>
              </w:rPr>
            </w:pPr>
            <w:r>
              <w:rPr>
                <w:rFonts w:hint="eastAsia" w:ascii="宋体" w:hAnsi="宋体" w:eastAsia="宋体" w:cs="宋体"/>
                <w:b/>
                <w:szCs w:val="21"/>
                <w:highlight w:val="none"/>
              </w:rPr>
              <w:t>组别</w:t>
            </w:r>
          </w:p>
        </w:tc>
        <w:tc>
          <w:tcPr>
            <w:tcW w:w="8120" w:type="dxa"/>
            <w:vAlign w:val="center"/>
          </w:tcPr>
          <w:p w14:paraId="2555D198">
            <w:pPr>
              <w:tabs>
                <w:tab w:val="left" w:pos="1778"/>
              </w:tabs>
              <w:jc w:val="center"/>
              <w:rPr>
                <w:rFonts w:hint="eastAsia" w:ascii="宋体" w:hAnsi="宋体" w:eastAsia="宋体" w:cs="宋体"/>
                <w:b/>
                <w:szCs w:val="21"/>
                <w:highlight w:val="none"/>
              </w:rPr>
            </w:pPr>
            <w:r>
              <w:rPr>
                <w:rFonts w:hint="eastAsia" w:ascii="宋体" w:hAnsi="宋体" w:eastAsia="宋体" w:cs="宋体"/>
                <w:b/>
                <w:szCs w:val="21"/>
                <w:highlight w:val="none"/>
              </w:rPr>
              <w:t>资  质  要  求</w:t>
            </w:r>
          </w:p>
        </w:tc>
      </w:tr>
      <w:tr w14:paraId="7C1E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1" w:type="dxa"/>
            <w:vAlign w:val="center"/>
          </w:tcPr>
          <w:p w14:paraId="507DA12C">
            <w:pPr>
              <w:jc w:val="center"/>
              <w:rPr>
                <w:rFonts w:hint="eastAsia" w:ascii="宋体" w:hAnsi="宋体" w:eastAsia="宋体" w:cs="宋体"/>
                <w:szCs w:val="21"/>
                <w:highlight w:val="none"/>
              </w:rPr>
            </w:pPr>
            <w:r>
              <w:rPr>
                <w:rFonts w:hint="eastAsia" w:ascii="宋体" w:hAnsi="宋体" w:cs="宋体"/>
                <w:szCs w:val="21"/>
                <w:highlight w:val="none"/>
                <w:lang w:val="en-US" w:eastAsia="zh-CN"/>
              </w:rPr>
              <w:t>B</w:t>
            </w:r>
            <w:r>
              <w:rPr>
                <w:rFonts w:hint="eastAsia" w:ascii="宋体" w:hAnsi="宋体" w:eastAsia="宋体" w:cs="宋体"/>
                <w:szCs w:val="21"/>
                <w:highlight w:val="none"/>
              </w:rPr>
              <w:t>组</w:t>
            </w:r>
          </w:p>
        </w:tc>
        <w:tc>
          <w:tcPr>
            <w:tcW w:w="8120" w:type="dxa"/>
            <w:vAlign w:val="center"/>
          </w:tcPr>
          <w:p w14:paraId="0B0A56C9">
            <w:pPr>
              <w:keepNext w:val="0"/>
              <w:keepLines w:val="0"/>
              <w:widowControl/>
              <w:suppressLineNumbers w:val="0"/>
              <w:jc w:val="left"/>
            </w:pPr>
            <w:r>
              <w:rPr>
                <w:rFonts w:ascii="仿宋" w:hAnsi="仿宋" w:eastAsia="仿宋" w:cs="仿宋"/>
                <w:color w:val="000000"/>
                <w:kern w:val="0"/>
                <w:sz w:val="20"/>
                <w:szCs w:val="20"/>
                <w:lang w:val="en-US" w:eastAsia="zh-CN" w:bidi="ar"/>
              </w:rPr>
              <w:t xml:space="preserve">具有独立法人资格；具备公路交通工程（公路机电工程分项）专业承包一级资质；持有 </w:t>
            </w:r>
          </w:p>
          <w:p w14:paraId="0E79F80E">
            <w:pPr>
              <w:keepNext w:val="0"/>
              <w:keepLines w:val="0"/>
              <w:widowControl/>
              <w:suppressLineNumbers w:val="0"/>
              <w:jc w:val="left"/>
            </w:pPr>
            <w:r>
              <w:rPr>
                <w:rFonts w:hint="eastAsia" w:ascii="仿宋" w:hAnsi="仿宋" w:eastAsia="仿宋" w:cs="仿宋"/>
                <w:color w:val="000000"/>
                <w:kern w:val="0"/>
                <w:sz w:val="20"/>
                <w:szCs w:val="20"/>
                <w:lang w:val="en-US" w:eastAsia="zh-CN" w:bidi="ar"/>
              </w:rPr>
              <w:t xml:space="preserve">有效的企业安全生产许可证；企业法定代表人持有交通运输主管部门核发有效的 A 类安 </w:t>
            </w:r>
          </w:p>
          <w:p w14:paraId="05900070">
            <w:pPr>
              <w:keepNext w:val="0"/>
              <w:keepLines w:val="0"/>
              <w:widowControl/>
              <w:suppressLineNumbers w:val="0"/>
              <w:jc w:val="left"/>
              <w:rPr>
                <w:rFonts w:hint="eastAsia" w:ascii="宋体" w:hAnsi="宋体" w:eastAsia="宋体" w:cs="宋体"/>
                <w:szCs w:val="21"/>
                <w:highlight w:val="none"/>
              </w:rPr>
            </w:pPr>
            <w:r>
              <w:rPr>
                <w:rFonts w:hint="eastAsia" w:ascii="仿宋" w:hAnsi="仿宋" w:eastAsia="仿宋" w:cs="仿宋"/>
                <w:color w:val="000000"/>
                <w:kern w:val="0"/>
                <w:sz w:val="20"/>
                <w:szCs w:val="20"/>
                <w:lang w:val="en-US" w:eastAsia="zh-CN" w:bidi="ar"/>
              </w:rPr>
              <w:t>全生产考核合格证。</w:t>
            </w:r>
          </w:p>
        </w:tc>
      </w:tr>
    </w:tbl>
    <w:p w14:paraId="1F441038">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（2）业绩最低要求</w:t>
      </w:r>
    </w:p>
    <w:tbl>
      <w:tblPr>
        <w:tblStyle w:val="5"/>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8104"/>
      </w:tblGrid>
      <w:tr w14:paraId="1C7A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967" w:type="dxa"/>
            <w:vAlign w:val="center"/>
          </w:tcPr>
          <w:p w14:paraId="299D682D">
            <w:pPr>
              <w:tabs>
                <w:tab w:val="left" w:pos="1778"/>
              </w:tabs>
              <w:spacing w:line="300" w:lineRule="exact"/>
              <w:jc w:val="center"/>
              <w:rPr>
                <w:rFonts w:hint="eastAsia" w:ascii="宋体" w:hAnsi="宋体" w:eastAsia="宋体" w:cs="宋体"/>
                <w:b/>
                <w:szCs w:val="21"/>
                <w:highlight w:val="none"/>
              </w:rPr>
            </w:pPr>
            <w:r>
              <w:rPr>
                <w:rFonts w:hint="eastAsia" w:ascii="宋体" w:hAnsi="宋体" w:eastAsia="宋体" w:cs="宋体"/>
                <w:b/>
                <w:szCs w:val="21"/>
                <w:highlight w:val="none"/>
              </w:rPr>
              <w:t>组别</w:t>
            </w:r>
          </w:p>
        </w:tc>
        <w:tc>
          <w:tcPr>
            <w:tcW w:w="8104" w:type="dxa"/>
            <w:vAlign w:val="center"/>
          </w:tcPr>
          <w:p w14:paraId="7E6DFAF2">
            <w:pPr>
              <w:tabs>
                <w:tab w:val="left" w:pos="1778"/>
              </w:tabs>
              <w:spacing w:line="300" w:lineRule="exact"/>
              <w:jc w:val="center"/>
              <w:rPr>
                <w:rFonts w:hint="eastAsia" w:ascii="宋体" w:hAnsi="宋体" w:eastAsia="宋体" w:cs="宋体"/>
                <w:b/>
                <w:szCs w:val="21"/>
                <w:highlight w:val="none"/>
              </w:rPr>
            </w:pPr>
            <w:r>
              <w:rPr>
                <w:rFonts w:hint="eastAsia" w:ascii="宋体" w:hAnsi="宋体" w:eastAsia="宋体" w:cs="宋体"/>
                <w:b/>
                <w:szCs w:val="21"/>
                <w:highlight w:val="none"/>
              </w:rPr>
              <w:t>业  绩  要  求</w:t>
            </w:r>
          </w:p>
        </w:tc>
      </w:tr>
      <w:tr w14:paraId="714C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67" w:type="dxa"/>
            <w:vAlign w:val="center"/>
          </w:tcPr>
          <w:p w14:paraId="3C2CF8F7">
            <w:pPr>
              <w:jc w:val="center"/>
              <w:rPr>
                <w:rFonts w:hint="eastAsia" w:ascii="宋体" w:hAnsi="宋体" w:eastAsia="宋体" w:cs="宋体"/>
                <w:szCs w:val="21"/>
                <w:highlight w:val="none"/>
                <w:lang w:eastAsia="zh-CN"/>
              </w:rPr>
            </w:pPr>
            <w:r>
              <w:rPr>
                <w:rFonts w:hint="eastAsia" w:ascii="宋体" w:hAnsi="宋体" w:cs="宋体"/>
                <w:szCs w:val="21"/>
                <w:highlight w:val="none"/>
                <w:lang w:eastAsia="zh-CN"/>
              </w:rPr>
              <w:t>B组</w:t>
            </w:r>
          </w:p>
        </w:tc>
        <w:tc>
          <w:tcPr>
            <w:tcW w:w="8104" w:type="dxa"/>
            <w:vAlign w:val="center"/>
          </w:tcPr>
          <w:p w14:paraId="20A0927E">
            <w:pPr>
              <w:spacing w:line="320" w:lineRule="exact"/>
              <w:rPr>
                <w:rFonts w:hint="eastAsia" w:ascii="宋体" w:hAnsi="宋体" w:eastAsia="宋体" w:cs="宋体"/>
                <w:szCs w:val="21"/>
                <w:highlight w:val="none"/>
                <w:lang w:val="zh-CN"/>
              </w:rPr>
            </w:pPr>
            <w:r>
              <w:rPr>
                <w:rFonts w:hint="eastAsia" w:ascii="仿宋" w:hAnsi="仿宋" w:eastAsia="仿宋" w:cs="仿宋"/>
                <w:color w:val="000000"/>
                <w:sz w:val="21"/>
                <w:szCs w:val="21"/>
                <w:highlight w:val="none"/>
                <w:lang w:val="zh-CN"/>
              </w:rPr>
              <w:t>20</w:t>
            </w:r>
            <w:r>
              <w:rPr>
                <w:rFonts w:hint="eastAsia" w:ascii="仿宋" w:hAnsi="仿宋" w:eastAsia="仿宋" w:cs="仿宋"/>
                <w:color w:val="000000"/>
                <w:sz w:val="21"/>
                <w:szCs w:val="21"/>
                <w:highlight w:val="none"/>
                <w:lang w:val="en-US" w:eastAsia="zh-CN"/>
              </w:rPr>
              <w:t>20</w:t>
            </w:r>
            <w:r>
              <w:rPr>
                <w:rFonts w:hint="eastAsia" w:ascii="仿宋" w:hAnsi="仿宋" w:eastAsia="仿宋" w:cs="仿宋"/>
                <w:color w:val="000000"/>
                <w:sz w:val="21"/>
                <w:szCs w:val="21"/>
                <w:highlight w:val="none"/>
                <w:lang w:val="zh-CN"/>
              </w:rPr>
              <w:t>年（含）</w:t>
            </w:r>
            <w:r>
              <w:rPr>
                <w:rFonts w:hint="eastAsia" w:ascii="仿宋" w:hAnsi="仿宋" w:eastAsia="仿宋" w:cs="仿宋"/>
                <w:color w:val="000000"/>
                <w:sz w:val="21"/>
                <w:szCs w:val="21"/>
                <w:highlight w:val="none"/>
                <w:lang w:val="en-US" w:eastAsia="zh-CN"/>
              </w:rPr>
              <w:t>以来</w:t>
            </w:r>
            <w:r>
              <w:rPr>
                <w:rFonts w:hint="eastAsia" w:ascii="仿宋" w:hAnsi="仿宋" w:eastAsia="仿宋" w:cs="仿宋"/>
                <w:color w:val="000000"/>
                <w:sz w:val="21"/>
                <w:szCs w:val="21"/>
                <w:highlight w:val="none"/>
                <w:lang w:val="zh-CN"/>
              </w:rPr>
              <w:t>（以交工验收时间为准），完成过2个高速公路机电工程施工合同段</w:t>
            </w:r>
            <w:r>
              <w:rPr>
                <w:rFonts w:hint="eastAsia" w:ascii="仿宋" w:hAnsi="仿宋" w:eastAsia="仿宋" w:cs="仿宋"/>
                <w:color w:val="000000"/>
                <w:sz w:val="21"/>
                <w:szCs w:val="21"/>
                <w:highlight w:val="none"/>
                <w:lang w:val="zh-CN" w:eastAsia="zh-CN"/>
              </w:rPr>
              <w:t>业绩</w:t>
            </w:r>
            <w:r>
              <w:rPr>
                <w:rFonts w:hint="eastAsia" w:ascii="仿宋" w:hAnsi="仿宋" w:eastAsia="仿宋" w:cs="仿宋"/>
                <w:color w:val="000000"/>
                <w:sz w:val="21"/>
                <w:szCs w:val="21"/>
                <w:highlight w:val="none"/>
                <w:lang w:val="zh-CN"/>
              </w:rPr>
              <w:t>，且合同金额累计不小于</w:t>
            </w:r>
            <w:r>
              <w:rPr>
                <w:rFonts w:hint="eastAsia" w:ascii="仿宋" w:hAnsi="仿宋" w:eastAsia="仿宋" w:cs="仿宋"/>
                <w:b w:val="0"/>
                <w:bCs w:val="0"/>
                <w:color w:val="auto"/>
                <w:sz w:val="21"/>
                <w:szCs w:val="21"/>
                <w:highlight w:val="none"/>
                <w:lang w:val="en-US" w:eastAsia="zh-CN"/>
              </w:rPr>
              <w:t>10</w:t>
            </w:r>
            <w:r>
              <w:rPr>
                <w:rFonts w:hint="eastAsia" w:ascii="仿宋" w:hAnsi="仿宋" w:eastAsia="仿宋" w:cs="仿宋"/>
                <w:b w:val="0"/>
                <w:bCs w:val="0"/>
                <w:color w:val="auto"/>
                <w:sz w:val="21"/>
                <w:szCs w:val="21"/>
                <w:highlight w:val="none"/>
                <w:lang w:val="zh-CN"/>
              </w:rPr>
              <w:t>000万元，其中至少有1个合同段包含</w:t>
            </w:r>
            <w:r>
              <w:rPr>
                <w:rFonts w:hint="eastAsia" w:ascii="仿宋" w:hAnsi="仿宋" w:eastAsia="仿宋" w:cs="仿宋"/>
                <w:b w:val="0"/>
                <w:bCs w:val="0"/>
                <w:color w:val="auto"/>
                <w:sz w:val="21"/>
                <w:szCs w:val="21"/>
                <w:highlight w:val="none"/>
                <w:lang w:val="en-US" w:eastAsia="zh-CN"/>
              </w:rPr>
              <w:t>高速公路的收费、通信、监控(含隧道监控)施工业绩</w:t>
            </w:r>
            <w:r>
              <w:rPr>
                <w:rFonts w:hint="eastAsia" w:ascii="仿宋" w:hAnsi="仿宋" w:eastAsia="仿宋" w:cs="仿宋"/>
                <w:b w:val="0"/>
                <w:bCs w:val="0"/>
                <w:color w:val="auto"/>
                <w:sz w:val="21"/>
                <w:szCs w:val="21"/>
                <w:highlight w:val="none"/>
                <w:lang w:val="zh-CN"/>
              </w:rPr>
              <w:t>。</w:t>
            </w:r>
          </w:p>
        </w:tc>
      </w:tr>
    </w:tbl>
    <w:p w14:paraId="2E8387BE">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（3）财务最低要求</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8105"/>
      </w:tblGrid>
      <w:tr w14:paraId="4D3A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67" w:type="dxa"/>
            <w:noWrap w:val="0"/>
            <w:vAlign w:val="center"/>
          </w:tcPr>
          <w:p w14:paraId="2E394730">
            <w:pPr>
              <w:spacing w:line="280" w:lineRule="exact"/>
              <w:jc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rPr>
              <w:t>组别</w:t>
            </w:r>
          </w:p>
        </w:tc>
        <w:tc>
          <w:tcPr>
            <w:tcW w:w="8105" w:type="dxa"/>
            <w:noWrap w:val="0"/>
            <w:vAlign w:val="center"/>
          </w:tcPr>
          <w:p w14:paraId="2E26F6D9">
            <w:pPr>
              <w:spacing w:line="260" w:lineRule="exact"/>
              <w:jc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rPr>
              <w:t>财  务  要  求</w:t>
            </w:r>
          </w:p>
        </w:tc>
      </w:tr>
      <w:tr w14:paraId="7C6B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7" w:type="dxa"/>
            <w:noWrap w:val="0"/>
            <w:vAlign w:val="center"/>
          </w:tcPr>
          <w:p w14:paraId="18B0E8B2">
            <w:pPr>
              <w:jc w:val="center"/>
              <w:rPr>
                <w:rFonts w:hint="eastAsia" w:ascii="仿宋" w:hAnsi="仿宋" w:eastAsia="仿宋" w:cs="仿宋"/>
                <w:color w:val="000000"/>
                <w:sz w:val="21"/>
                <w:szCs w:val="21"/>
                <w:highlight w:val="none"/>
                <w:lang w:eastAsia="zh-CN"/>
              </w:rPr>
            </w:pPr>
            <w:r>
              <w:rPr>
                <w:rFonts w:hint="eastAsia" w:ascii="仿宋" w:hAnsi="仿宋" w:eastAsia="仿宋" w:cs="仿宋"/>
                <w:color w:val="000000"/>
                <w:sz w:val="21"/>
                <w:szCs w:val="21"/>
                <w:highlight w:val="none"/>
                <w:lang w:eastAsia="zh-CN"/>
              </w:rPr>
              <w:t>B组</w:t>
            </w:r>
          </w:p>
        </w:tc>
        <w:tc>
          <w:tcPr>
            <w:tcW w:w="8105" w:type="dxa"/>
            <w:noWrap w:val="0"/>
            <w:vAlign w:val="center"/>
          </w:tcPr>
          <w:p w14:paraId="4FA3DF71">
            <w:pPr>
              <w:spacing w:line="320" w:lineRule="exac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1、20</w:t>
            </w:r>
            <w:r>
              <w:rPr>
                <w:rFonts w:hint="eastAsia" w:ascii="仿宋" w:hAnsi="仿宋" w:eastAsia="仿宋" w:cs="仿宋"/>
                <w:color w:val="000000"/>
                <w:sz w:val="21"/>
                <w:szCs w:val="21"/>
                <w:highlight w:val="none"/>
                <w:lang w:val="en-US" w:eastAsia="zh-CN"/>
              </w:rPr>
              <w:t>21</w:t>
            </w:r>
            <w:r>
              <w:rPr>
                <w:rFonts w:hint="eastAsia" w:ascii="仿宋" w:hAnsi="仿宋" w:eastAsia="仿宋" w:cs="仿宋"/>
                <w:color w:val="000000"/>
                <w:sz w:val="21"/>
                <w:szCs w:val="21"/>
                <w:highlight w:val="none"/>
              </w:rPr>
              <w:t>年、20</w:t>
            </w:r>
            <w:r>
              <w:rPr>
                <w:rFonts w:hint="eastAsia" w:ascii="仿宋" w:hAnsi="仿宋" w:eastAsia="仿宋" w:cs="仿宋"/>
                <w:color w:val="000000"/>
                <w:sz w:val="21"/>
                <w:szCs w:val="21"/>
                <w:highlight w:val="none"/>
                <w:lang w:val="en-US" w:eastAsia="zh-CN"/>
              </w:rPr>
              <w:t>22</w:t>
            </w:r>
            <w:r>
              <w:rPr>
                <w:rFonts w:hint="eastAsia" w:ascii="仿宋" w:hAnsi="仿宋" w:eastAsia="仿宋" w:cs="仿宋"/>
                <w:color w:val="000000"/>
                <w:sz w:val="21"/>
                <w:szCs w:val="21"/>
                <w:highlight w:val="none"/>
              </w:rPr>
              <w:t>年、20</w:t>
            </w:r>
            <w:r>
              <w:rPr>
                <w:rFonts w:hint="eastAsia" w:ascii="仿宋" w:hAnsi="仿宋" w:eastAsia="仿宋" w:cs="仿宋"/>
                <w:color w:val="000000"/>
                <w:sz w:val="21"/>
                <w:szCs w:val="21"/>
                <w:highlight w:val="none"/>
                <w:lang w:val="en-US" w:eastAsia="zh-CN"/>
              </w:rPr>
              <w:t>23</w:t>
            </w:r>
            <w:r>
              <w:rPr>
                <w:rFonts w:hint="eastAsia" w:ascii="仿宋" w:hAnsi="仿宋" w:eastAsia="仿宋" w:cs="仿宋"/>
                <w:color w:val="000000"/>
                <w:sz w:val="21"/>
                <w:szCs w:val="21"/>
                <w:highlight w:val="none"/>
              </w:rPr>
              <w:t>年的企业资产负债率均不大于8</w:t>
            </w:r>
            <w:r>
              <w:rPr>
                <w:rFonts w:hint="eastAsia" w:ascii="仿宋" w:hAnsi="仿宋" w:eastAsia="仿宋" w:cs="仿宋"/>
                <w:color w:val="000000"/>
                <w:sz w:val="21"/>
                <w:szCs w:val="21"/>
                <w:highlight w:val="none"/>
                <w:lang w:val="en-US" w:eastAsia="zh-CN"/>
              </w:rPr>
              <w:t>5</w:t>
            </w:r>
            <w:r>
              <w:rPr>
                <w:rFonts w:hint="eastAsia" w:ascii="仿宋" w:hAnsi="仿宋" w:eastAsia="仿宋" w:cs="仿宋"/>
                <w:color w:val="000000"/>
                <w:sz w:val="21"/>
                <w:szCs w:val="21"/>
                <w:highlight w:val="none"/>
              </w:rPr>
              <w:t>%；</w:t>
            </w:r>
          </w:p>
          <w:p w14:paraId="73F363B1">
            <w:pPr>
              <w:spacing w:line="320" w:lineRule="exact"/>
              <w:rPr>
                <w:rFonts w:hint="eastAsia" w:ascii="仿宋" w:hAnsi="仿宋" w:eastAsia="仿宋" w:cs="仿宋"/>
                <w:color w:val="000000"/>
                <w:sz w:val="21"/>
                <w:szCs w:val="21"/>
                <w:highlight w:val="none"/>
                <w:lang w:eastAsia="zh-CN"/>
              </w:rPr>
            </w:pPr>
            <w:r>
              <w:rPr>
                <w:rFonts w:hint="eastAsia" w:ascii="仿宋" w:hAnsi="仿宋" w:eastAsia="仿宋" w:cs="仿宋"/>
                <w:color w:val="000000"/>
                <w:sz w:val="21"/>
                <w:szCs w:val="21"/>
                <w:highlight w:val="none"/>
              </w:rPr>
              <w:t>2、20</w:t>
            </w:r>
            <w:r>
              <w:rPr>
                <w:rFonts w:hint="eastAsia" w:ascii="仿宋" w:hAnsi="仿宋" w:eastAsia="仿宋" w:cs="仿宋"/>
                <w:color w:val="000000"/>
                <w:sz w:val="21"/>
                <w:szCs w:val="21"/>
                <w:highlight w:val="none"/>
                <w:lang w:val="en-US" w:eastAsia="zh-CN"/>
              </w:rPr>
              <w:t>21</w:t>
            </w:r>
            <w:r>
              <w:rPr>
                <w:rFonts w:hint="eastAsia" w:ascii="仿宋" w:hAnsi="仿宋" w:eastAsia="仿宋" w:cs="仿宋"/>
                <w:color w:val="000000"/>
                <w:sz w:val="21"/>
                <w:szCs w:val="21"/>
                <w:highlight w:val="none"/>
              </w:rPr>
              <w:t>年、20</w:t>
            </w:r>
            <w:r>
              <w:rPr>
                <w:rFonts w:hint="eastAsia" w:ascii="仿宋" w:hAnsi="仿宋" w:eastAsia="仿宋" w:cs="仿宋"/>
                <w:color w:val="000000"/>
                <w:sz w:val="21"/>
                <w:szCs w:val="21"/>
                <w:highlight w:val="none"/>
                <w:lang w:val="en-US" w:eastAsia="zh-CN"/>
              </w:rPr>
              <w:t>22</w:t>
            </w:r>
            <w:r>
              <w:rPr>
                <w:rFonts w:hint="eastAsia" w:ascii="仿宋" w:hAnsi="仿宋" w:eastAsia="仿宋" w:cs="仿宋"/>
                <w:color w:val="000000"/>
                <w:sz w:val="21"/>
                <w:szCs w:val="21"/>
                <w:highlight w:val="none"/>
              </w:rPr>
              <w:t>年、20</w:t>
            </w:r>
            <w:r>
              <w:rPr>
                <w:rFonts w:hint="eastAsia" w:ascii="仿宋" w:hAnsi="仿宋" w:eastAsia="仿宋" w:cs="仿宋"/>
                <w:color w:val="000000"/>
                <w:sz w:val="21"/>
                <w:szCs w:val="21"/>
                <w:highlight w:val="none"/>
                <w:lang w:val="en-US" w:eastAsia="zh-CN"/>
              </w:rPr>
              <w:t>23</w:t>
            </w:r>
            <w:r>
              <w:rPr>
                <w:rFonts w:hint="eastAsia" w:ascii="仿宋" w:hAnsi="仿宋" w:eastAsia="仿宋" w:cs="仿宋"/>
                <w:color w:val="000000"/>
                <w:sz w:val="21"/>
                <w:szCs w:val="21"/>
                <w:highlight w:val="none"/>
              </w:rPr>
              <w:t>年每年的企业年营业额均不少于</w:t>
            </w:r>
            <w:r>
              <w:rPr>
                <w:rFonts w:hint="eastAsia" w:ascii="仿宋" w:hAnsi="仿宋" w:eastAsia="仿宋" w:cs="仿宋"/>
                <w:color w:val="000000"/>
                <w:sz w:val="21"/>
                <w:szCs w:val="21"/>
                <w:highlight w:val="none"/>
                <w:lang w:val="en-US" w:eastAsia="zh-CN"/>
              </w:rPr>
              <w:t>6</w:t>
            </w:r>
            <w:r>
              <w:rPr>
                <w:rFonts w:hint="eastAsia" w:ascii="仿宋" w:hAnsi="仿宋" w:eastAsia="仿宋" w:cs="仿宋"/>
                <w:color w:val="000000"/>
                <w:sz w:val="21"/>
                <w:szCs w:val="21"/>
                <w:highlight w:val="none"/>
              </w:rPr>
              <w:t>000万元人民币</w:t>
            </w:r>
            <w:r>
              <w:rPr>
                <w:rFonts w:hint="eastAsia" w:ascii="仿宋" w:hAnsi="仿宋" w:eastAsia="仿宋" w:cs="仿宋"/>
                <w:color w:val="000000"/>
                <w:sz w:val="21"/>
                <w:szCs w:val="21"/>
                <w:highlight w:val="none"/>
                <w:lang w:eastAsia="zh-CN"/>
              </w:rPr>
              <w:t>；</w:t>
            </w:r>
          </w:p>
          <w:p w14:paraId="26E78C14">
            <w:pPr>
              <w:pStyle w:val="3"/>
              <w:numPr>
                <w:ilvl w:val="0"/>
                <w:numId w:val="0"/>
              </w:numPr>
              <w:jc w:val="both"/>
              <w:rPr>
                <w:rFonts w:hint="eastAsia"/>
                <w:color w:val="000000"/>
                <w:highlight w:val="none"/>
              </w:rPr>
            </w:pPr>
            <w:r>
              <w:rPr>
                <w:rFonts w:hint="eastAsia" w:ascii="仿宋" w:hAnsi="仿宋" w:eastAsia="仿宋" w:cs="仿宋"/>
                <w:color w:val="000000"/>
                <w:kern w:val="2"/>
                <w:sz w:val="21"/>
                <w:szCs w:val="21"/>
                <w:highlight w:val="none"/>
                <w:lang w:val="en-US" w:eastAsia="zh-CN" w:bidi="ar-SA"/>
              </w:rPr>
              <w:t>3、2021年、2022年、2023年每年的流动比率均不小于1。</w:t>
            </w:r>
          </w:p>
        </w:tc>
      </w:tr>
    </w:tbl>
    <w:p w14:paraId="170A4A47">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（4）信誉最低要求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8038"/>
      </w:tblGrid>
      <w:tr w14:paraId="1AD7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noWrap w:val="0"/>
            <w:vAlign w:val="center"/>
          </w:tcPr>
          <w:p w14:paraId="773F9E7A">
            <w:pPr>
              <w:tabs>
                <w:tab w:val="left" w:pos="1778"/>
              </w:tabs>
              <w:jc w:val="center"/>
              <w:rPr>
                <w:rFonts w:hint="eastAsia" w:ascii="仿宋" w:hAnsi="仿宋" w:eastAsia="仿宋" w:cs="仿宋"/>
                <w:color w:val="000000"/>
                <w:sz w:val="21"/>
                <w:szCs w:val="21"/>
                <w:highlight w:val="none"/>
              </w:rPr>
            </w:pPr>
            <w:r>
              <w:rPr>
                <w:rFonts w:hint="eastAsia" w:ascii="仿宋" w:hAnsi="仿宋" w:eastAsia="仿宋" w:cs="仿宋"/>
                <w:b/>
                <w:color w:val="000000"/>
                <w:sz w:val="21"/>
                <w:szCs w:val="21"/>
                <w:highlight w:val="none"/>
              </w:rPr>
              <w:t>组别</w:t>
            </w:r>
          </w:p>
        </w:tc>
        <w:tc>
          <w:tcPr>
            <w:tcW w:w="8038" w:type="dxa"/>
            <w:noWrap w:val="0"/>
            <w:vAlign w:val="center"/>
          </w:tcPr>
          <w:p w14:paraId="7F20CD77">
            <w:pPr>
              <w:tabs>
                <w:tab w:val="left" w:pos="1778"/>
              </w:tabs>
              <w:jc w:val="center"/>
              <w:rPr>
                <w:rFonts w:hint="eastAsia" w:ascii="仿宋" w:hAnsi="仿宋" w:eastAsia="仿宋" w:cs="仿宋"/>
                <w:color w:val="000000"/>
                <w:sz w:val="21"/>
                <w:szCs w:val="21"/>
                <w:highlight w:val="none"/>
              </w:rPr>
            </w:pPr>
            <w:r>
              <w:rPr>
                <w:rFonts w:hint="eastAsia" w:ascii="仿宋" w:hAnsi="仿宋" w:eastAsia="仿宋" w:cs="仿宋"/>
                <w:b/>
                <w:color w:val="000000"/>
                <w:sz w:val="21"/>
                <w:szCs w:val="21"/>
                <w:highlight w:val="none"/>
              </w:rPr>
              <w:t>信  誉  要  求</w:t>
            </w:r>
          </w:p>
        </w:tc>
      </w:tr>
      <w:tr w14:paraId="78D5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34" w:type="dxa"/>
            <w:noWrap w:val="0"/>
            <w:vAlign w:val="center"/>
          </w:tcPr>
          <w:p w14:paraId="516CAB90">
            <w:pPr>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eastAsia="zh-CN"/>
              </w:rPr>
              <w:t>B组</w:t>
            </w:r>
          </w:p>
        </w:tc>
        <w:tc>
          <w:tcPr>
            <w:tcW w:w="8038" w:type="dxa"/>
            <w:noWrap w:val="0"/>
            <w:vAlign w:val="center"/>
          </w:tcPr>
          <w:p w14:paraId="52EBE247">
            <w:pP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未被交通运输部或陕西省交通运输厅列入信用评价D级且处于有效期内。</w:t>
            </w:r>
          </w:p>
        </w:tc>
      </w:tr>
    </w:tbl>
    <w:p w14:paraId="2531AD4D">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（5）项目经理和项目总工最低要求</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837"/>
        <w:gridCol w:w="730"/>
        <w:gridCol w:w="4994"/>
        <w:gridCol w:w="1639"/>
      </w:tblGrid>
      <w:tr w14:paraId="6AF26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2" w:type="dxa"/>
            <w:noWrap w:val="0"/>
            <w:vAlign w:val="center"/>
          </w:tcPr>
          <w:p w14:paraId="05839F57">
            <w:pPr>
              <w:jc w:val="center"/>
              <w:outlineLvl w:val="1"/>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组别</w:t>
            </w:r>
          </w:p>
        </w:tc>
        <w:tc>
          <w:tcPr>
            <w:tcW w:w="837" w:type="dxa"/>
            <w:noWrap w:val="0"/>
            <w:vAlign w:val="center"/>
          </w:tcPr>
          <w:p w14:paraId="0E6EAC3A">
            <w:pPr>
              <w:jc w:val="center"/>
              <w:outlineLvl w:val="1"/>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职务</w:t>
            </w:r>
          </w:p>
        </w:tc>
        <w:tc>
          <w:tcPr>
            <w:tcW w:w="730" w:type="dxa"/>
            <w:noWrap w:val="0"/>
            <w:vAlign w:val="center"/>
          </w:tcPr>
          <w:p w14:paraId="4F56D292">
            <w:pPr>
              <w:jc w:val="center"/>
              <w:outlineLvl w:val="1"/>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人数</w:t>
            </w:r>
          </w:p>
        </w:tc>
        <w:tc>
          <w:tcPr>
            <w:tcW w:w="4994" w:type="dxa"/>
            <w:noWrap w:val="0"/>
            <w:vAlign w:val="center"/>
          </w:tcPr>
          <w:p w14:paraId="4EBDFB9C">
            <w:pPr>
              <w:jc w:val="center"/>
              <w:outlineLvl w:val="1"/>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资  格  要  求</w:t>
            </w:r>
          </w:p>
        </w:tc>
        <w:tc>
          <w:tcPr>
            <w:tcW w:w="1639" w:type="dxa"/>
            <w:noWrap w:val="0"/>
            <w:vAlign w:val="center"/>
          </w:tcPr>
          <w:p w14:paraId="17A8CCE7">
            <w:pPr>
              <w:jc w:val="center"/>
              <w:outlineLvl w:val="1"/>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在岗要求</w:t>
            </w:r>
          </w:p>
        </w:tc>
      </w:tr>
      <w:tr w14:paraId="28903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2" w:type="dxa"/>
            <w:vMerge w:val="restart"/>
            <w:noWrap w:val="0"/>
            <w:vAlign w:val="center"/>
          </w:tcPr>
          <w:p w14:paraId="6792A0AB">
            <w:pPr>
              <w:jc w:val="center"/>
              <w:rPr>
                <w:rFonts w:hint="eastAsia" w:ascii="仿宋" w:hAnsi="仿宋" w:eastAsia="仿宋" w:cs="仿宋"/>
                <w:color w:val="000000"/>
                <w:kern w:val="0"/>
                <w:sz w:val="21"/>
                <w:szCs w:val="21"/>
                <w:highlight w:val="none"/>
                <w:lang w:eastAsia="zh-CN"/>
              </w:rPr>
            </w:pPr>
            <w:r>
              <w:rPr>
                <w:rFonts w:hint="eastAsia" w:ascii="仿宋" w:hAnsi="仿宋" w:eastAsia="仿宋" w:cs="仿宋"/>
                <w:color w:val="000000"/>
                <w:sz w:val="21"/>
                <w:szCs w:val="21"/>
                <w:highlight w:val="none"/>
                <w:lang w:eastAsia="zh-CN"/>
              </w:rPr>
              <w:t>B组</w:t>
            </w:r>
          </w:p>
        </w:tc>
        <w:tc>
          <w:tcPr>
            <w:tcW w:w="837" w:type="dxa"/>
            <w:noWrap w:val="0"/>
            <w:vAlign w:val="center"/>
          </w:tcPr>
          <w:p w14:paraId="28EDD908">
            <w:pPr>
              <w:tabs>
                <w:tab w:val="left" w:pos="1778"/>
              </w:tabs>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项目经理</w:t>
            </w:r>
          </w:p>
        </w:tc>
        <w:tc>
          <w:tcPr>
            <w:tcW w:w="730" w:type="dxa"/>
            <w:noWrap w:val="0"/>
            <w:vAlign w:val="center"/>
          </w:tcPr>
          <w:p w14:paraId="55EF2837">
            <w:pPr>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w:t>
            </w:r>
          </w:p>
        </w:tc>
        <w:tc>
          <w:tcPr>
            <w:tcW w:w="4994" w:type="dxa"/>
            <w:noWrap w:val="0"/>
            <w:vAlign w:val="center"/>
          </w:tcPr>
          <w:p w14:paraId="368AA0A4">
            <w:pPr>
              <w:spacing w:line="320" w:lineRule="exact"/>
              <w:rPr>
                <w:rFonts w:hint="eastAsia" w:ascii="仿宋" w:hAnsi="仿宋" w:eastAsia="仿宋" w:cs="仿宋"/>
                <w:color w:val="000000"/>
                <w:sz w:val="21"/>
                <w:szCs w:val="21"/>
                <w:highlight w:val="none"/>
              </w:rPr>
            </w:pPr>
            <w:r>
              <w:rPr>
                <w:rFonts w:hint="eastAsia" w:ascii="仿宋" w:hAnsi="仿宋" w:eastAsia="仿宋" w:cs="仿宋"/>
                <w:color w:val="000000"/>
                <w:kern w:val="0"/>
                <w:sz w:val="21"/>
                <w:szCs w:val="21"/>
                <w:highlight w:val="none"/>
              </w:rPr>
              <w:t>具</w:t>
            </w:r>
            <w:r>
              <w:rPr>
                <w:rFonts w:hint="eastAsia" w:ascii="仿宋" w:hAnsi="仿宋" w:eastAsia="仿宋" w:cs="仿宋"/>
                <w:color w:val="auto"/>
                <w:kern w:val="0"/>
                <w:sz w:val="21"/>
                <w:szCs w:val="21"/>
                <w:highlight w:val="none"/>
              </w:rPr>
              <w:t>有</w:t>
            </w:r>
            <w:r>
              <w:rPr>
                <w:rFonts w:hint="eastAsia" w:ascii="仿宋" w:hAnsi="仿宋" w:eastAsia="仿宋" w:cs="仿宋"/>
                <w:color w:val="auto"/>
                <w:kern w:val="0"/>
                <w:sz w:val="21"/>
                <w:szCs w:val="21"/>
                <w:highlight w:val="none"/>
                <w:lang w:val="en-US" w:eastAsia="zh-CN"/>
              </w:rPr>
              <w:t>中</w:t>
            </w:r>
            <w:r>
              <w:rPr>
                <w:rFonts w:hint="eastAsia" w:ascii="仿宋" w:hAnsi="仿宋" w:eastAsia="仿宋" w:cs="仿宋"/>
                <w:color w:val="auto"/>
                <w:kern w:val="0"/>
                <w:sz w:val="21"/>
                <w:szCs w:val="21"/>
                <w:highlight w:val="none"/>
              </w:rPr>
              <w:t>级</w:t>
            </w:r>
            <w:r>
              <w:rPr>
                <w:rFonts w:hint="eastAsia" w:ascii="仿宋" w:hAnsi="仿宋" w:eastAsia="仿宋" w:cs="仿宋"/>
                <w:color w:val="auto"/>
                <w:kern w:val="0"/>
                <w:sz w:val="21"/>
                <w:szCs w:val="21"/>
                <w:highlight w:val="none"/>
              </w:rPr>
              <w:t>或以上技术职称；</w:t>
            </w:r>
            <w:r>
              <w:rPr>
                <w:rFonts w:hint="eastAsia" w:ascii="仿宋" w:hAnsi="仿宋" w:eastAsia="仿宋" w:cs="仿宋"/>
                <w:color w:val="auto"/>
                <w:sz w:val="21"/>
                <w:szCs w:val="21"/>
                <w:highlight w:val="none"/>
              </w:rPr>
              <w:t>持有机电工程专业一级注册建造师证书；持有省级或以上交通运输主管部门核发有效的B类安全生产考核合格证；20</w:t>
            </w:r>
            <w:r>
              <w:rPr>
                <w:rFonts w:hint="eastAsia" w:ascii="仿宋" w:hAnsi="仿宋" w:eastAsia="仿宋" w:cs="仿宋"/>
                <w:color w:val="auto"/>
                <w:sz w:val="21"/>
                <w:szCs w:val="21"/>
                <w:highlight w:val="none"/>
                <w:lang w:val="en-US" w:eastAsia="zh-CN"/>
              </w:rPr>
              <w:t>20</w:t>
            </w:r>
            <w:r>
              <w:rPr>
                <w:rFonts w:hint="eastAsia" w:ascii="仿宋" w:hAnsi="仿宋" w:eastAsia="仿宋" w:cs="仿宋"/>
                <w:color w:val="auto"/>
                <w:sz w:val="21"/>
                <w:szCs w:val="21"/>
                <w:highlight w:val="none"/>
              </w:rPr>
              <w:t>年（含）以来，至少担任过1</w:t>
            </w:r>
            <w:r>
              <w:rPr>
                <w:rFonts w:hint="eastAsia" w:ascii="仿宋" w:hAnsi="仿宋" w:eastAsia="仿宋" w:cs="仿宋"/>
                <w:color w:val="auto"/>
                <w:sz w:val="21"/>
                <w:szCs w:val="21"/>
                <w:highlight w:val="none"/>
                <w:lang w:val="en-US" w:eastAsia="zh-CN"/>
              </w:rPr>
              <w:t>个</w:t>
            </w:r>
            <w:r>
              <w:rPr>
                <w:rFonts w:hint="eastAsia" w:ascii="仿宋" w:hAnsi="仿宋" w:eastAsia="仿宋" w:cs="仿宋"/>
                <w:color w:val="auto"/>
                <w:sz w:val="21"/>
                <w:szCs w:val="21"/>
                <w:highlight w:val="none"/>
              </w:rPr>
              <w:t>高速公路机电工程施工合同段项目经理职务。</w:t>
            </w:r>
          </w:p>
        </w:tc>
        <w:tc>
          <w:tcPr>
            <w:tcW w:w="1639" w:type="dxa"/>
            <w:vMerge w:val="restart"/>
            <w:noWrap w:val="0"/>
            <w:vAlign w:val="center"/>
          </w:tcPr>
          <w:p w14:paraId="0F407729">
            <w:pPr>
              <w:spacing w:line="320" w:lineRule="exac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无在岗项目（指目前未在其他项目上任职，或虽在其他项目上任职但本项目中标后能够从该项目撤离）</w:t>
            </w:r>
          </w:p>
        </w:tc>
      </w:tr>
      <w:tr w14:paraId="6B133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2" w:type="dxa"/>
            <w:vMerge w:val="continue"/>
            <w:noWrap w:val="0"/>
            <w:vAlign w:val="center"/>
          </w:tcPr>
          <w:p w14:paraId="488C1C20">
            <w:pPr>
              <w:tabs>
                <w:tab w:val="left" w:pos="1778"/>
              </w:tabs>
              <w:spacing w:line="320" w:lineRule="exact"/>
              <w:jc w:val="center"/>
              <w:rPr>
                <w:rFonts w:hint="eastAsia" w:ascii="仿宋" w:hAnsi="仿宋" w:eastAsia="仿宋" w:cs="仿宋"/>
                <w:color w:val="000000"/>
                <w:kern w:val="0"/>
                <w:sz w:val="21"/>
                <w:szCs w:val="21"/>
                <w:highlight w:val="none"/>
              </w:rPr>
            </w:pPr>
          </w:p>
        </w:tc>
        <w:tc>
          <w:tcPr>
            <w:tcW w:w="837" w:type="dxa"/>
            <w:noWrap w:val="0"/>
            <w:vAlign w:val="center"/>
          </w:tcPr>
          <w:p w14:paraId="5ADB0844">
            <w:pPr>
              <w:tabs>
                <w:tab w:val="left" w:pos="1778"/>
              </w:tabs>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项目总工</w:t>
            </w:r>
          </w:p>
        </w:tc>
        <w:tc>
          <w:tcPr>
            <w:tcW w:w="730" w:type="dxa"/>
            <w:noWrap w:val="0"/>
            <w:vAlign w:val="center"/>
          </w:tcPr>
          <w:p w14:paraId="7FB7ECFA">
            <w:pPr>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w:t>
            </w:r>
          </w:p>
        </w:tc>
        <w:tc>
          <w:tcPr>
            <w:tcW w:w="4994" w:type="dxa"/>
            <w:noWrap w:val="0"/>
            <w:vAlign w:val="center"/>
          </w:tcPr>
          <w:p w14:paraId="0521871C">
            <w:pPr>
              <w:spacing w:line="320" w:lineRule="exac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具有</w:t>
            </w:r>
            <w:r>
              <w:rPr>
                <w:rFonts w:hint="eastAsia" w:ascii="仿宋" w:hAnsi="仿宋" w:eastAsia="仿宋" w:cs="仿宋"/>
                <w:color w:val="000000"/>
                <w:sz w:val="21"/>
                <w:szCs w:val="21"/>
                <w:highlight w:val="none"/>
              </w:rPr>
              <w:t>高级或以上技术职称；持有省级或以上交通运输主管部门核发有效的B类安全生产考核合格证；20</w:t>
            </w:r>
            <w:r>
              <w:rPr>
                <w:rFonts w:hint="eastAsia" w:ascii="仿宋" w:hAnsi="仿宋" w:eastAsia="仿宋" w:cs="仿宋"/>
                <w:color w:val="000000"/>
                <w:sz w:val="21"/>
                <w:szCs w:val="21"/>
                <w:highlight w:val="none"/>
                <w:lang w:val="en-US" w:eastAsia="zh-CN"/>
              </w:rPr>
              <w:t>20</w:t>
            </w:r>
            <w:r>
              <w:rPr>
                <w:rFonts w:hint="eastAsia" w:ascii="仿宋" w:hAnsi="仿宋" w:eastAsia="仿宋" w:cs="仿宋"/>
                <w:color w:val="000000"/>
                <w:sz w:val="21"/>
                <w:szCs w:val="21"/>
                <w:highlight w:val="none"/>
              </w:rPr>
              <w:t>年（含）以来，至少担任过1个高速公路机电工程施工合同段项目总工职务。</w:t>
            </w:r>
          </w:p>
        </w:tc>
        <w:tc>
          <w:tcPr>
            <w:tcW w:w="1639" w:type="dxa"/>
            <w:vMerge w:val="continue"/>
            <w:noWrap w:val="0"/>
            <w:vAlign w:val="center"/>
          </w:tcPr>
          <w:p w14:paraId="67ECD434">
            <w:pPr>
              <w:spacing w:line="320" w:lineRule="exact"/>
              <w:rPr>
                <w:rFonts w:hint="eastAsia" w:ascii="仿宋" w:hAnsi="仿宋" w:eastAsia="仿宋" w:cs="仿宋"/>
                <w:color w:val="000000"/>
                <w:sz w:val="21"/>
                <w:szCs w:val="21"/>
                <w:highlight w:val="none"/>
              </w:rPr>
            </w:pPr>
          </w:p>
        </w:tc>
      </w:tr>
    </w:tbl>
    <w:p w14:paraId="55731025">
      <w:pPr>
        <w:spacing w:line="360" w:lineRule="auto"/>
        <w:ind w:firstLine="482" w:firstLineChars="200"/>
        <w:contextualSpacing/>
        <w:rPr>
          <w:rFonts w:hint="eastAsia" w:ascii="仿宋" w:hAnsi="仿宋" w:eastAsia="仿宋" w:cs="仿宋_GB2312"/>
          <w:b/>
          <w:bCs/>
          <w:color w:val="000000"/>
          <w:sz w:val="24"/>
          <w:highlight w:val="none"/>
        </w:rPr>
      </w:pPr>
      <w:r>
        <w:rPr>
          <w:rFonts w:hint="eastAsia" w:ascii="仿宋" w:hAnsi="仿宋" w:eastAsia="仿宋" w:cs="仿宋_GB2312"/>
          <w:b/>
          <w:bCs/>
          <w:color w:val="000000"/>
          <w:sz w:val="24"/>
          <w:highlight w:val="none"/>
        </w:rPr>
        <w:t>说明：</w:t>
      </w:r>
      <w:r>
        <w:rPr>
          <w:rFonts w:hint="eastAsia" w:ascii="仿宋" w:hAnsi="仿宋" w:eastAsia="仿宋" w:cs="仿宋_GB2312"/>
          <w:b/>
          <w:bCs/>
          <w:color w:val="000000"/>
          <w:sz w:val="24"/>
          <w:highlight w:val="none"/>
          <w:lang w:val="en-US" w:eastAsia="zh-CN"/>
        </w:rPr>
        <w:t>业绩的完成和时间要求以交工验收为准。</w:t>
      </w:r>
    </w:p>
    <w:p w14:paraId="50D3382C">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6）拟投入的其他管理人员和技术人员，在投标时不需填报，但须按招标文件规定做出相关承诺。人员最低要求在招标文件提供的合同附件中明确，具体人选名单由招标人和中标人在合同谈判阶段确定，经招标人审批后作为派驻本标段项目管理机构人员并作为合同履约考核的依据。如中标人拟派驻的人员数量和资格条件不满足合同附件的要求，招标人将取消其中标资格。</w:t>
      </w:r>
    </w:p>
    <w:p w14:paraId="20C93A26">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7）拟投入的主要机械设备在投标时不需填报，但须按招标文件中规定的格式、内容和要求做出相关承诺。设备最低要求在招标文件提供的合同附件中明确，具体设备清单由招标人和中标人在合同谈判阶段确定，经招标人审批后作为投入本标段的主要设备并作为合同履约考核的依据。如中标人拟提供的设备数量和规格指标等不满足合同附件的要求，招标人将取消其中标资格。</w:t>
      </w:r>
    </w:p>
    <w:p w14:paraId="458792B5">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2.投标人应进入交通运输部“全国公路建设市场监督管理系统”中的公路工程施工资质企业名录，且投标人名称和资质与该名录中的相应企业名称和资质完全一致。</w:t>
      </w:r>
    </w:p>
    <w:p w14:paraId="4ACD656C">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3.本次招标不接受联合体投标。</w:t>
      </w:r>
    </w:p>
    <w:p w14:paraId="748438D2">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4.在“信用中国”网站中被列入失信被执行人名单的投标人，不得参加投标。</w:t>
      </w:r>
    </w:p>
    <w:p w14:paraId="175494A2">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5.与招标人存在利害关系可能影响招标公正性的单位，不得参加投标。单位负责人为同一人或者存在控股、管理关系的不同单位可以参加同一个组别的投标，但该组别中通过第一个信封（商务及技术文件）评审的投标人数量不得超过组别内的标段数量。本次招标，若组别内具有上述关联关系且满足通过商务及技术文件评审要求的投标人数量大于 2 个，则按其填报的符合评审要求的项目业绩的累计合同金额由高到低进行排序，若符合评审要求的项目业绩的累计合同金额相等时按其 2023 年企业年营业额由高到低进行排序，选择排序前 2 名的关联关系投标人最终通过第一个信封（商务及技术文件）评审。</w:t>
      </w:r>
    </w:p>
    <w:p w14:paraId="2E31CF1F">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同一单位以及单位负责人为同一人或者存在控股、管理关系的不同单位，不能同时获得施工及施工监理标段的中标资格(具有监理与被监理关系)。与本次施工相应的已招标进场的机电监理单位陕西交通科技有限公司(具有监理与被监理关系)以及与上述单位具有关联关系（即单位负责人为同一人或者存在控股、管理关系的不同单位）的单位，不得参加本次投标。</w:t>
      </w:r>
    </w:p>
    <w:p w14:paraId="1A15E739">
      <w:pPr>
        <w:numPr>
          <w:ilvl w:val="0"/>
          <w:numId w:val="0"/>
        </w:num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lang w:val="en-US" w:eastAsia="zh-CN" w:bidi="ar-SA"/>
        </w:rPr>
        <w:t>6.</w:t>
      </w:r>
      <w:r>
        <w:rPr>
          <w:rFonts w:hint="eastAsia" w:ascii="仿宋" w:hAnsi="仿宋" w:eastAsia="仿宋" w:cs="宋体"/>
          <w:color w:val="000000"/>
          <w:kern w:val="2"/>
          <w:sz w:val="32"/>
          <w:szCs w:val="24"/>
          <w:highlight w:val="none"/>
          <w:lang w:val="en-US" w:eastAsia="zh-CN" w:bidi="ar-SA"/>
        </w:rPr>
        <w:t>投标人按组别进行投标，每个投标人只允许获得一个标段的中标资格。</w:t>
      </w:r>
    </w:p>
    <w:p w14:paraId="55475FE2">
      <w:pPr>
        <w:numPr>
          <w:ilvl w:val="0"/>
          <w:numId w:val="2"/>
        </w:numPr>
        <w:rPr>
          <w:rFonts w:hint="eastAsia" w:ascii="黑体" w:hAnsi="黑体" w:eastAsia="黑体" w:cs="黑体"/>
          <w:color w:val="000000"/>
          <w:sz w:val="32"/>
          <w:szCs w:val="32"/>
          <w:highlight w:val="none"/>
          <w:lang w:eastAsia="en-US"/>
        </w:rPr>
      </w:pPr>
      <w:r>
        <w:rPr>
          <w:rFonts w:hint="eastAsia" w:ascii="黑体" w:hAnsi="黑体" w:eastAsia="黑体" w:cs="黑体"/>
          <w:color w:val="000000"/>
          <w:sz w:val="32"/>
          <w:szCs w:val="32"/>
          <w:highlight w:val="none"/>
          <w:lang w:eastAsia="en-US"/>
        </w:rPr>
        <w:t>‌‌‌评标办法</w:t>
      </w:r>
    </w:p>
    <w:p w14:paraId="48A8D196">
      <w:pPr>
        <w:spacing w:line="360" w:lineRule="auto"/>
        <w:jc w:val="left"/>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评标办法前附表</w:t>
      </w:r>
    </w:p>
    <w:tbl>
      <w:tblPr>
        <w:tblStyle w:val="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355"/>
        <w:gridCol w:w="354"/>
        <w:gridCol w:w="1703"/>
        <w:gridCol w:w="1632"/>
        <w:gridCol w:w="4008"/>
      </w:tblGrid>
      <w:tr w14:paraId="38797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1342E81F">
            <w:pPr>
              <w:jc w:val="center"/>
              <w:rPr>
                <w:rFonts w:hint="eastAsia" w:ascii="宋体" w:hAnsi="宋体" w:eastAsia="宋体" w:cs="宋体"/>
                <w:highlight w:val="none"/>
              </w:rPr>
            </w:pPr>
            <w:r>
              <w:rPr>
                <w:rFonts w:hint="eastAsia" w:ascii="宋体" w:hAnsi="宋体" w:eastAsia="宋体" w:cs="宋体"/>
                <w:highlight w:val="none"/>
              </w:rPr>
              <w:t>条款号</w:t>
            </w:r>
          </w:p>
        </w:tc>
        <w:tc>
          <w:tcPr>
            <w:tcW w:w="1703" w:type="dxa"/>
            <w:tcBorders>
              <w:top w:val="single" w:color="auto" w:sz="4" w:space="0"/>
              <w:left w:val="single" w:color="auto" w:sz="4" w:space="0"/>
              <w:bottom w:val="single" w:color="auto" w:sz="4" w:space="0"/>
              <w:right w:val="single" w:color="auto" w:sz="4" w:space="0"/>
            </w:tcBorders>
            <w:vAlign w:val="center"/>
          </w:tcPr>
          <w:p w14:paraId="482889B8">
            <w:pPr>
              <w:jc w:val="center"/>
              <w:rPr>
                <w:rFonts w:hint="eastAsia" w:ascii="宋体" w:hAnsi="宋体" w:eastAsia="宋体" w:cs="宋体"/>
                <w:highlight w:val="none"/>
              </w:rPr>
            </w:pPr>
            <w:r>
              <w:rPr>
                <w:rFonts w:hint="eastAsia" w:ascii="宋体" w:hAnsi="宋体" w:eastAsia="宋体" w:cs="宋体"/>
                <w:highlight w:val="none"/>
              </w:rPr>
              <w:t>条款名称</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08AAF7A3">
            <w:pPr>
              <w:jc w:val="center"/>
              <w:rPr>
                <w:rFonts w:hint="eastAsia" w:ascii="宋体" w:hAnsi="宋体" w:eastAsia="宋体" w:cs="宋体"/>
                <w:highlight w:val="none"/>
              </w:rPr>
            </w:pPr>
            <w:r>
              <w:rPr>
                <w:rFonts w:hint="eastAsia" w:ascii="宋体" w:hAnsi="宋体" w:eastAsia="宋体" w:cs="宋体"/>
                <w:highlight w:val="none"/>
              </w:rPr>
              <w:t>编列内容</w:t>
            </w:r>
          </w:p>
        </w:tc>
      </w:tr>
      <w:tr w14:paraId="59CF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0862DCBD">
            <w:pPr>
              <w:jc w:val="center"/>
              <w:rPr>
                <w:rFonts w:hint="eastAsia" w:ascii="宋体" w:hAnsi="宋体" w:eastAsia="宋体" w:cs="宋体"/>
                <w:highlight w:val="none"/>
              </w:rPr>
            </w:pPr>
            <w:r>
              <w:rPr>
                <w:rFonts w:hint="eastAsia" w:ascii="宋体" w:hAnsi="宋体" w:eastAsia="宋体" w:cs="宋体"/>
                <w:highlight w:val="none"/>
              </w:rPr>
              <w:t>1</w:t>
            </w:r>
          </w:p>
        </w:tc>
        <w:tc>
          <w:tcPr>
            <w:tcW w:w="1703" w:type="dxa"/>
            <w:tcBorders>
              <w:top w:val="single" w:color="auto" w:sz="4" w:space="0"/>
              <w:left w:val="single" w:color="auto" w:sz="4" w:space="0"/>
              <w:bottom w:val="single" w:color="auto" w:sz="4" w:space="0"/>
              <w:right w:val="single" w:color="auto" w:sz="4" w:space="0"/>
            </w:tcBorders>
            <w:vAlign w:val="center"/>
          </w:tcPr>
          <w:p w14:paraId="46B8796E">
            <w:pPr>
              <w:jc w:val="center"/>
              <w:rPr>
                <w:rFonts w:hint="eastAsia" w:ascii="宋体" w:hAnsi="宋体" w:eastAsia="宋体" w:cs="宋体"/>
                <w:highlight w:val="none"/>
              </w:rPr>
            </w:pPr>
            <w:r>
              <w:rPr>
                <w:rFonts w:hint="eastAsia" w:ascii="宋体" w:hAnsi="宋体" w:eastAsia="宋体" w:cs="宋体"/>
                <w:highlight w:val="none"/>
              </w:rPr>
              <w:t>评标办法</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2557826E">
            <w:pPr>
              <w:autoSpaceDE w:val="0"/>
              <w:autoSpaceDN w:val="0"/>
              <w:adjustRightInd w:val="0"/>
              <w:rPr>
                <w:rFonts w:hint="eastAsia" w:ascii="宋体" w:hAnsi="宋体" w:eastAsia="宋体" w:cs="宋体"/>
                <w:szCs w:val="21"/>
                <w:highlight w:val="none"/>
              </w:rPr>
            </w:pPr>
            <w:r>
              <w:rPr>
                <w:rFonts w:hint="eastAsia" w:ascii="宋体" w:hAnsi="宋体" w:eastAsia="宋体" w:cs="宋体"/>
                <w:szCs w:val="21"/>
                <w:highlight w:val="none"/>
              </w:rPr>
              <w:t>本次</w:t>
            </w:r>
            <w:r>
              <w:rPr>
                <w:rFonts w:hint="eastAsia" w:ascii="宋体" w:hAnsi="宋体" w:cs="宋体"/>
                <w:szCs w:val="21"/>
                <w:highlight w:val="none"/>
                <w:lang w:val="en-US" w:eastAsia="zh-CN"/>
              </w:rPr>
              <w:t>招标</w:t>
            </w:r>
            <w:r>
              <w:rPr>
                <w:rFonts w:hint="eastAsia" w:ascii="宋体" w:hAnsi="宋体" w:eastAsia="宋体" w:cs="宋体"/>
                <w:szCs w:val="21"/>
                <w:highlight w:val="none"/>
              </w:rPr>
              <w:t>采用按类分组、资格后审、随机组合开标、技术评分最低价法评标。</w:t>
            </w:r>
          </w:p>
          <w:p w14:paraId="0DF9FDDB">
            <w:pPr>
              <w:autoSpaceDE w:val="0"/>
              <w:autoSpaceDN w:val="0"/>
              <w:adjustRightInd w:val="0"/>
              <w:rPr>
                <w:rFonts w:hint="eastAsia" w:ascii="宋体" w:hAnsi="宋体" w:eastAsia="宋体" w:cs="宋体"/>
                <w:szCs w:val="21"/>
                <w:highlight w:val="none"/>
              </w:rPr>
            </w:pPr>
            <w:r>
              <w:rPr>
                <w:rFonts w:hint="eastAsia" w:ascii="宋体" w:hAnsi="宋体" w:eastAsia="宋体" w:cs="宋体"/>
                <w:szCs w:val="21"/>
                <w:highlight w:val="none"/>
              </w:rPr>
              <w:t>评标委员会对</w:t>
            </w:r>
            <w:r>
              <w:rPr>
                <w:rFonts w:hint="eastAsia" w:ascii="宋体" w:hAnsi="宋体" w:cs="宋体"/>
                <w:szCs w:val="21"/>
                <w:highlight w:val="none"/>
                <w:lang w:val="en-US" w:eastAsia="zh-CN"/>
              </w:rPr>
              <w:t>组别内</w:t>
            </w:r>
            <w:r>
              <w:rPr>
                <w:rFonts w:hint="eastAsia" w:ascii="宋体" w:hAnsi="宋体" w:eastAsia="宋体" w:cs="宋体"/>
                <w:szCs w:val="21"/>
                <w:highlight w:val="none"/>
              </w:rPr>
              <w:t>满足招标文件实质性要求的投标文件的施工组织设计、主要管理人员、技术能力、履约信誉、业绩等因素进行评分，按照得分由高到低排序，对</w:t>
            </w:r>
            <w:r>
              <w:rPr>
                <w:rFonts w:hint="eastAsia" w:ascii="宋体" w:hAnsi="宋体" w:cs="宋体"/>
                <w:szCs w:val="21"/>
                <w:highlight w:val="none"/>
                <w:lang w:val="en-US" w:eastAsia="zh-CN"/>
              </w:rPr>
              <w:t>组别内</w:t>
            </w:r>
            <w:r>
              <w:rPr>
                <w:rFonts w:hint="eastAsia" w:ascii="宋体" w:hAnsi="宋体" w:eastAsia="宋体" w:cs="宋体"/>
                <w:szCs w:val="21"/>
                <w:highlight w:val="none"/>
              </w:rPr>
              <w:t>排名前10名的投标人按平均分配原则</w:t>
            </w:r>
            <w:r>
              <w:rPr>
                <w:rFonts w:hint="eastAsia" w:ascii="宋体" w:hAnsi="宋体" w:cs="宋体"/>
                <w:szCs w:val="21"/>
                <w:highlight w:val="none"/>
                <w:lang w:val="en-US" w:eastAsia="zh-CN"/>
              </w:rPr>
              <w:t>采用系统摇号的方式</w:t>
            </w:r>
            <w:r>
              <w:rPr>
                <w:rFonts w:hint="eastAsia" w:ascii="宋体" w:hAnsi="宋体" w:eastAsia="宋体" w:cs="宋体"/>
                <w:szCs w:val="21"/>
                <w:highlight w:val="none"/>
              </w:rPr>
              <w:t>随机分配标段，按分配结果对各标段投标人的报价文件进行评审，按照评标价由低到高的顺序推荐中标候选人。</w:t>
            </w:r>
          </w:p>
          <w:p w14:paraId="563C334D">
            <w:pPr>
              <w:autoSpaceDE w:val="0"/>
              <w:autoSpaceDN w:val="0"/>
              <w:adjustRightInd w:val="0"/>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评标价相等时，评标委员会依次按以下优先顺序进行排序：</w:t>
            </w:r>
          </w:p>
          <w:p w14:paraId="3CF35300">
            <w:pPr>
              <w:autoSpaceDE w:val="0"/>
              <w:autoSpaceDN w:val="0"/>
              <w:adjustRightInd w:val="0"/>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（1）履约信誉得分较高的投标人优先；</w:t>
            </w:r>
          </w:p>
          <w:p w14:paraId="013CCB84">
            <w:pPr>
              <w:autoSpaceDE w:val="0"/>
              <w:autoSpaceDN w:val="0"/>
              <w:adjustRightInd w:val="0"/>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（2）商务和技术得分较高的投标人优先；</w:t>
            </w:r>
          </w:p>
          <w:p w14:paraId="334E9B2F">
            <w:pPr>
              <w:autoSpaceDE w:val="0"/>
              <w:autoSpaceDN w:val="0"/>
              <w:adjustRightInd w:val="0"/>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（3）施工组织设计得分较高的投标人优先。</w:t>
            </w:r>
          </w:p>
        </w:tc>
      </w:tr>
      <w:tr w14:paraId="70FBB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2E93752F">
            <w:pPr>
              <w:jc w:val="center"/>
              <w:rPr>
                <w:rFonts w:hint="eastAsia" w:ascii="宋体" w:hAnsi="宋体" w:eastAsia="宋体" w:cs="宋体"/>
                <w:highlight w:val="none"/>
              </w:rPr>
            </w:pPr>
            <w:r>
              <w:rPr>
                <w:rFonts w:hint="eastAsia" w:ascii="宋体" w:hAnsi="宋体" w:eastAsia="宋体" w:cs="宋体"/>
                <w:highlight w:val="none"/>
              </w:rPr>
              <w:t>2</w:t>
            </w:r>
          </w:p>
        </w:tc>
        <w:tc>
          <w:tcPr>
            <w:tcW w:w="7343" w:type="dxa"/>
            <w:gridSpan w:val="3"/>
            <w:tcBorders>
              <w:top w:val="single" w:color="auto" w:sz="4" w:space="0"/>
              <w:left w:val="single" w:color="auto" w:sz="4" w:space="0"/>
              <w:bottom w:val="single" w:color="auto" w:sz="4" w:space="0"/>
              <w:right w:val="single" w:color="auto" w:sz="4" w:space="0"/>
            </w:tcBorders>
            <w:vAlign w:val="center"/>
          </w:tcPr>
          <w:p w14:paraId="03BE84BF">
            <w:pPr>
              <w:jc w:val="center"/>
              <w:rPr>
                <w:rFonts w:hint="eastAsia" w:ascii="宋体" w:hAnsi="宋体" w:eastAsia="宋体" w:cs="宋体"/>
                <w:highlight w:val="none"/>
              </w:rPr>
            </w:pPr>
            <w:r>
              <w:rPr>
                <w:rFonts w:hint="eastAsia" w:ascii="宋体" w:hAnsi="宋体" w:eastAsia="宋体" w:cs="宋体"/>
                <w:highlight w:val="none"/>
              </w:rPr>
              <w:t>审查因素与标准</w:t>
            </w:r>
          </w:p>
        </w:tc>
      </w:tr>
      <w:tr w14:paraId="3B055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14:paraId="152F8191">
            <w:pPr>
              <w:jc w:val="center"/>
              <w:rPr>
                <w:rFonts w:hint="eastAsia" w:ascii="宋体" w:hAnsi="宋体" w:eastAsia="宋体" w:cs="宋体"/>
                <w:highlight w:val="none"/>
              </w:rPr>
            </w:pPr>
            <w:r>
              <w:rPr>
                <w:rFonts w:hint="eastAsia" w:ascii="宋体" w:hAnsi="宋体" w:eastAsia="宋体" w:cs="宋体"/>
                <w:highlight w:val="none"/>
              </w:rPr>
              <w:t>2.1.1</w:t>
            </w:r>
          </w:p>
          <w:p w14:paraId="47F9A4E7">
            <w:pPr>
              <w:jc w:val="center"/>
              <w:rPr>
                <w:rFonts w:hint="eastAsia" w:ascii="宋体" w:hAnsi="宋体" w:eastAsia="宋体" w:cs="宋体"/>
                <w:highlight w:val="none"/>
              </w:rPr>
            </w:pPr>
            <w:r>
              <w:rPr>
                <w:rFonts w:hint="eastAsia" w:ascii="宋体" w:hAnsi="宋体" w:eastAsia="宋体" w:cs="宋体"/>
                <w:highlight w:val="none"/>
              </w:rPr>
              <w:t>2.1.3</w:t>
            </w: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52758C91">
            <w:pPr>
              <w:jc w:val="center"/>
              <w:rPr>
                <w:rFonts w:hint="eastAsia" w:ascii="宋体" w:hAnsi="宋体" w:eastAsia="宋体" w:cs="宋体"/>
                <w:highlight w:val="none"/>
              </w:rPr>
            </w:pPr>
            <w:r>
              <w:rPr>
                <w:rFonts w:hint="eastAsia" w:ascii="宋体" w:hAnsi="宋体" w:eastAsia="宋体" w:cs="宋体"/>
                <w:highlight w:val="none"/>
              </w:rPr>
              <w:t>形式评审与响应性评审标准</w:t>
            </w:r>
          </w:p>
        </w:tc>
        <w:tc>
          <w:tcPr>
            <w:tcW w:w="7343" w:type="dxa"/>
            <w:gridSpan w:val="3"/>
            <w:tcBorders>
              <w:top w:val="single" w:color="auto" w:sz="4" w:space="0"/>
              <w:left w:val="single" w:color="auto" w:sz="4" w:space="0"/>
              <w:bottom w:val="single" w:color="auto" w:sz="4" w:space="0"/>
              <w:right w:val="single" w:color="auto" w:sz="4" w:space="0"/>
            </w:tcBorders>
            <w:vAlign w:val="center"/>
          </w:tcPr>
          <w:p w14:paraId="041FFF10">
            <w:pPr>
              <w:autoSpaceDE w:val="0"/>
              <w:autoSpaceDN w:val="0"/>
              <w:spacing w:line="340" w:lineRule="exact"/>
              <w:rPr>
                <w:rFonts w:hint="eastAsia" w:ascii="宋体" w:hAnsi="宋体" w:eastAsia="宋体" w:cs="宋体"/>
                <w:b/>
                <w:szCs w:val="21"/>
                <w:highlight w:val="none"/>
              </w:rPr>
            </w:pPr>
            <w:r>
              <w:rPr>
                <w:rFonts w:hint="eastAsia" w:ascii="宋体" w:hAnsi="宋体" w:eastAsia="宋体" w:cs="宋体"/>
                <w:b/>
                <w:szCs w:val="21"/>
                <w:highlight w:val="none"/>
              </w:rPr>
              <w:t>第一个信封（商务及技术文件）评审标准：</w:t>
            </w:r>
          </w:p>
          <w:p w14:paraId="7845851E">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（1）投标文件按照招标文件规定的格式、内容填写，字迹清晰可辨；</w:t>
            </w:r>
          </w:p>
          <w:p w14:paraId="791D6917">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a.投标函内容完整，按招标文件规定填报了项目名称、</w:t>
            </w:r>
            <w:r>
              <w:rPr>
                <w:rFonts w:hint="eastAsia" w:ascii="宋体" w:hAnsi="宋体" w:eastAsia="宋体" w:cs="宋体"/>
                <w:color w:val="auto"/>
                <w:szCs w:val="21"/>
                <w:highlight w:val="none"/>
                <w:lang w:val="en-US" w:eastAsia="zh-CN"/>
              </w:rPr>
              <w:t>组别</w:t>
            </w:r>
            <w:r>
              <w:rPr>
                <w:rFonts w:hint="eastAsia" w:ascii="宋体" w:hAnsi="宋体" w:eastAsia="宋体" w:cs="宋体"/>
                <w:color w:val="auto"/>
                <w:szCs w:val="21"/>
                <w:highlight w:val="none"/>
              </w:rPr>
              <w:t>、补遗书编号</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如有</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、工期、工程质量要求及安全目标；</w:t>
            </w:r>
          </w:p>
          <w:p w14:paraId="5A5899B5">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b.投标函附录的所有数据均符合招标文件规定；</w:t>
            </w:r>
          </w:p>
          <w:p w14:paraId="39E1D240">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c.投标文件组成齐全完整，提供的相关资料符合招标文件规定，内容均按规定填写（包括相应备注、附表所要求的内容）。</w:t>
            </w:r>
          </w:p>
          <w:p w14:paraId="6B7D8490">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（2）投标文件上法定代表人或其委托代理人的签字、投标人的单位章盖章齐全，符合招标文件规定。</w:t>
            </w:r>
          </w:p>
          <w:p w14:paraId="54D7617D">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（3）投标人按照招标文件的规定提供了投标保证金：</w:t>
            </w:r>
          </w:p>
          <w:p w14:paraId="304CAAD8">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a.投标保证金金额符合招标文件规定的金额，且投标保证金有效期不少于投标有效期；</w:t>
            </w:r>
          </w:p>
          <w:p w14:paraId="56B27F91">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b.若投标保证金采用现金形式提交，投标人应在递交投标文件截止时间之前，将投标保证金由投标人的基本账户转入招标人指定账户；</w:t>
            </w:r>
          </w:p>
          <w:p w14:paraId="11D131DD">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c.若投标保证金采用银行保函形式提交，银行保函的格式、开具保函的银行均满足招标文件要求，且在递交投标文件截止时间之前向招标人提交了银行保函原件</w:t>
            </w:r>
            <w:r>
              <w:rPr>
                <w:rFonts w:hint="eastAsia" w:ascii="宋体" w:hAnsi="宋体" w:eastAsia="宋体" w:cs="宋体"/>
                <w:color w:val="auto"/>
                <w:szCs w:val="18"/>
                <w:highlight w:val="none"/>
              </w:rPr>
              <w:t>及权限说明（如有）</w:t>
            </w:r>
            <w:r>
              <w:rPr>
                <w:rFonts w:hint="eastAsia" w:ascii="宋体" w:hAnsi="宋体" w:eastAsia="宋体" w:cs="宋体"/>
                <w:color w:val="auto"/>
                <w:szCs w:val="21"/>
                <w:highlight w:val="none"/>
              </w:rPr>
              <w:t>。</w:t>
            </w:r>
          </w:p>
          <w:p w14:paraId="7EEABA04">
            <w:pPr>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（4）投标人法定代表人授权委托代理人签署投标文件的，需提交授权委托书，且授权人和被授权人均在授权委托书上签名。</w:t>
            </w:r>
          </w:p>
          <w:p w14:paraId="31C19DE0">
            <w:pPr>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（5）投标人法定代表人亲自签署投标文件的，提供了法定代表人身份证明，且法定代表人在法定代表人身份证明上签名。</w:t>
            </w:r>
          </w:p>
          <w:p w14:paraId="68A6BB9F">
            <w:pPr>
              <w:pStyle w:val="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（6）投标人未以联合体形式投标。</w:t>
            </w:r>
          </w:p>
          <w:p w14:paraId="22C5D19B">
            <w:pPr>
              <w:pStyle w:val="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（7）投标人如有分包计划，符合招标文件第二章“投标人须知”第1.11款规定，且按招标文件第九章“投标文件格式”的要求填写了“拟分包项目情况表”。</w:t>
            </w:r>
          </w:p>
          <w:p w14:paraId="1DA55C5A">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（8）同一投标人未提交两个以上投标文件。</w:t>
            </w:r>
          </w:p>
          <w:p w14:paraId="58093883">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（9）投标文件中未出现有关投标报价的内容。</w:t>
            </w:r>
          </w:p>
          <w:p w14:paraId="1D79EFC0">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（10）投标文件载明的招标项目完成期限未超过招标文件规定的时限。</w:t>
            </w:r>
          </w:p>
          <w:p w14:paraId="4BADDB87">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（11）投标文件对招标文件的实质性要求和条件作出响应。</w:t>
            </w:r>
          </w:p>
          <w:p w14:paraId="19FCDEF5">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（12）权利义务符合招标文件规定：</w:t>
            </w:r>
          </w:p>
          <w:p w14:paraId="01549EDA">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a.投标人应接受招标文件规定的风险划分原则，未提出新的风险划分办法；</w:t>
            </w:r>
          </w:p>
          <w:p w14:paraId="733955F6">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b.投标人未增加发包人的责任范围，或减少投标人义务；</w:t>
            </w:r>
          </w:p>
          <w:p w14:paraId="10FD6472">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c.投标人未提出不同的工程验收、计量、支付办法；</w:t>
            </w:r>
          </w:p>
          <w:p w14:paraId="5313DC5E">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d.投标人对合同纠纷、事故处理办法未提出异议；</w:t>
            </w:r>
          </w:p>
          <w:p w14:paraId="53D4E7F2">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e.投标人在投标活动中无欺诈行为；</w:t>
            </w:r>
          </w:p>
          <w:p w14:paraId="09DBD48D">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f.投标人未对合同条款有重要保留。</w:t>
            </w:r>
          </w:p>
          <w:p w14:paraId="7C12581F">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（13）投标文件正、副本份数符合招标文件第二章“投标人须知”第3.7.4项规定（若采用纸质文件评标）。</w:t>
            </w:r>
          </w:p>
          <w:p w14:paraId="66CB93B9">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（14）投标文件封套、投标函标明的标段、单位名称及内容一致（若采用纸质文件评标）。</w:t>
            </w:r>
          </w:p>
          <w:p w14:paraId="2AEF00CB">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（15）不同投标人的投标文件未相互混装（若采用纸质文件评标）。</w:t>
            </w:r>
          </w:p>
          <w:p w14:paraId="44610D71">
            <w:pPr>
              <w:autoSpaceDE w:val="0"/>
              <w:autoSpaceDN w:val="0"/>
              <w:spacing w:line="340" w:lineRule="exact"/>
              <w:rPr>
                <w:rFonts w:hint="eastAsia" w:ascii="宋体" w:hAnsi="宋体" w:eastAsia="宋体" w:cs="宋体"/>
                <w:b/>
                <w:szCs w:val="21"/>
                <w:highlight w:val="none"/>
              </w:rPr>
            </w:pPr>
            <w:r>
              <w:rPr>
                <w:rFonts w:hint="eastAsia" w:ascii="宋体" w:hAnsi="宋体" w:eastAsia="宋体" w:cs="宋体"/>
                <w:b/>
                <w:szCs w:val="21"/>
                <w:highlight w:val="none"/>
              </w:rPr>
              <w:t>第二个信封（投标报价文件）评审标准：</w:t>
            </w:r>
          </w:p>
          <w:p w14:paraId="09C6F676">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（1）投标文件按照招标文件规定的格式、内容填写，字迹清晰可辨：</w:t>
            </w:r>
          </w:p>
          <w:p w14:paraId="30E9B016">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a.投标函内容完整，按招标文件规定填报了项目名称、标段号、补遗书编号、投标价（包括大写金额和小写金额）；</w:t>
            </w:r>
          </w:p>
          <w:p w14:paraId="1014FDB5">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b.已标价工程量清单说明文字与招标文件规定一致，未进行实质性修改和删减；</w:t>
            </w:r>
          </w:p>
          <w:p w14:paraId="1055C7B2">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c.投标文件组成齐全完整，提供的相关资料符合招标文件规定，内容均按规定填写（包括相应备注、附表所要求的内容）。</w:t>
            </w:r>
          </w:p>
          <w:p w14:paraId="45DAC152">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（2）投标文件上法定代表人或其委托代理人的签字、投标人的单位章盖章齐全，符合招标文件规定。</w:t>
            </w:r>
          </w:p>
          <w:p w14:paraId="74372F77">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（3）投标报价未超过招标文件设定的最高投标限价（包括各分项限价，如有）。</w:t>
            </w:r>
          </w:p>
          <w:p w14:paraId="0424EFC8">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（4）投标报价的大写金额能够确定具体数值。</w:t>
            </w:r>
          </w:p>
          <w:p w14:paraId="180F6F66">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（5）同一投标人未提交两个以上不同的投标报价。</w:t>
            </w:r>
          </w:p>
          <w:p w14:paraId="2331682F">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（6）投标人未提交调价函。</w:t>
            </w:r>
          </w:p>
          <w:p w14:paraId="39769B88">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（7）投标人填写完毕的工程量固化清单未对工程量固化清单电子文件中的数据、格式和运算定义进行修改；工程量固化清单中的投标报价和投标函大写金额报价一致。</w:t>
            </w:r>
          </w:p>
          <w:p w14:paraId="16397CB0">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（8）投标文件正、副本份数符合招标文件第二章“投标人须知”第3.7.4项规定（若采用纸质文件评标）。</w:t>
            </w:r>
          </w:p>
          <w:p w14:paraId="36711BF8">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（9）投标文件封套、投标函标明的标段号、单位名称及内容一致（若采用纸质文件评标）。</w:t>
            </w:r>
          </w:p>
          <w:p w14:paraId="2C4ABD21">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（10）不同投标人的投标文件未相互混装（若采用纸质文件评标）。</w:t>
            </w:r>
          </w:p>
          <w:p w14:paraId="668C3B7F">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（11）已标价工程量清单中填报的“安全生产费”等子目报价（如有）符合招标文件合同条款规定。</w:t>
            </w:r>
          </w:p>
        </w:tc>
      </w:tr>
      <w:tr w14:paraId="2544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6"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14:paraId="52C0282C">
            <w:pPr>
              <w:jc w:val="center"/>
              <w:rPr>
                <w:rFonts w:hint="eastAsia" w:ascii="宋体" w:hAnsi="宋体" w:eastAsia="宋体" w:cs="宋体"/>
                <w:highlight w:val="none"/>
              </w:rPr>
            </w:pPr>
            <w:r>
              <w:rPr>
                <w:rFonts w:hint="eastAsia" w:ascii="宋体" w:hAnsi="宋体" w:eastAsia="宋体" w:cs="宋体"/>
                <w:highlight w:val="none"/>
              </w:rPr>
              <w:t>2.1.2</w:t>
            </w: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1E09734B">
            <w:pPr>
              <w:jc w:val="center"/>
              <w:rPr>
                <w:rFonts w:hint="eastAsia" w:ascii="宋体" w:hAnsi="宋体" w:eastAsia="宋体" w:cs="宋体"/>
                <w:highlight w:val="none"/>
              </w:rPr>
            </w:pPr>
            <w:r>
              <w:rPr>
                <w:rFonts w:hint="eastAsia" w:ascii="宋体" w:hAnsi="宋体" w:eastAsia="宋体" w:cs="宋体"/>
                <w:highlight w:val="none"/>
              </w:rPr>
              <w:t>资格评审标准</w:t>
            </w:r>
          </w:p>
        </w:tc>
        <w:tc>
          <w:tcPr>
            <w:tcW w:w="7343" w:type="dxa"/>
            <w:gridSpan w:val="3"/>
            <w:tcBorders>
              <w:top w:val="single" w:color="auto" w:sz="4" w:space="0"/>
              <w:left w:val="single" w:color="auto" w:sz="4" w:space="0"/>
              <w:bottom w:val="single" w:color="auto" w:sz="4" w:space="0"/>
              <w:right w:val="single" w:color="auto" w:sz="4" w:space="0"/>
            </w:tcBorders>
            <w:vAlign w:val="center"/>
          </w:tcPr>
          <w:p w14:paraId="7ADA44C7">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（1）投标人具备有效的营业执照、资质证书、安全生产许可证、基本账户开户许可证（或</w:t>
            </w:r>
            <w:r>
              <w:rPr>
                <w:rFonts w:hint="eastAsia" w:ascii="宋体" w:hAnsi="宋体" w:eastAsia="宋体" w:cs="宋体"/>
                <w:color w:val="auto"/>
                <w:highlight w:val="none"/>
              </w:rPr>
              <w:t>基本存款账户信息单</w:t>
            </w:r>
            <w:r>
              <w:rPr>
                <w:rFonts w:hint="eastAsia" w:ascii="宋体" w:hAnsi="宋体" w:eastAsia="宋体" w:cs="宋体"/>
                <w:color w:val="auto"/>
                <w:szCs w:val="21"/>
                <w:highlight w:val="none"/>
              </w:rPr>
              <w:t>），企业法定代表人安全生产考核合格证书符合招标文件规定。</w:t>
            </w:r>
          </w:p>
          <w:p w14:paraId="182E092B">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（2）投标人的资质等级符合招标文件规定。</w:t>
            </w:r>
          </w:p>
          <w:p w14:paraId="5FD5B8B8">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（3）投标人的财务状况符合招标文件规定。</w:t>
            </w:r>
          </w:p>
          <w:p w14:paraId="3271633D">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（4）投标人的类似项目业绩符合招标文件规定。</w:t>
            </w:r>
          </w:p>
          <w:p w14:paraId="64B6CD69">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（5）投标人的信誉符合招标文件规定。</w:t>
            </w:r>
          </w:p>
          <w:p w14:paraId="1B811701">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（6）投标人的项目经理和项目总工资格、在岗情况符合招标文件规定。</w:t>
            </w:r>
          </w:p>
          <w:p w14:paraId="606E1D8C">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（7）投标人的其他要求符合招标文件规定。</w:t>
            </w:r>
          </w:p>
          <w:p w14:paraId="610FBA7E">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（8）投标人不存在第二章“投标人须知”第1.4.3项或第1.4.4项规定的任何一种情形。</w:t>
            </w:r>
          </w:p>
          <w:p w14:paraId="5F1E618F">
            <w:pPr>
              <w:autoSpaceDE w:val="0"/>
              <w:autoSpaceDN w:val="0"/>
              <w:adjustRightInd w:val="0"/>
              <w:rPr>
                <w:rFonts w:hint="eastAsia" w:ascii="宋体" w:hAnsi="宋体" w:eastAsia="宋体" w:cs="宋体"/>
                <w:color w:val="auto"/>
                <w:highlight w:val="none"/>
                <w:lang w:eastAsia="zh-CN"/>
              </w:rPr>
            </w:pPr>
            <w:r>
              <w:rPr>
                <w:rFonts w:hint="eastAsia" w:ascii="宋体" w:hAnsi="宋体" w:eastAsia="宋体" w:cs="宋体"/>
                <w:color w:val="auto"/>
                <w:szCs w:val="21"/>
                <w:highlight w:val="none"/>
              </w:rPr>
              <w:t>（9）投标人符合第二章“投标人须知”第1.4.5项规定</w:t>
            </w:r>
            <w:r>
              <w:rPr>
                <w:rFonts w:hint="eastAsia" w:ascii="宋体" w:hAnsi="宋体" w:cs="宋体"/>
                <w:color w:val="auto"/>
                <w:szCs w:val="21"/>
                <w:highlight w:val="none"/>
                <w:lang w:eastAsia="zh-CN"/>
              </w:rPr>
              <w:t>。</w:t>
            </w:r>
          </w:p>
        </w:tc>
      </w:tr>
      <w:tr w14:paraId="28E22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57F7E99D">
            <w:pPr>
              <w:autoSpaceDE w:val="0"/>
              <w:autoSpaceDN w:val="0"/>
              <w:adjustRightIn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703" w:type="dxa"/>
            <w:tcBorders>
              <w:top w:val="single" w:color="auto" w:sz="4" w:space="0"/>
              <w:left w:val="single" w:color="auto" w:sz="4" w:space="0"/>
              <w:bottom w:val="single" w:color="auto" w:sz="4" w:space="0"/>
              <w:right w:val="single" w:color="auto" w:sz="4" w:space="0"/>
            </w:tcBorders>
            <w:vAlign w:val="center"/>
          </w:tcPr>
          <w:p w14:paraId="2CA865EA">
            <w:pPr>
              <w:autoSpaceDE w:val="0"/>
              <w:autoSpaceDN w:val="0"/>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条款内容</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5D26FF14">
            <w:pPr>
              <w:autoSpaceDE w:val="0"/>
              <w:autoSpaceDN w:val="0"/>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编列内容</w:t>
            </w:r>
          </w:p>
        </w:tc>
      </w:tr>
      <w:tr w14:paraId="2D20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651CB9E2">
            <w:pPr>
              <w:autoSpaceDE w:val="0"/>
              <w:autoSpaceDN w:val="0"/>
              <w:adjustRightInd w:val="0"/>
              <w:jc w:val="center"/>
              <w:rPr>
                <w:rFonts w:hint="eastAsia" w:ascii="宋体" w:hAnsi="宋体" w:eastAsia="宋体" w:cs="宋体"/>
                <w:szCs w:val="21"/>
                <w:highlight w:val="none"/>
                <w:lang w:eastAsia="zh-CN"/>
              </w:rPr>
            </w:pPr>
            <w:r>
              <w:rPr>
                <w:rFonts w:hint="eastAsia" w:ascii="宋体" w:hAnsi="宋体" w:eastAsia="宋体" w:cs="宋体"/>
                <w:szCs w:val="21"/>
                <w:highlight w:val="none"/>
              </w:rPr>
              <w:t>2.2.</w:t>
            </w:r>
            <w:r>
              <w:rPr>
                <w:rFonts w:hint="eastAsia" w:ascii="宋体" w:hAnsi="宋体" w:eastAsia="宋体" w:cs="宋体"/>
                <w:szCs w:val="21"/>
                <w:highlight w:val="none"/>
                <w:lang w:val="en-US" w:eastAsia="zh-CN"/>
              </w:rPr>
              <w:t>1</w:t>
            </w:r>
          </w:p>
        </w:tc>
        <w:tc>
          <w:tcPr>
            <w:tcW w:w="1703" w:type="dxa"/>
            <w:tcBorders>
              <w:top w:val="single" w:color="auto" w:sz="4" w:space="0"/>
              <w:left w:val="single" w:color="auto" w:sz="4" w:space="0"/>
              <w:bottom w:val="single" w:color="auto" w:sz="4" w:space="0"/>
              <w:right w:val="single" w:color="auto" w:sz="4" w:space="0"/>
            </w:tcBorders>
            <w:vAlign w:val="center"/>
          </w:tcPr>
          <w:p w14:paraId="33BE3007">
            <w:pPr>
              <w:autoSpaceDE w:val="0"/>
              <w:autoSpaceDN w:val="0"/>
              <w:adjustRightInd w:val="0"/>
              <w:snapToGrid w:val="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第一个信封   评分分值构成</w:t>
            </w:r>
          </w:p>
          <w:p w14:paraId="7E121DAF">
            <w:pPr>
              <w:autoSpaceDE w:val="0"/>
              <w:autoSpaceDN w:val="0"/>
              <w:adjustRightInd w:val="0"/>
              <w:snapToGrid w:val="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（总分100分）</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07A74515">
            <w:pPr>
              <w:autoSpaceDE w:val="0"/>
              <w:autoSpaceDN w:val="0"/>
              <w:adjustRightInd w:val="0"/>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（1）施工组织设计：40分</w:t>
            </w:r>
          </w:p>
          <w:p w14:paraId="30F22D04">
            <w:pPr>
              <w:autoSpaceDE w:val="0"/>
              <w:autoSpaceDN w:val="0"/>
              <w:adjustRightInd w:val="0"/>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（2）主要管理人员：25分</w:t>
            </w:r>
          </w:p>
          <w:p w14:paraId="6A71042D">
            <w:pPr>
              <w:autoSpaceDE w:val="0"/>
              <w:autoSpaceDN w:val="0"/>
              <w:adjustRightInd w:val="0"/>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（3）技术能力：10分</w:t>
            </w:r>
          </w:p>
          <w:p w14:paraId="1CDD826D">
            <w:pPr>
              <w:autoSpaceDE w:val="0"/>
              <w:autoSpaceDN w:val="0"/>
              <w:adjustRightInd w:val="0"/>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（4）履约信誉：15分</w:t>
            </w:r>
          </w:p>
          <w:p w14:paraId="0658E1B0">
            <w:pPr>
              <w:autoSpaceDE w:val="0"/>
              <w:autoSpaceDN w:val="0"/>
              <w:adjustRightInd w:val="0"/>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（5）业绩：10分</w:t>
            </w:r>
          </w:p>
          <w:p w14:paraId="3659645A">
            <w:pPr>
              <w:autoSpaceDE w:val="0"/>
              <w:autoSpaceDN w:val="0"/>
              <w:adjustRightInd w:val="0"/>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投标人的商务和技术得分为上述五项得分之和。</w:t>
            </w:r>
          </w:p>
        </w:tc>
      </w:tr>
      <w:tr w14:paraId="1A92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5475B79C">
            <w:pPr>
              <w:autoSpaceDE w:val="0"/>
              <w:autoSpaceDN w:val="0"/>
              <w:adjustRightInd w:val="0"/>
              <w:jc w:val="center"/>
              <w:rPr>
                <w:rFonts w:hint="eastAsia" w:ascii="宋体" w:hAnsi="宋体" w:eastAsia="宋体" w:cs="宋体"/>
                <w:szCs w:val="21"/>
                <w:highlight w:val="none"/>
              </w:rPr>
            </w:pPr>
            <w:r>
              <w:rPr>
                <w:rFonts w:hint="eastAsia" w:ascii="宋体" w:hAnsi="宋体" w:eastAsia="宋体" w:cs="宋体"/>
                <w:szCs w:val="21"/>
                <w:highlight w:val="none"/>
              </w:rPr>
              <w:t>2.2.3</w:t>
            </w:r>
          </w:p>
        </w:tc>
        <w:tc>
          <w:tcPr>
            <w:tcW w:w="1703" w:type="dxa"/>
            <w:tcBorders>
              <w:top w:val="single" w:color="auto" w:sz="4" w:space="0"/>
              <w:left w:val="single" w:color="auto" w:sz="4" w:space="0"/>
              <w:bottom w:val="single" w:color="auto" w:sz="4" w:space="0"/>
              <w:right w:val="single" w:color="auto" w:sz="4" w:space="0"/>
            </w:tcBorders>
            <w:vAlign w:val="center"/>
          </w:tcPr>
          <w:p w14:paraId="39DD0243">
            <w:pPr>
              <w:autoSpaceDE w:val="0"/>
              <w:autoSpaceDN w:val="0"/>
              <w:adjustRightIn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第二个信封   详细评审标准</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149CBC9C">
            <w:pPr>
              <w:autoSpaceDE w:val="0"/>
              <w:autoSpaceDN w:val="0"/>
              <w:adjustRightInd w:val="0"/>
              <w:rPr>
                <w:rFonts w:hint="eastAsia" w:ascii="宋体" w:hAnsi="宋体" w:eastAsia="宋体" w:cs="宋体"/>
                <w:color w:val="auto"/>
                <w:highlight w:val="none"/>
              </w:rPr>
            </w:pPr>
            <w:r>
              <w:rPr>
                <w:rFonts w:hint="eastAsia" w:ascii="宋体" w:hAnsi="宋体" w:eastAsia="宋体" w:cs="宋体"/>
                <w:color w:val="auto"/>
                <w:highlight w:val="none"/>
              </w:rPr>
              <w:t>1.评标价计算公式</w:t>
            </w:r>
          </w:p>
          <w:p w14:paraId="41DE5BA8">
            <w:pPr>
              <w:autoSpaceDE w:val="0"/>
              <w:autoSpaceDN w:val="0"/>
              <w:adjustRightInd w:val="0"/>
              <w:rPr>
                <w:rFonts w:hint="eastAsia" w:ascii="宋体" w:hAnsi="宋体" w:eastAsia="宋体" w:cs="宋体"/>
                <w:color w:val="auto"/>
                <w:highlight w:val="none"/>
              </w:rPr>
            </w:pPr>
            <w:r>
              <w:rPr>
                <w:rFonts w:hint="eastAsia" w:ascii="宋体" w:hAnsi="宋体" w:eastAsia="宋体" w:cs="宋体"/>
                <w:color w:val="auto"/>
                <w:highlight w:val="none"/>
              </w:rPr>
              <w:t>评标价=投标函文字报价-暂估价-暂列金额</w:t>
            </w:r>
          </w:p>
          <w:p w14:paraId="567967EC">
            <w:pPr>
              <w:rPr>
                <w:rFonts w:hint="eastAsia" w:ascii="宋体" w:hAnsi="宋体" w:eastAsia="宋体" w:cs="宋体"/>
                <w:color w:val="auto"/>
                <w:highlight w:val="none"/>
              </w:rPr>
            </w:pPr>
            <w:r>
              <w:rPr>
                <w:rFonts w:hint="eastAsia" w:ascii="宋体" w:hAnsi="宋体" w:eastAsia="宋体" w:cs="宋体"/>
                <w:color w:val="auto"/>
                <w:highlight w:val="none"/>
              </w:rPr>
              <w:t>2.评标委员会发现投标人的报价明显低于其他投标报价，使得其投标报价可能低于其个别成本的，应要求该投标人做出书面说明并提供相应的证明材料。投标人不能合理说明或不能提供相关证明材料的，由评标委员会认定该投标人以低于成本报价竞标，并否决其投标。</w:t>
            </w:r>
          </w:p>
        </w:tc>
      </w:tr>
      <w:tr w14:paraId="76F56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18301886">
            <w:pPr>
              <w:autoSpaceDE w:val="0"/>
              <w:autoSpaceDN w:val="0"/>
              <w:adjustRightInd w:val="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3.2.4</w:t>
            </w:r>
          </w:p>
        </w:tc>
        <w:tc>
          <w:tcPr>
            <w:tcW w:w="1703" w:type="dxa"/>
            <w:tcBorders>
              <w:top w:val="single" w:color="auto" w:sz="4" w:space="0"/>
              <w:left w:val="single" w:color="auto" w:sz="4" w:space="0"/>
              <w:bottom w:val="single" w:color="auto" w:sz="4" w:space="0"/>
              <w:right w:val="single" w:color="auto" w:sz="4" w:space="0"/>
            </w:tcBorders>
            <w:vAlign w:val="center"/>
          </w:tcPr>
          <w:p w14:paraId="761C0EC1">
            <w:pPr>
              <w:autoSpaceDE w:val="0"/>
              <w:autoSpaceDN w:val="0"/>
              <w:adjustRightInd w:val="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通过第一个信封详细评审的投标人数量</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4737E847">
            <w:pP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评标委员会按照投标人的商务和技术得分由高到低排序，选择排名前10名的投标人，其投标文件第一个信封（商务及技术文件）通过详细评审。通过投标文件第一个信封（商务及技术文件）初步评审的投标人不少于</w:t>
            </w:r>
            <w:r>
              <w:rPr>
                <w:rFonts w:hint="eastAsia" w:ascii="宋体" w:hAnsi="宋体" w:eastAsia="宋体" w:cs="宋体"/>
                <w:strike w:val="0"/>
                <w:dstrike w:val="0"/>
                <w:color w:val="auto"/>
                <w:szCs w:val="21"/>
                <w:highlight w:val="none"/>
                <w:lang w:val="en-US" w:eastAsia="zh-CN"/>
              </w:rPr>
              <w:t>6</w:t>
            </w:r>
            <w:r>
              <w:rPr>
                <w:rFonts w:hint="eastAsia" w:ascii="宋体" w:hAnsi="宋体" w:eastAsia="宋体" w:cs="宋体"/>
                <w:strike w:val="0"/>
                <w:dstrike w:val="0"/>
                <w:color w:val="auto"/>
                <w:szCs w:val="21"/>
                <w:highlight w:val="none"/>
              </w:rPr>
              <w:t>名且未超过10名的，均通过详细评审，不再对投标人的商务和技术文件进行评分。商务和技术得分相等时，评标委员会依次按以下优先顺序进行排序：</w:t>
            </w:r>
          </w:p>
          <w:p w14:paraId="69B3F99D">
            <w:pP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（1）履约信誉得分较高的投标人优先；</w:t>
            </w:r>
          </w:p>
          <w:p w14:paraId="0EC8A80C">
            <w:pP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（2）施工组织设计得分较高的投标人优先。</w:t>
            </w:r>
          </w:p>
        </w:tc>
      </w:tr>
      <w:tr w14:paraId="333BA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18" w:type="dxa"/>
            <w:gridSpan w:val="5"/>
            <w:tcBorders>
              <w:top w:val="single" w:color="auto" w:sz="4" w:space="0"/>
              <w:left w:val="single" w:color="auto" w:sz="4" w:space="0"/>
              <w:bottom w:val="single" w:color="auto" w:sz="4" w:space="0"/>
              <w:right w:val="single" w:color="auto" w:sz="4" w:space="0"/>
            </w:tcBorders>
            <w:vAlign w:val="center"/>
          </w:tcPr>
          <w:p w14:paraId="6AA82418">
            <w:pPr>
              <w:autoSpaceDE w:val="0"/>
              <w:autoSpaceDN w:val="0"/>
              <w:adjustRightInd w:val="0"/>
              <w:jc w:val="center"/>
              <w:rPr>
                <w:rFonts w:hint="eastAsia" w:ascii="宋体" w:hAnsi="宋体" w:eastAsia="宋体" w:cs="宋体"/>
                <w:b/>
                <w:strike w:val="0"/>
                <w:dstrike w:val="0"/>
                <w:color w:val="auto"/>
                <w:szCs w:val="21"/>
                <w:highlight w:val="none"/>
              </w:rPr>
            </w:pPr>
            <w:r>
              <w:rPr>
                <w:rFonts w:hint="eastAsia" w:ascii="宋体" w:hAnsi="宋体" w:eastAsia="宋体" w:cs="宋体"/>
                <w:b/>
                <w:strike w:val="0"/>
                <w:dstrike w:val="0"/>
                <w:color w:val="auto"/>
                <w:szCs w:val="21"/>
                <w:highlight w:val="none"/>
              </w:rPr>
              <w:t>评分因素与权重分值</w:t>
            </w:r>
          </w:p>
        </w:tc>
        <w:tc>
          <w:tcPr>
            <w:tcW w:w="4008" w:type="dxa"/>
            <w:vMerge w:val="restart"/>
            <w:tcBorders>
              <w:top w:val="single" w:color="auto" w:sz="4" w:space="0"/>
              <w:left w:val="single" w:color="auto" w:sz="4" w:space="0"/>
              <w:right w:val="single" w:color="auto" w:sz="4" w:space="0"/>
            </w:tcBorders>
            <w:vAlign w:val="center"/>
          </w:tcPr>
          <w:p w14:paraId="5369BD15">
            <w:pPr>
              <w:autoSpaceDE w:val="0"/>
              <w:autoSpaceDN w:val="0"/>
              <w:adjustRightInd w:val="0"/>
              <w:jc w:val="center"/>
              <w:rPr>
                <w:rFonts w:hint="eastAsia" w:ascii="宋体" w:hAnsi="宋体" w:eastAsia="宋体" w:cs="宋体"/>
                <w:b/>
                <w:strike w:val="0"/>
                <w:dstrike w:val="0"/>
                <w:color w:val="auto"/>
                <w:szCs w:val="21"/>
                <w:highlight w:val="none"/>
              </w:rPr>
            </w:pPr>
            <w:r>
              <w:rPr>
                <w:rFonts w:hint="eastAsia" w:ascii="宋体" w:hAnsi="宋体" w:eastAsia="宋体" w:cs="宋体"/>
                <w:b/>
                <w:strike w:val="0"/>
                <w:dstrike w:val="0"/>
                <w:color w:val="auto"/>
                <w:szCs w:val="21"/>
                <w:highlight w:val="none"/>
              </w:rPr>
              <w:t>评分标准</w:t>
            </w:r>
          </w:p>
        </w:tc>
      </w:tr>
      <w:tr w14:paraId="2203F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top w:val="single" w:color="auto" w:sz="4" w:space="0"/>
              <w:left w:val="single" w:color="auto" w:sz="4" w:space="0"/>
              <w:bottom w:val="single" w:color="auto" w:sz="4" w:space="0"/>
              <w:right w:val="single" w:color="auto" w:sz="4" w:space="0"/>
            </w:tcBorders>
            <w:vAlign w:val="center"/>
          </w:tcPr>
          <w:p w14:paraId="1204B463">
            <w:pPr>
              <w:autoSpaceDE w:val="0"/>
              <w:autoSpaceDN w:val="0"/>
              <w:adjustRightInd w:val="0"/>
              <w:ind w:firstLine="105" w:firstLineChars="50"/>
              <w:jc w:val="center"/>
              <w:rPr>
                <w:rFonts w:hint="eastAsia" w:ascii="宋体" w:hAnsi="宋体" w:eastAsia="宋体" w:cs="宋体"/>
                <w:b/>
                <w:strike w:val="0"/>
                <w:dstrike w:val="0"/>
                <w:color w:val="auto"/>
                <w:szCs w:val="21"/>
                <w:highlight w:val="none"/>
              </w:rPr>
            </w:pPr>
            <w:r>
              <w:rPr>
                <w:rFonts w:hint="eastAsia" w:ascii="宋体" w:hAnsi="宋体" w:eastAsia="宋体" w:cs="宋体"/>
                <w:b/>
                <w:strike w:val="0"/>
                <w:dstrike w:val="0"/>
                <w:color w:val="auto"/>
                <w:szCs w:val="21"/>
                <w:highlight w:val="none"/>
              </w:rPr>
              <w:t>条款号</w:t>
            </w:r>
          </w:p>
        </w:tc>
        <w:tc>
          <w:tcPr>
            <w:tcW w:w="2057" w:type="dxa"/>
            <w:gridSpan w:val="2"/>
            <w:tcBorders>
              <w:top w:val="single" w:color="auto" w:sz="4" w:space="0"/>
              <w:left w:val="single" w:color="auto" w:sz="4" w:space="0"/>
              <w:bottom w:val="single" w:color="auto" w:sz="4" w:space="0"/>
              <w:right w:val="single" w:color="auto" w:sz="4" w:space="0"/>
            </w:tcBorders>
            <w:vAlign w:val="center"/>
          </w:tcPr>
          <w:p w14:paraId="49AFD328">
            <w:pPr>
              <w:autoSpaceDE w:val="0"/>
              <w:autoSpaceDN w:val="0"/>
              <w:adjustRightInd w:val="0"/>
              <w:jc w:val="center"/>
              <w:rPr>
                <w:rFonts w:hint="eastAsia" w:ascii="宋体" w:hAnsi="宋体" w:eastAsia="宋体" w:cs="宋体"/>
                <w:b/>
                <w:strike w:val="0"/>
                <w:dstrike w:val="0"/>
                <w:color w:val="auto"/>
                <w:szCs w:val="21"/>
                <w:highlight w:val="none"/>
              </w:rPr>
            </w:pPr>
            <w:r>
              <w:rPr>
                <w:rFonts w:hint="eastAsia" w:ascii="宋体" w:hAnsi="宋体" w:eastAsia="宋体" w:cs="宋体"/>
                <w:b/>
                <w:strike w:val="0"/>
                <w:dstrike w:val="0"/>
                <w:color w:val="auto"/>
                <w:szCs w:val="21"/>
                <w:highlight w:val="none"/>
              </w:rPr>
              <w:t>评分因素</w:t>
            </w:r>
          </w:p>
        </w:tc>
        <w:tc>
          <w:tcPr>
            <w:tcW w:w="1632" w:type="dxa"/>
            <w:tcBorders>
              <w:top w:val="single" w:color="auto" w:sz="4" w:space="0"/>
              <w:left w:val="single" w:color="auto" w:sz="4" w:space="0"/>
              <w:bottom w:val="single" w:color="auto" w:sz="4" w:space="0"/>
              <w:right w:val="single" w:color="auto" w:sz="4" w:space="0"/>
            </w:tcBorders>
            <w:vAlign w:val="center"/>
          </w:tcPr>
          <w:p w14:paraId="1B56EC05">
            <w:pPr>
              <w:autoSpaceDE w:val="0"/>
              <w:autoSpaceDN w:val="0"/>
              <w:adjustRightInd w:val="0"/>
              <w:jc w:val="center"/>
              <w:rPr>
                <w:rFonts w:hint="eastAsia" w:ascii="宋体" w:hAnsi="宋体" w:eastAsia="宋体" w:cs="宋体"/>
                <w:b/>
                <w:strike w:val="0"/>
                <w:dstrike w:val="0"/>
                <w:color w:val="auto"/>
                <w:szCs w:val="21"/>
                <w:highlight w:val="none"/>
              </w:rPr>
            </w:pPr>
            <w:r>
              <w:rPr>
                <w:rFonts w:hint="eastAsia" w:ascii="宋体" w:hAnsi="宋体" w:eastAsia="宋体" w:cs="宋体"/>
                <w:b/>
                <w:strike w:val="0"/>
                <w:dstrike w:val="0"/>
                <w:color w:val="auto"/>
                <w:szCs w:val="21"/>
                <w:highlight w:val="none"/>
              </w:rPr>
              <w:t>分值</w:t>
            </w:r>
          </w:p>
        </w:tc>
        <w:tc>
          <w:tcPr>
            <w:tcW w:w="4008" w:type="dxa"/>
            <w:vMerge w:val="continue"/>
            <w:tcBorders>
              <w:left w:val="single" w:color="auto" w:sz="4" w:space="0"/>
              <w:bottom w:val="single" w:color="auto" w:sz="4" w:space="0"/>
              <w:right w:val="single" w:color="auto" w:sz="4" w:space="0"/>
            </w:tcBorders>
            <w:vAlign w:val="center"/>
          </w:tcPr>
          <w:p w14:paraId="6D1F24C8">
            <w:pPr>
              <w:autoSpaceDE w:val="0"/>
              <w:autoSpaceDN w:val="0"/>
              <w:adjustRightInd w:val="0"/>
              <w:jc w:val="center"/>
              <w:rPr>
                <w:rFonts w:hint="eastAsia" w:ascii="宋体" w:hAnsi="宋体" w:eastAsia="宋体" w:cs="宋体"/>
                <w:b/>
                <w:strike w:val="0"/>
                <w:dstrike w:val="0"/>
                <w:color w:val="auto"/>
                <w:szCs w:val="21"/>
                <w:highlight w:val="none"/>
              </w:rPr>
            </w:pPr>
          </w:p>
        </w:tc>
      </w:tr>
      <w:tr w14:paraId="34DBC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top w:val="single" w:color="auto" w:sz="4" w:space="0"/>
              <w:left w:val="single" w:color="auto" w:sz="4" w:space="0"/>
              <w:right w:val="single" w:color="auto" w:sz="4" w:space="0"/>
            </w:tcBorders>
            <w:vAlign w:val="center"/>
          </w:tcPr>
          <w:p w14:paraId="255CD940">
            <w:pPr>
              <w:autoSpaceDE w:val="0"/>
              <w:autoSpaceDN w:val="0"/>
              <w:adjustRightInd w:val="0"/>
              <w:ind w:firstLine="105" w:firstLineChars="50"/>
              <w:jc w:val="center"/>
              <w:rPr>
                <w:rFonts w:hint="eastAsia" w:ascii="宋体" w:hAnsi="宋体" w:eastAsia="宋体" w:cs="宋体"/>
                <w:b/>
                <w:strike w:val="0"/>
                <w:dstrike w:val="0"/>
                <w:color w:val="auto"/>
                <w:szCs w:val="21"/>
                <w:highlight w:val="none"/>
              </w:rPr>
            </w:pPr>
            <w:r>
              <w:rPr>
                <w:rFonts w:hint="eastAsia" w:ascii="宋体" w:hAnsi="宋体" w:eastAsia="宋体" w:cs="宋体"/>
                <w:strike w:val="0"/>
                <w:dstrike w:val="0"/>
                <w:color w:val="auto"/>
                <w:szCs w:val="21"/>
                <w:highlight w:val="none"/>
              </w:rPr>
              <w:t>2.2.2（1）</w:t>
            </w:r>
          </w:p>
        </w:tc>
        <w:tc>
          <w:tcPr>
            <w:tcW w:w="2057" w:type="dxa"/>
            <w:gridSpan w:val="2"/>
            <w:tcBorders>
              <w:top w:val="single" w:color="auto" w:sz="4" w:space="0"/>
              <w:left w:val="single" w:color="auto" w:sz="4" w:space="0"/>
              <w:right w:val="single" w:color="auto" w:sz="4" w:space="0"/>
            </w:tcBorders>
            <w:vAlign w:val="center"/>
          </w:tcPr>
          <w:p w14:paraId="6EE60E1B">
            <w:pPr>
              <w:autoSpaceDE w:val="0"/>
              <w:autoSpaceDN w:val="0"/>
              <w:adjustRightInd w:val="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施工组织设计</w:t>
            </w:r>
          </w:p>
        </w:tc>
        <w:tc>
          <w:tcPr>
            <w:tcW w:w="1632" w:type="dxa"/>
            <w:tcBorders>
              <w:top w:val="single" w:color="auto" w:sz="4" w:space="0"/>
              <w:left w:val="single" w:color="auto" w:sz="4" w:space="0"/>
              <w:right w:val="single" w:color="auto" w:sz="4" w:space="0"/>
            </w:tcBorders>
            <w:vAlign w:val="center"/>
          </w:tcPr>
          <w:p w14:paraId="23FC2A1F">
            <w:pPr>
              <w:spacing w:line="300" w:lineRule="exact"/>
              <w:ind w:firstLine="2"/>
              <w:jc w:val="center"/>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szCs w:val="21"/>
                <w:highlight w:val="none"/>
              </w:rPr>
              <w:t>40</w:t>
            </w:r>
          </w:p>
        </w:tc>
        <w:tc>
          <w:tcPr>
            <w:tcW w:w="4008" w:type="dxa"/>
            <w:tcBorders>
              <w:top w:val="single" w:color="auto" w:sz="4" w:space="0"/>
              <w:left w:val="single" w:color="auto" w:sz="4" w:space="0"/>
              <w:bottom w:val="single" w:color="auto" w:sz="4" w:space="0"/>
              <w:right w:val="single" w:color="auto" w:sz="4" w:space="0"/>
            </w:tcBorders>
            <w:vAlign w:val="center"/>
          </w:tcPr>
          <w:p w14:paraId="5354ACCC">
            <w:pPr>
              <w:spacing w:line="300" w:lineRule="exact"/>
              <w:ind w:firstLine="2"/>
              <w:jc w:val="left"/>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highlight w:val="none"/>
              </w:rPr>
              <w:t>见详细评分标准一</w:t>
            </w:r>
          </w:p>
        </w:tc>
      </w:tr>
      <w:tr w14:paraId="715AF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left w:val="single" w:color="auto" w:sz="4" w:space="0"/>
              <w:right w:val="single" w:color="auto" w:sz="4" w:space="0"/>
            </w:tcBorders>
            <w:vAlign w:val="center"/>
          </w:tcPr>
          <w:p w14:paraId="30944A07">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2.2.2（2）</w:t>
            </w:r>
          </w:p>
        </w:tc>
        <w:tc>
          <w:tcPr>
            <w:tcW w:w="2057" w:type="dxa"/>
            <w:gridSpan w:val="2"/>
            <w:tcBorders>
              <w:left w:val="single" w:color="auto" w:sz="4" w:space="0"/>
              <w:right w:val="single" w:color="auto" w:sz="4" w:space="0"/>
            </w:tcBorders>
            <w:vAlign w:val="center"/>
          </w:tcPr>
          <w:p w14:paraId="293D6F64">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主要管理人员</w:t>
            </w:r>
          </w:p>
        </w:tc>
        <w:tc>
          <w:tcPr>
            <w:tcW w:w="1632" w:type="dxa"/>
            <w:tcBorders>
              <w:top w:val="single" w:color="auto" w:sz="4" w:space="0"/>
              <w:left w:val="single" w:color="auto" w:sz="4" w:space="0"/>
              <w:right w:val="single" w:color="auto" w:sz="4" w:space="0"/>
            </w:tcBorders>
            <w:vAlign w:val="center"/>
          </w:tcPr>
          <w:p w14:paraId="6F1DDE4C">
            <w:pPr>
              <w:autoSpaceDE w:val="0"/>
              <w:autoSpaceDN w:val="0"/>
              <w:adjustRightInd w:val="0"/>
              <w:jc w:val="center"/>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szCs w:val="21"/>
                <w:highlight w:val="none"/>
              </w:rPr>
              <w:t>25</w:t>
            </w:r>
          </w:p>
        </w:tc>
        <w:tc>
          <w:tcPr>
            <w:tcW w:w="4008" w:type="dxa"/>
            <w:tcBorders>
              <w:top w:val="single" w:color="auto" w:sz="4" w:space="0"/>
              <w:left w:val="single" w:color="auto" w:sz="4" w:space="0"/>
              <w:bottom w:val="single" w:color="auto" w:sz="4" w:space="0"/>
              <w:right w:val="single" w:color="auto" w:sz="4" w:space="0"/>
            </w:tcBorders>
            <w:vAlign w:val="center"/>
          </w:tcPr>
          <w:p w14:paraId="6CBDC070">
            <w:pPr>
              <w:autoSpaceDE w:val="0"/>
              <w:autoSpaceDN w:val="0"/>
              <w:adjustRightInd w:val="0"/>
              <w:jc w:val="left"/>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highlight w:val="none"/>
              </w:rPr>
              <w:t>见详细评分标准二</w:t>
            </w:r>
          </w:p>
        </w:tc>
      </w:tr>
      <w:tr w14:paraId="2E37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left w:val="single" w:color="auto" w:sz="4" w:space="0"/>
              <w:right w:val="single" w:color="auto" w:sz="4" w:space="0"/>
            </w:tcBorders>
            <w:vAlign w:val="center"/>
          </w:tcPr>
          <w:p w14:paraId="4D5E03B3">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2.2.2（3）</w:t>
            </w:r>
          </w:p>
        </w:tc>
        <w:tc>
          <w:tcPr>
            <w:tcW w:w="2057" w:type="dxa"/>
            <w:gridSpan w:val="2"/>
            <w:tcBorders>
              <w:left w:val="single" w:color="auto" w:sz="4" w:space="0"/>
              <w:right w:val="single" w:color="auto" w:sz="4" w:space="0"/>
            </w:tcBorders>
            <w:vAlign w:val="center"/>
          </w:tcPr>
          <w:p w14:paraId="4A404652">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技术能力</w:t>
            </w:r>
          </w:p>
        </w:tc>
        <w:tc>
          <w:tcPr>
            <w:tcW w:w="1632" w:type="dxa"/>
            <w:tcBorders>
              <w:top w:val="single" w:color="auto" w:sz="4" w:space="0"/>
              <w:left w:val="single" w:color="auto" w:sz="4" w:space="0"/>
              <w:right w:val="single" w:color="auto" w:sz="4" w:space="0"/>
            </w:tcBorders>
            <w:vAlign w:val="center"/>
          </w:tcPr>
          <w:p w14:paraId="1AE6E7D3">
            <w:pPr>
              <w:autoSpaceDE w:val="0"/>
              <w:autoSpaceDN w:val="0"/>
              <w:adjustRightInd w:val="0"/>
              <w:jc w:val="center"/>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szCs w:val="21"/>
                <w:highlight w:val="none"/>
              </w:rPr>
              <w:t>10</w:t>
            </w:r>
          </w:p>
        </w:tc>
        <w:tc>
          <w:tcPr>
            <w:tcW w:w="4008" w:type="dxa"/>
            <w:tcBorders>
              <w:top w:val="single" w:color="auto" w:sz="4" w:space="0"/>
              <w:left w:val="single" w:color="auto" w:sz="4" w:space="0"/>
              <w:bottom w:val="single" w:color="auto" w:sz="4" w:space="0"/>
              <w:right w:val="single" w:color="auto" w:sz="4" w:space="0"/>
            </w:tcBorders>
            <w:vAlign w:val="center"/>
          </w:tcPr>
          <w:p w14:paraId="3A756659">
            <w:pPr>
              <w:autoSpaceDE w:val="0"/>
              <w:autoSpaceDN w:val="0"/>
              <w:adjustRightInd w:val="0"/>
              <w:jc w:val="left"/>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highlight w:val="none"/>
              </w:rPr>
              <w:t>见详细评分标准三</w:t>
            </w:r>
          </w:p>
        </w:tc>
      </w:tr>
      <w:tr w14:paraId="76DA1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left w:val="single" w:color="auto" w:sz="4" w:space="0"/>
              <w:right w:val="single" w:color="auto" w:sz="4" w:space="0"/>
            </w:tcBorders>
            <w:vAlign w:val="center"/>
          </w:tcPr>
          <w:p w14:paraId="036F113F">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2.2.2（4）</w:t>
            </w:r>
          </w:p>
        </w:tc>
        <w:tc>
          <w:tcPr>
            <w:tcW w:w="2057" w:type="dxa"/>
            <w:gridSpan w:val="2"/>
            <w:tcBorders>
              <w:left w:val="single" w:color="auto" w:sz="4" w:space="0"/>
              <w:right w:val="single" w:color="auto" w:sz="4" w:space="0"/>
            </w:tcBorders>
            <w:vAlign w:val="center"/>
          </w:tcPr>
          <w:p w14:paraId="6A82FEDB">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履约信誉</w:t>
            </w:r>
          </w:p>
        </w:tc>
        <w:tc>
          <w:tcPr>
            <w:tcW w:w="1632" w:type="dxa"/>
            <w:tcBorders>
              <w:top w:val="single" w:color="auto" w:sz="4" w:space="0"/>
              <w:left w:val="single" w:color="auto" w:sz="4" w:space="0"/>
              <w:right w:val="single" w:color="auto" w:sz="4" w:space="0"/>
            </w:tcBorders>
            <w:vAlign w:val="center"/>
          </w:tcPr>
          <w:p w14:paraId="47E7C12C">
            <w:pPr>
              <w:autoSpaceDE w:val="0"/>
              <w:autoSpaceDN w:val="0"/>
              <w:adjustRightInd w:val="0"/>
              <w:jc w:val="center"/>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szCs w:val="21"/>
                <w:highlight w:val="none"/>
              </w:rPr>
              <w:t>15</w:t>
            </w:r>
          </w:p>
        </w:tc>
        <w:tc>
          <w:tcPr>
            <w:tcW w:w="4008" w:type="dxa"/>
            <w:tcBorders>
              <w:top w:val="single" w:color="auto" w:sz="4" w:space="0"/>
              <w:left w:val="single" w:color="auto" w:sz="4" w:space="0"/>
              <w:bottom w:val="single" w:color="auto" w:sz="4" w:space="0"/>
              <w:right w:val="single" w:color="auto" w:sz="4" w:space="0"/>
            </w:tcBorders>
            <w:vAlign w:val="center"/>
          </w:tcPr>
          <w:p w14:paraId="24F84634">
            <w:pPr>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highlight w:val="none"/>
              </w:rPr>
              <w:t>见详细评分标准四</w:t>
            </w:r>
          </w:p>
        </w:tc>
      </w:tr>
      <w:tr w14:paraId="31B1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left w:val="single" w:color="auto" w:sz="4" w:space="0"/>
              <w:right w:val="single" w:color="auto" w:sz="4" w:space="0"/>
            </w:tcBorders>
            <w:vAlign w:val="center"/>
          </w:tcPr>
          <w:p w14:paraId="20117381">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2.2.2（5）</w:t>
            </w:r>
          </w:p>
        </w:tc>
        <w:tc>
          <w:tcPr>
            <w:tcW w:w="2057" w:type="dxa"/>
            <w:gridSpan w:val="2"/>
            <w:tcBorders>
              <w:left w:val="single" w:color="auto" w:sz="4" w:space="0"/>
              <w:right w:val="single" w:color="auto" w:sz="4" w:space="0"/>
            </w:tcBorders>
            <w:vAlign w:val="center"/>
          </w:tcPr>
          <w:p w14:paraId="04C21707">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业绩</w:t>
            </w:r>
          </w:p>
        </w:tc>
        <w:tc>
          <w:tcPr>
            <w:tcW w:w="1632" w:type="dxa"/>
            <w:tcBorders>
              <w:top w:val="single" w:color="auto" w:sz="4" w:space="0"/>
              <w:left w:val="single" w:color="auto" w:sz="4" w:space="0"/>
              <w:right w:val="single" w:color="auto" w:sz="4" w:space="0"/>
            </w:tcBorders>
            <w:vAlign w:val="center"/>
          </w:tcPr>
          <w:p w14:paraId="79D937DE">
            <w:pPr>
              <w:autoSpaceDE w:val="0"/>
              <w:autoSpaceDN w:val="0"/>
              <w:adjustRightInd w:val="0"/>
              <w:jc w:val="center"/>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szCs w:val="21"/>
                <w:highlight w:val="none"/>
              </w:rPr>
              <w:t>10</w:t>
            </w:r>
          </w:p>
        </w:tc>
        <w:tc>
          <w:tcPr>
            <w:tcW w:w="4008" w:type="dxa"/>
            <w:tcBorders>
              <w:top w:val="single" w:color="auto" w:sz="4" w:space="0"/>
              <w:left w:val="single" w:color="auto" w:sz="4" w:space="0"/>
              <w:bottom w:val="single" w:color="auto" w:sz="4" w:space="0"/>
              <w:right w:val="single" w:color="auto" w:sz="4" w:space="0"/>
            </w:tcBorders>
            <w:vAlign w:val="center"/>
          </w:tcPr>
          <w:p w14:paraId="055C299A">
            <w:pPr>
              <w:autoSpaceDE w:val="0"/>
              <w:autoSpaceDN w:val="0"/>
              <w:adjustRightInd w:val="0"/>
              <w:jc w:val="left"/>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highlight w:val="none"/>
              </w:rPr>
              <w:t>见详细评分标准五</w:t>
            </w:r>
          </w:p>
        </w:tc>
      </w:tr>
      <w:tr w14:paraId="567B8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left w:val="single" w:color="auto" w:sz="4" w:space="0"/>
              <w:right w:val="single" w:color="auto" w:sz="4" w:space="0"/>
            </w:tcBorders>
            <w:vAlign w:val="center"/>
          </w:tcPr>
          <w:p w14:paraId="4BC49003">
            <w:pPr>
              <w:jc w:val="center"/>
              <w:rPr>
                <w:rFonts w:hint="eastAsia" w:ascii="宋体" w:hAnsi="宋体" w:eastAsia="宋体" w:cs="宋体"/>
                <w:szCs w:val="21"/>
                <w:highlight w:val="none"/>
              </w:rPr>
            </w:pPr>
            <w:r>
              <w:rPr>
                <w:rFonts w:hint="eastAsia" w:ascii="宋体" w:hAnsi="宋体" w:eastAsia="宋体" w:cs="宋体"/>
                <w:highlight w:val="none"/>
              </w:rPr>
              <w:t>3.6.1</w:t>
            </w:r>
          </w:p>
        </w:tc>
        <w:tc>
          <w:tcPr>
            <w:tcW w:w="2057" w:type="dxa"/>
            <w:gridSpan w:val="2"/>
            <w:tcBorders>
              <w:left w:val="single" w:color="auto" w:sz="4" w:space="0"/>
              <w:right w:val="single" w:color="auto" w:sz="4" w:space="0"/>
            </w:tcBorders>
            <w:vAlign w:val="center"/>
          </w:tcPr>
          <w:p w14:paraId="50659033">
            <w:pPr>
              <w:jc w:val="center"/>
              <w:rPr>
                <w:rFonts w:hint="eastAsia" w:ascii="宋体" w:hAnsi="宋体" w:eastAsia="宋体" w:cs="宋体"/>
                <w:color w:val="auto"/>
                <w:szCs w:val="21"/>
                <w:highlight w:val="none"/>
              </w:rPr>
            </w:pPr>
            <w:r>
              <w:rPr>
                <w:rFonts w:hint="eastAsia" w:ascii="宋体" w:hAnsi="宋体" w:eastAsia="宋体" w:cs="宋体"/>
                <w:color w:val="auto"/>
                <w:highlight w:val="none"/>
              </w:rPr>
              <w:t>投标文件相关信息核查</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030C9896">
            <w:pPr>
              <w:rPr>
                <w:rFonts w:hint="eastAsia" w:ascii="宋体" w:hAnsi="宋体" w:eastAsia="宋体" w:cs="宋体"/>
                <w:color w:val="auto"/>
                <w:highlight w:val="none"/>
              </w:rPr>
            </w:pPr>
            <w:r>
              <w:rPr>
                <w:rFonts w:hint="eastAsia" w:ascii="宋体" w:hAnsi="宋体" w:eastAsia="宋体" w:cs="宋体"/>
                <w:color w:val="auto"/>
                <w:highlight w:val="none"/>
              </w:rPr>
              <w:t>1.评标委员会对</w:t>
            </w:r>
            <w:r>
              <w:rPr>
                <w:rFonts w:hint="eastAsia" w:ascii="宋体" w:hAnsi="宋体" w:cs="宋体"/>
                <w:color w:val="auto"/>
                <w:highlight w:val="none"/>
                <w:lang w:eastAsia="zh-CN"/>
              </w:rPr>
              <w:t>B组</w:t>
            </w:r>
            <w:r>
              <w:rPr>
                <w:rFonts w:hint="eastAsia" w:ascii="宋体" w:hAnsi="宋体" w:eastAsia="宋体" w:cs="宋体"/>
                <w:color w:val="auto"/>
                <w:highlight w:val="none"/>
              </w:rPr>
              <w:t>投标人的资质、业绩、主要人员资历和目前在岗情况、信用等级等信息，在交通运输主管部门“全国公路建设市场监督管理系统”中进行核实。若投标文件载明的信息与其中发布的信息不符，使得投标人的资格条件不符合招标文件规定的，评标委员会将否决其投标。</w:t>
            </w:r>
          </w:p>
          <w:p w14:paraId="1DE86AD8">
            <w:pPr>
              <w:rPr>
                <w:rFonts w:hint="eastAsia" w:ascii="宋体" w:hAnsi="宋体" w:eastAsia="宋体" w:cs="宋体"/>
                <w:color w:val="auto"/>
                <w:highlight w:val="none"/>
              </w:rPr>
            </w:pPr>
            <w:r>
              <w:rPr>
                <w:rFonts w:hint="eastAsia" w:ascii="宋体" w:hAnsi="宋体" w:eastAsia="宋体" w:cs="宋体"/>
                <w:color w:val="auto"/>
                <w:highlight w:val="none"/>
              </w:rPr>
              <w:t>2.评标委员会对资格审查条件要求的建造师注册证书、安全生产考核合格证书等在政府相关部门网站中进行核实。若投标文件载明的信息与其中发布的信息不符，使得投标人的资格条件不符合招标文件规定的，评标委员会将否决其投标。</w:t>
            </w:r>
          </w:p>
          <w:p w14:paraId="50CA0DE1">
            <w:pPr>
              <w:rPr>
                <w:rFonts w:hint="eastAsia" w:ascii="宋体" w:hAnsi="宋体" w:eastAsia="宋体" w:cs="宋体"/>
                <w:color w:val="auto"/>
                <w:highlight w:val="none"/>
              </w:rPr>
            </w:pPr>
            <w:r>
              <w:rPr>
                <w:rFonts w:hint="eastAsia" w:ascii="宋体" w:hAnsi="宋体" w:eastAsia="宋体" w:cs="宋体"/>
                <w:color w:val="auto"/>
                <w:highlight w:val="none"/>
              </w:rPr>
              <w:t>3.评标委员会对投标人信誉情况在国家企业信用信息公示系统及“信用中国”网站进行核查，若投标人在国家企业信用信息公示系统中被列入严重违法失信企业名单或在“信用中国”网站中被列入失信被执行人名单，评标委员会将否决其投标。</w:t>
            </w:r>
          </w:p>
          <w:p w14:paraId="14ACD2C7">
            <w:pPr>
              <w:rPr>
                <w:rFonts w:hint="eastAsia" w:ascii="宋体" w:hAnsi="宋体" w:eastAsia="宋体" w:cs="宋体"/>
                <w:color w:val="auto"/>
                <w:highlight w:val="none"/>
              </w:rPr>
            </w:pPr>
            <w:r>
              <w:rPr>
                <w:rFonts w:hint="eastAsia" w:ascii="宋体" w:hAnsi="宋体" w:eastAsia="宋体" w:cs="宋体"/>
                <w:color w:val="auto"/>
                <w:highlight w:val="none"/>
              </w:rPr>
              <w:t>4.评标委员会对投标人或其法定代表人、拟委任的项目经理近三年内（自20</w:t>
            </w:r>
            <w:r>
              <w:rPr>
                <w:rFonts w:hint="eastAsia" w:ascii="宋体" w:hAnsi="宋体" w:eastAsia="宋体" w:cs="宋体"/>
                <w:color w:val="auto"/>
                <w:highlight w:val="none"/>
                <w:lang w:val="en-US" w:eastAsia="zh-CN"/>
              </w:rPr>
              <w:t>2</w:t>
            </w:r>
            <w:r>
              <w:rPr>
                <w:rFonts w:hint="eastAsia" w:ascii="宋体" w:hAnsi="宋体" w:cs="宋体"/>
                <w:color w:val="auto"/>
                <w:highlight w:val="none"/>
                <w:lang w:val="en-US" w:eastAsia="zh-CN"/>
              </w:rPr>
              <w:t>2</w:t>
            </w:r>
            <w:r>
              <w:rPr>
                <w:rFonts w:hint="eastAsia" w:ascii="宋体" w:hAnsi="宋体" w:eastAsia="宋体" w:cs="宋体"/>
                <w:color w:val="auto"/>
                <w:highlight w:val="none"/>
              </w:rPr>
              <w:t>年1月1日起）行贿犯罪行为情况在“中国裁判文书网”中进行核实。若投标人或其法定代表人、拟委任的项目经理近三年内在“中国裁判文书网”中有行贿犯罪行为记录，评标委员会将否决其投标。</w:t>
            </w:r>
          </w:p>
        </w:tc>
      </w:tr>
      <w:tr w14:paraId="7D2EC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26" w:type="dxa"/>
            <w:gridSpan w:val="6"/>
            <w:tcBorders>
              <w:left w:val="single" w:color="auto" w:sz="4" w:space="0"/>
              <w:right w:val="single" w:color="auto" w:sz="4" w:space="0"/>
            </w:tcBorders>
            <w:vAlign w:val="center"/>
          </w:tcPr>
          <w:p w14:paraId="1CA11A41">
            <w:pPr>
              <w:spacing w:line="276" w:lineRule="auto"/>
              <w:rPr>
                <w:rFonts w:hint="eastAsia" w:ascii="宋体" w:hAnsi="宋体" w:eastAsia="宋体" w:cs="宋体"/>
                <w:color w:val="auto"/>
                <w:highlight w:val="none"/>
              </w:rPr>
            </w:pPr>
            <w:r>
              <w:rPr>
                <w:rFonts w:hint="eastAsia" w:ascii="宋体" w:hAnsi="宋体" w:eastAsia="宋体" w:cs="宋体"/>
                <w:color w:val="auto"/>
                <w:szCs w:val="21"/>
                <w:highlight w:val="none"/>
              </w:rPr>
              <w:t>需补充的其他内容</w:t>
            </w:r>
          </w:p>
        </w:tc>
      </w:tr>
      <w:tr w14:paraId="5F4D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left w:val="single" w:color="auto" w:sz="4" w:space="0"/>
              <w:right w:val="single" w:color="auto" w:sz="4" w:space="0"/>
            </w:tcBorders>
            <w:vAlign w:val="center"/>
          </w:tcPr>
          <w:p w14:paraId="600CC3CB">
            <w:pPr>
              <w:spacing w:line="276" w:lineRule="auto"/>
              <w:jc w:val="center"/>
              <w:rPr>
                <w:rFonts w:hint="eastAsia" w:ascii="宋体" w:hAnsi="宋体" w:eastAsia="宋体" w:cs="宋体"/>
                <w:szCs w:val="21"/>
                <w:highlight w:val="none"/>
              </w:rPr>
            </w:pPr>
            <w:r>
              <w:rPr>
                <w:rFonts w:hint="eastAsia" w:ascii="宋体" w:hAnsi="宋体" w:eastAsia="宋体" w:cs="宋体"/>
                <w:szCs w:val="21"/>
                <w:highlight w:val="none"/>
              </w:rPr>
              <w:t>增加4.3</w:t>
            </w:r>
          </w:p>
        </w:tc>
        <w:tc>
          <w:tcPr>
            <w:tcW w:w="2057" w:type="dxa"/>
            <w:gridSpan w:val="2"/>
            <w:tcBorders>
              <w:left w:val="single" w:color="auto" w:sz="4" w:space="0"/>
              <w:right w:val="single" w:color="auto" w:sz="4" w:space="0"/>
            </w:tcBorders>
            <w:vAlign w:val="center"/>
          </w:tcPr>
          <w:p w14:paraId="60291D7A">
            <w:pPr>
              <w:spacing w:line="276"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评标报告应载明</w:t>
            </w:r>
          </w:p>
          <w:p w14:paraId="36863A49">
            <w:pPr>
              <w:spacing w:line="276"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的内容</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1A99FB7F">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评标报告应载明下列内容：</w:t>
            </w:r>
          </w:p>
          <w:p w14:paraId="6DAAFDB6">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1.招标项目基本情况；</w:t>
            </w:r>
          </w:p>
          <w:p w14:paraId="63665C2C">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2.评标委员会成员名单；</w:t>
            </w:r>
          </w:p>
          <w:p w14:paraId="10CE0762">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.开标记录；</w:t>
            </w:r>
          </w:p>
          <w:p w14:paraId="6A0A0FA2">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.符合要求的投标人名单；</w:t>
            </w:r>
          </w:p>
          <w:p w14:paraId="73EE21ED">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.否决的投标人名单及否决理由；</w:t>
            </w:r>
          </w:p>
          <w:p w14:paraId="336F5212">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.串通投标情形的评审情况说明；</w:t>
            </w:r>
          </w:p>
          <w:p w14:paraId="39793C08">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.评分情况；</w:t>
            </w:r>
          </w:p>
          <w:p w14:paraId="2A0C2D4F">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.经评审的投标人排序；</w:t>
            </w:r>
          </w:p>
          <w:p w14:paraId="6ED10C0C">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.中标候选人名单；</w:t>
            </w:r>
          </w:p>
          <w:p w14:paraId="580ECFE8">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.澄清、说明事项纪要；</w:t>
            </w:r>
          </w:p>
          <w:p w14:paraId="4DA6B6BE">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.需要说明的其他事项；</w:t>
            </w:r>
          </w:p>
          <w:p w14:paraId="2C4446C0">
            <w:pPr>
              <w:spacing w:line="276"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.评标附表</w:t>
            </w:r>
            <w:r>
              <w:rPr>
                <w:rFonts w:hint="eastAsia" w:ascii="宋体" w:hAnsi="宋体" w:eastAsia="宋体" w:cs="宋体"/>
                <w:color w:val="auto"/>
                <w:szCs w:val="21"/>
                <w:highlight w:val="none"/>
                <w:lang w:eastAsia="zh-CN"/>
              </w:rPr>
              <w:t>。</w:t>
            </w:r>
          </w:p>
        </w:tc>
      </w:tr>
    </w:tbl>
    <w:p w14:paraId="2E4438A9">
      <w:pPr>
        <w:pStyle w:val="2"/>
        <w:spacing w:beforeLines="50" w:afterLines="50" w:line="240" w:lineRule="auto"/>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highlight w:val="none"/>
        </w:rPr>
        <w:t>详细评分标准</w:t>
      </w:r>
    </w:p>
    <w:p w14:paraId="00BE6398">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rPr>
      </w:pPr>
      <w:r>
        <w:rPr>
          <w:rFonts w:hint="eastAsia" w:ascii="宋体" w:hAnsi="宋体" w:eastAsia="宋体" w:cs="宋体"/>
          <w:b/>
          <w:bCs/>
          <w:strike w:val="0"/>
          <w:dstrike w:val="0"/>
          <w:color w:val="auto"/>
          <w:sz w:val="24"/>
          <w:szCs w:val="24"/>
          <w:highlight w:val="none"/>
          <w:lang w:val="en-US" w:eastAsia="zh-CN"/>
        </w:rPr>
        <w:t>1.</w:t>
      </w:r>
      <w:r>
        <w:rPr>
          <w:rFonts w:hint="eastAsia" w:ascii="宋体" w:hAnsi="宋体" w:eastAsia="宋体" w:cs="宋体"/>
          <w:b/>
          <w:bCs/>
          <w:strike w:val="0"/>
          <w:dstrike w:val="0"/>
          <w:color w:val="auto"/>
          <w:sz w:val="24"/>
          <w:szCs w:val="24"/>
          <w:highlight w:val="none"/>
        </w:rPr>
        <w:t>施工组织设计（共40分）</w:t>
      </w:r>
    </w:p>
    <w:tbl>
      <w:tblPr>
        <w:tblStyle w:val="7"/>
        <w:tblW w:w="9380" w:type="dxa"/>
        <w:tblInd w:w="-3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96"/>
        <w:gridCol w:w="914"/>
        <w:gridCol w:w="4070"/>
      </w:tblGrid>
      <w:tr w14:paraId="3FFEE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4396" w:type="dxa"/>
            <w:vAlign w:val="top"/>
          </w:tcPr>
          <w:p w14:paraId="21977D3D">
            <w:pPr>
              <w:spacing w:before="95" w:line="217" w:lineRule="auto"/>
              <w:ind w:left="1465"/>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评分项目</w:t>
            </w:r>
          </w:p>
        </w:tc>
        <w:tc>
          <w:tcPr>
            <w:tcW w:w="914" w:type="dxa"/>
            <w:vAlign w:val="top"/>
          </w:tcPr>
          <w:p w14:paraId="39FB79BC">
            <w:pPr>
              <w:spacing w:before="95" w:line="214" w:lineRule="auto"/>
              <w:jc w:val="center"/>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9"/>
                <w:sz w:val="24"/>
                <w:szCs w:val="24"/>
                <w:highlight w:val="none"/>
              </w:rPr>
              <w:t>分值</w:t>
            </w:r>
          </w:p>
        </w:tc>
        <w:tc>
          <w:tcPr>
            <w:tcW w:w="4070" w:type="dxa"/>
            <w:vAlign w:val="top"/>
          </w:tcPr>
          <w:p w14:paraId="64F78DA4">
            <w:pPr>
              <w:spacing w:before="94" w:line="215" w:lineRule="auto"/>
              <w:ind w:left="1559"/>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评分标准</w:t>
            </w:r>
          </w:p>
        </w:tc>
      </w:tr>
      <w:tr w14:paraId="17090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4396" w:type="dxa"/>
            <w:vAlign w:val="center"/>
          </w:tcPr>
          <w:p w14:paraId="4C6CF495">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总体施工组织布置及规划</w:t>
            </w:r>
          </w:p>
        </w:tc>
        <w:tc>
          <w:tcPr>
            <w:tcW w:w="914" w:type="dxa"/>
            <w:vAlign w:val="center"/>
          </w:tcPr>
          <w:p w14:paraId="6BD29E65">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10</w:t>
            </w:r>
          </w:p>
        </w:tc>
        <w:tc>
          <w:tcPr>
            <w:tcW w:w="4070" w:type="dxa"/>
            <w:vAlign w:val="center"/>
          </w:tcPr>
          <w:p w14:paraId="30971C63">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好得9～10分；较好得7～9分；基本满足要求得6～7分。</w:t>
            </w:r>
          </w:p>
        </w:tc>
      </w:tr>
      <w:tr w14:paraId="7DA38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atLeast"/>
        </w:trPr>
        <w:tc>
          <w:tcPr>
            <w:tcW w:w="4396" w:type="dxa"/>
            <w:vAlign w:val="center"/>
          </w:tcPr>
          <w:p w14:paraId="0BDEACF0">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施工方案、方法与技术措施</w:t>
            </w:r>
          </w:p>
        </w:tc>
        <w:tc>
          <w:tcPr>
            <w:tcW w:w="914" w:type="dxa"/>
            <w:vAlign w:val="center"/>
          </w:tcPr>
          <w:p w14:paraId="1497F01D">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10</w:t>
            </w:r>
          </w:p>
        </w:tc>
        <w:tc>
          <w:tcPr>
            <w:tcW w:w="4070" w:type="dxa"/>
            <w:vAlign w:val="center"/>
          </w:tcPr>
          <w:p w14:paraId="30BEB957">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好得9～10分；较好得7～9分；基本满足要求得6～7分。</w:t>
            </w:r>
          </w:p>
        </w:tc>
      </w:tr>
      <w:tr w14:paraId="232F73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1" w:hRule="atLeast"/>
        </w:trPr>
        <w:tc>
          <w:tcPr>
            <w:tcW w:w="4396" w:type="dxa"/>
            <w:vAlign w:val="center"/>
          </w:tcPr>
          <w:p w14:paraId="062701B7">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工期、质量、安全生产、交通保畅管理体系及保证措施</w:t>
            </w:r>
          </w:p>
        </w:tc>
        <w:tc>
          <w:tcPr>
            <w:tcW w:w="914" w:type="dxa"/>
            <w:vAlign w:val="center"/>
          </w:tcPr>
          <w:p w14:paraId="327CFA7B">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8</w:t>
            </w:r>
          </w:p>
        </w:tc>
        <w:tc>
          <w:tcPr>
            <w:tcW w:w="4070" w:type="dxa"/>
            <w:vAlign w:val="center"/>
          </w:tcPr>
          <w:p w14:paraId="7D660000">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好得7.2～8分；较好得5.6～7.2分；基本满足要求得4.8～5.6分。</w:t>
            </w:r>
          </w:p>
        </w:tc>
      </w:tr>
      <w:tr w14:paraId="797FF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4396" w:type="dxa"/>
            <w:vAlign w:val="center"/>
          </w:tcPr>
          <w:p w14:paraId="54E9C8E2">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环境保护、文明施工、事故处理管理体系及保证措施</w:t>
            </w:r>
          </w:p>
        </w:tc>
        <w:tc>
          <w:tcPr>
            <w:tcW w:w="914" w:type="dxa"/>
            <w:vAlign w:val="center"/>
          </w:tcPr>
          <w:p w14:paraId="362C5F29">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6</w:t>
            </w:r>
          </w:p>
        </w:tc>
        <w:tc>
          <w:tcPr>
            <w:tcW w:w="4070" w:type="dxa"/>
            <w:vAlign w:val="center"/>
          </w:tcPr>
          <w:p w14:paraId="5FA30BF3">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好得5.4～6分；较好得4.2～5.4分；基本满足要求得3.6～4.2分。</w:t>
            </w:r>
          </w:p>
        </w:tc>
      </w:tr>
      <w:tr w14:paraId="48C3E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7" w:hRule="atLeast"/>
        </w:trPr>
        <w:tc>
          <w:tcPr>
            <w:tcW w:w="4396" w:type="dxa"/>
            <w:vAlign w:val="center"/>
          </w:tcPr>
          <w:p w14:paraId="4DD1A999">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支付保障管理体系及保证措施</w:t>
            </w:r>
          </w:p>
        </w:tc>
        <w:tc>
          <w:tcPr>
            <w:tcW w:w="914" w:type="dxa"/>
            <w:vAlign w:val="center"/>
          </w:tcPr>
          <w:p w14:paraId="2D7C6B76">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6</w:t>
            </w:r>
          </w:p>
        </w:tc>
        <w:tc>
          <w:tcPr>
            <w:tcW w:w="4070" w:type="dxa"/>
            <w:vAlign w:val="center"/>
          </w:tcPr>
          <w:p w14:paraId="77559D58">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好得5.4～6分；较好得4.2～5.4分；基本满足要求得3.6～4.2分。</w:t>
            </w:r>
          </w:p>
        </w:tc>
      </w:tr>
    </w:tbl>
    <w:p w14:paraId="71E73E77">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r>
        <w:rPr>
          <w:rFonts w:hint="eastAsia" w:ascii="宋体" w:hAnsi="宋体" w:eastAsia="宋体" w:cs="宋体"/>
          <w:b/>
          <w:bCs/>
          <w:strike w:val="0"/>
          <w:dstrike w:val="0"/>
          <w:color w:val="auto"/>
          <w:sz w:val="24"/>
          <w:szCs w:val="24"/>
          <w:highlight w:val="none"/>
          <w:lang w:val="en-US" w:eastAsia="zh-CN"/>
        </w:rPr>
        <w:t>2.主要管理人员（共25分）</w:t>
      </w:r>
    </w:p>
    <w:tbl>
      <w:tblPr>
        <w:tblStyle w:val="7"/>
        <w:tblW w:w="89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46"/>
        <w:gridCol w:w="825"/>
        <w:gridCol w:w="6308"/>
      </w:tblGrid>
      <w:tr w14:paraId="290ED0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jc w:val="center"/>
        </w:trPr>
        <w:tc>
          <w:tcPr>
            <w:tcW w:w="1846" w:type="dxa"/>
            <w:vAlign w:val="center"/>
          </w:tcPr>
          <w:p w14:paraId="420BB453">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评分项目</w:t>
            </w:r>
          </w:p>
        </w:tc>
        <w:tc>
          <w:tcPr>
            <w:tcW w:w="825" w:type="dxa"/>
            <w:vAlign w:val="center"/>
          </w:tcPr>
          <w:p w14:paraId="2D2D968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9"/>
                <w:sz w:val="24"/>
                <w:szCs w:val="24"/>
                <w:highlight w:val="none"/>
              </w:rPr>
              <w:t>分值</w:t>
            </w:r>
          </w:p>
        </w:tc>
        <w:tc>
          <w:tcPr>
            <w:tcW w:w="6308" w:type="dxa"/>
            <w:vAlign w:val="center"/>
          </w:tcPr>
          <w:p w14:paraId="2A0A59D9">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评分标准</w:t>
            </w:r>
          </w:p>
        </w:tc>
      </w:tr>
      <w:tr w14:paraId="7F261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846" w:type="dxa"/>
            <w:vAlign w:val="center"/>
          </w:tcPr>
          <w:p w14:paraId="5A2675FC">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rightChars="0"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满足资格</w:t>
            </w:r>
          </w:p>
          <w:p w14:paraId="65717208">
            <w:pPr>
              <w:pStyle w:val="8"/>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审查条件</w:t>
            </w:r>
          </w:p>
        </w:tc>
        <w:tc>
          <w:tcPr>
            <w:tcW w:w="825" w:type="dxa"/>
            <w:vAlign w:val="center"/>
          </w:tcPr>
          <w:p w14:paraId="22280E4F">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lang w:val="en-US" w:eastAsia="zh-CN"/>
              </w:rPr>
              <w:t>25</w:t>
            </w:r>
          </w:p>
        </w:tc>
        <w:tc>
          <w:tcPr>
            <w:tcW w:w="6308" w:type="dxa"/>
            <w:vAlign w:val="center"/>
          </w:tcPr>
          <w:p w14:paraId="1DDEE735">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通过资格评审得</w:t>
            </w:r>
            <w:r>
              <w:rPr>
                <w:rFonts w:hint="eastAsia" w:ascii="宋体" w:hAnsi="宋体" w:eastAsia="宋体" w:cs="宋体"/>
                <w:color w:val="auto"/>
                <w:szCs w:val="21"/>
                <w:highlight w:val="none"/>
                <w:lang w:val="en-US" w:eastAsia="zh-CN"/>
              </w:rPr>
              <w:t>25</w:t>
            </w:r>
            <w:r>
              <w:rPr>
                <w:rFonts w:hint="eastAsia" w:ascii="宋体" w:hAnsi="宋体" w:eastAsia="宋体" w:cs="宋体"/>
                <w:color w:val="auto"/>
                <w:szCs w:val="21"/>
                <w:highlight w:val="none"/>
              </w:rPr>
              <w:t>分。</w:t>
            </w:r>
          </w:p>
        </w:tc>
      </w:tr>
    </w:tbl>
    <w:p w14:paraId="746D36A1">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r>
        <w:rPr>
          <w:rFonts w:hint="eastAsia" w:ascii="宋体" w:hAnsi="宋体" w:eastAsia="宋体" w:cs="宋体"/>
          <w:b/>
          <w:bCs/>
          <w:strike w:val="0"/>
          <w:dstrike w:val="0"/>
          <w:color w:val="auto"/>
          <w:sz w:val="24"/>
          <w:szCs w:val="24"/>
          <w:highlight w:val="none"/>
          <w:lang w:val="en-US" w:eastAsia="zh-CN"/>
        </w:rPr>
        <w:t>3.技术能力（共10分）</w:t>
      </w:r>
    </w:p>
    <w:tbl>
      <w:tblPr>
        <w:tblStyle w:val="7"/>
        <w:tblW w:w="908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32"/>
        <w:gridCol w:w="794"/>
        <w:gridCol w:w="6461"/>
      </w:tblGrid>
      <w:tr w14:paraId="66347F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jc w:val="center"/>
        </w:trPr>
        <w:tc>
          <w:tcPr>
            <w:tcW w:w="1832" w:type="dxa"/>
            <w:vAlign w:val="top"/>
          </w:tcPr>
          <w:p w14:paraId="2A1A0443">
            <w:pPr>
              <w:pStyle w:val="9"/>
              <w:spacing w:before="234" w:line="217" w:lineRule="auto"/>
              <w:ind w:left="376"/>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评分项目</w:t>
            </w:r>
          </w:p>
        </w:tc>
        <w:tc>
          <w:tcPr>
            <w:tcW w:w="794" w:type="dxa"/>
            <w:vAlign w:val="top"/>
          </w:tcPr>
          <w:p w14:paraId="30DF08FF">
            <w:pPr>
              <w:pStyle w:val="9"/>
              <w:spacing w:before="234" w:line="218" w:lineRule="auto"/>
              <w:ind w:left="165"/>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9"/>
                <w:sz w:val="24"/>
                <w:szCs w:val="24"/>
                <w:highlight w:val="none"/>
              </w:rPr>
              <w:t>分值</w:t>
            </w:r>
          </w:p>
        </w:tc>
        <w:tc>
          <w:tcPr>
            <w:tcW w:w="6461" w:type="dxa"/>
            <w:vAlign w:val="top"/>
          </w:tcPr>
          <w:p w14:paraId="3168CE26">
            <w:pPr>
              <w:pStyle w:val="9"/>
              <w:spacing w:before="234" w:line="217" w:lineRule="auto"/>
              <w:ind w:left="2808"/>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评分标准</w:t>
            </w:r>
          </w:p>
        </w:tc>
      </w:tr>
      <w:tr w14:paraId="5582AA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jc w:val="center"/>
        </w:trPr>
        <w:tc>
          <w:tcPr>
            <w:tcW w:w="1832" w:type="dxa"/>
            <w:vAlign w:val="center"/>
          </w:tcPr>
          <w:p w14:paraId="30DE40D5">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满足资格</w:t>
            </w:r>
          </w:p>
          <w:p w14:paraId="50F5C8B1">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审查条件</w:t>
            </w:r>
          </w:p>
        </w:tc>
        <w:tc>
          <w:tcPr>
            <w:tcW w:w="794" w:type="dxa"/>
            <w:vAlign w:val="center"/>
          </w:tcPr>
          <w:p w14:paraId="5BC3F701">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6</w:t>
            </w:r>
          </w:p>
        </w:tc>
        <w:tc>
          <w:tcPr>
            <w:tcW w:w="6461" w:type="dxa"/>
            <w:vAlign w:val="center"/>
          </w:tcPr>
          <w:p w14:paraId="08A3B8F3">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通过资格评审即得6分</w:t>
            </w:r>
          </w:p>
        </w:tc>
      </w:tr>
      <w:tr w14:paraId="28DFC7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7" w:hRule="atLeast"/>
          <w:jc w:val="center"/>
        </w:trPr>
        <w:tc>
          <w:tcPr>
            <w:tcW w:w="1832" w:type="dxa"/>
            <w:vAlign w:val="center"/>
          </w:tcPr>
          <w:p w14:paraId="605F0571">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科研开发和</w:t>
            </w:r>
          </w:p>
          <w:p w14:paraId="338D0E30">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技术创新能力</w:t>
            </w:r>
          </w:p>
        </w:tc>
        <w:tc>
          <w:tcPr>
            <w:tcW w:w="794" w:type="dxa"/>
            <w:vAlign w:val="center"/>
          </w:tcPr>
          <w:p w14:paraId="7211AA0A">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4</w:t>
            </w:r>
          </w:p>
        </w:tc>
        <w:tc>
          <w:tcPr>
            <w:tcW w:w="6461" w:type="dxa"/>
            <w:vAlign w:val="center"/>
          </w:tcPr>
          <w:p w14:paraId="1D8C84A6">
            <w:pPr>
              <w:widowControl/>
              <w:jc w:val="left"/>
              <w:rPr>
                <w:rFonts w:hint="eastAsia" w:ascii="宋体" w:hAnsi="宋体" w:eastAsia="宋体" w:cs="宋体"/>
                <w:strike w:val="0"/>
                <w:dstrike w:val="0"/>
                <w:color w:val="auto"/>
                <w:sz w:val="20"/>
                <w:szCs w:val="20"/>
                <w:highlight w:val="none"/>
              </w:rPr>
            </w:pPr>
            <w:r>
              <w:rPr>
                <w:rFonts w:hint="eastAsia" w:ascii="宋体" w:hAnsi="宋体" w:eastAsia="宋体" w:cs="宋体"/>
                <w:strike w:val="0"/>
                <w:dstrike w:val="0"/>
                <w:color w:val="auto"/>
                <w:sz w:val="20"/>
                <w:szCs w:val="20"/>
                <w:highlight w:val="none"/>
              </w:rPr>
              <w:t>投标人曾获得与项目实施有关的国家级工法、专利（发明专利或实用新型专利），国家科学技术进步奖、省级科学技术进步奖二等奖及以上、国家级优质工程奖项（仅限国家优质工程奖、中国建设工程鲁班奖、中国土木工程詹天佑奖），主编或参编过的国家、行业或地方标准的，每有一项加1分，最多加4分。</w:t>
            </w:r>
          </w:p>
        </w:tc>
      </w:tr>
    </w:tbl>
    <w:p w14:paraId="196734F6">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r>
        <w:rPr>
          <w:rFonts w:hint="eastAsia" w:ascii="宋体" w:hAnsi="宋体" w:eastAsia="宋体" w:cs="宋体"/>
          <w:b/>
          <w:bCs/>
          <w:strike w:val="0"/>
          <w:dstrike w:val="0"/>
          <w:color w:val="auto"/>
          <w:sz w:val="24"/>
          <w:szCs w:val="24"/>
          <w:highlight w:val="none"/>
          <w:lang w:val="en-US" w:eastAsia="zh-CN"/>
        </w:rPr>
        <w:t>4.履约信誉（共15分）</w:t>
      </w:r>
    </w:p>
    <w:tbl>
      <w:tblPr>
        <w:tblStyle w:val="7"/>
        <w:tblW w:w="90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5"/>
        <w:gridCol w:w="839"/>
        <w:gridCol w:w="6938"/>
      </w:tblGrid>
      <w:tr w14:paraId="641969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jc w:val="center"/>
        </w:trPr>
        <w:tc>
          <w:tcPr>
            <w:tcW w:w="1285" w:type="dxa"/>
            <w:vAlign w:val="top"/>
          </w:tcPr>
          <w:p w14:paraId="501BFC88">
            <w:pPr>
              <w:pStyle w:val="9"/>
              <w:spacing w:before="119" w:line="217" w:lineRule="auto"/>
              <w:ind w:left="164" w:leftChars="0"/>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评分项目</w:t>
            </w:r>
          </w:p>
        </w:tc>
        <w:tc>
          <w:tcPr>
            <w:tcW w:w="839" w:type="dxa"/>
            <w:vAlign w:val="top"/>
          </w:tcPr>
          <w:p w14:paraId="483A5E3C">
            <w:pPr>
              <w:pStyle w:val="9"/>
              <w:spacing w:before="119" w:line="218" w:lineRule="auto"/>
              <w:ind w:left="182" w:leftChars="0"/>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9"/>
                <w:sz w:val="24"/>
                <w:szCs w:val="24"/>
                <w:highlight w:val="none"/>
              </w:rPr>
              <w:t>分值</w:t>
            </w:r>
          </w:p>
        </w:tc>
        <w:tc>
          <w:tcPr>
            <w:tcW w:w="6938" w:type="dxa"/>
            <w:vAlign w:val="top"/>
          </w:tcPr>
          <w:p w14:paraId="01B494A4">
            <w:pPr>
              <w:pStyle w:val="9"/>
              <w:spacing w:before="119" w:line="217" w:lineRule="auto"/>
              <w:ind w:left="2989" w:leftChars="0"/>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评分标准</w:t>
            </w:r>
          </w:p>
        </w:tc>
      </w:tr>
      <w:tr w14:paraId="6DDDB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285" w:type="dxa"/>
            <w:vAlign w:val="center"/>
          </w:tcPr>
          <w:p w14:paraId="53C6D543">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信用评价</w:t>
            </w:r>
          </w:p>
        </w:tc>
        <w:tc>
          <w:tcPr>
            <w:tcW w:w="839" w:type="dxa"/>
            <w:vAlign w:val="center"/>
          </w:tcPr>
          <w:p w14:paraId="219268F4">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15</w:t>
            </w:r>
          </w:p>
        </w:tc>
        <w:tc>
          <w:tcPr>
            <w:tcW w:w="6938" w:type="dxa"/>
            <w:vAlign w:val="center"/>
          </w:tcPr>
          <w:p w14:paraId="4B3C2261">
            <w:pPr>
              <w:widowControl/>
              <w:jc w:val="left"/>
              <w:rPr>
                <w:rFonts w:ascii="仿宋" w:hAnsi="仿宋" w:eastAsia="仿宋" w:cs="仿宋"/>
                <w:color w:val="000000"/>
                <w:szCs w:val="21"/>
                <w:highlight w:val="none"/>
              </w:rPr>
            </w:pPr>
            <w:r>
              <w:rPr>
                <w:rFonts w:hint="eastAsia" w:ascii="仿宋" w:hAnsi="仿宋" w:eastAsia="仿宋" w:cs="仿宋"/>
                <w:color w:val="000000"/>
                <w:szCs w:val="21"/>
                <w:highlight w:val="none"/>
              </w:rPr>
              <w:t>1.根据陕西省交通运输厅《关于陕西省2023年度公路建设市场从业企业信用评价结果应用的通知》(陕交函[2024]</w:t>
            </w:r>
            <w:r>
              <w:rPr>
                <w:rFonts w:hint="eastAsia" w:ascii="仿宋" w:hAnsi="仿宋" w:eastAsia="仿宋" w:cs="仿宋"/>
                <w:color w:val="000000"/>
                <w:szCs w:val="21"/>
                <w:highlight w:val="none"/>
                <w:lang w:val="en-US" w:eastAsia="zh-CN"/>
              </w:rPr>
              <w:t>66</w:t>
            </w:r>
            <w:r>
              <w:rPr>
                <w:rFonts w:hint="eastAsia" w:ascii="仿宋" w:hAnsi="仿宋" w:eastAsia="仿宋" w:cs="仿宋"/>
                <w:color w:val="000000"/>
                <w:szCs w:val="21"/>
                <w:highlight w:val="none"/>
              </w:rPr>
              <w:t>5号）施工企业信用评价结果：按照施工企业的信用评价等级进行评分，信用评价等级为AA级企业得15分；信用评价等级为A级企业得12分；信用评价等级为B级企业得10.5分；信用评价等级为C级企业得 9分；信用评价等级为D级企业限制进入我省公路建设市场。</w:t>
            </w:r>
          </w:p>
          <w:p w14:paraId="022C6704">
            <w:pPr>
              <w:widowControl/>
              <w:jc w:val="left"/>
              <w:rPr>
                <w:rFonts w:ascii="仿宋" w:hAnsi="仿宋" w:eastAsia="仿宋" w:cs="Times New Roman"/>
                <w:color w:val="000000"/>
                <w:szCs w:val="21"/>
                <w:highlight w:val="none"/>
              </w:rPr>
            </w:pPr>
            <w:r>
              <w:rPr>
                <w:rFonts w:hint="eastAsia" w:ascii="仿宋" w:hAnsi="仿宋" w:eastAsia="仿宋" w:cs="Times New Roman"/>
                <w:color w:val="000000"/>
                <w:szCs w:val="21"/>
                <w:highlight w:val="none"/>
              </w:rPr>
              <w:t>2.对具有省厅2022年度信用评价等级而无2023年度信用评价等级的企业，其2022年度信用评价等级延续1年。</w:t>
            </w:r>
          </w:p>
          <w:p w14:paraId="21AC08EA">
            <w:pPr>
              <w:widowControl/>
              <w:jc w:val="left"/>
              <w:rPr>
                <w:rFonts w:hint="eastAsia" w:ascii="仿宋" w:hAnsi="仿宋" w:eastAsia="仿宋" w:cs="Times New Roman"/>
                <w:color w:val="000000"/>
                <w:szCs w:val="21"/>
                <w:highlight w:val="none"/>
              </w:rPr>
            </w:pPr>
            <w:r>
              <w:rPr>
                <w:rFonts w:hint="eastAsia" w:ascii="仿宋" w:hAnsi="仿宋" w:eastAsia="仿宋" w:cs="Times New Roman"/>
                <w:color w:val="000000"/>
                <w:szCs w:val="21"/>
                <w:highlight w:val="none"/>
              </w:rPr>
              <w:t>3.初次进入陕西省的从业企业，按照全国综合信用评价等级确定。延续省厅上一年信用评价结果后仍无信用评价结果的，按照全国综合评价结果对待，但不得高于省厅原评价等级的上一级。无全国综合评价结果的企业，且无不良信用行为，可按A级对待。</w:t>
            </w:r>
          </w:p>
          <w:p w14:paraId="64476D6D">
            <w:pPr>
              <w:widowControl/>
              <w:jc w:val="left"/>
              <w:rPr>
                <w:rFonts w:hint="eastAsia" w:ascii="宋体" w:hAnsi="宋体" w:eastAsia="宋体" w:cs="宋体"/>
                <w:strike w:val="0"/>
                <w:dstrike w:val="0"/>
                <w:color w:val="auto"/>
                <w:sz w:val="20"/>
                <w:szCs w:val="20"/>
                <w:highlight w:val="none"/>
              </w:rPr>
            </w:pPr>
            <w:r>
              <w:rPr>
                <w:rFonts w:hint="eastAsia" w:ascii="仿宋" w:hAnsi="仿宋" w:eastAsia="仿宋" w:cs="Times New Roman"/>
                <w:color w:val="000000"/>
                <w:szCs w:val="21"/>
                <w:highlight w:val="none"/>
                <w:lang w:val="en-US" w:eastAsia="zh-CN"/>
              </w:rPr>
              <w:t>4.若在投标截止时间前，陕西省交通运输厅发布新的信用评价结果及文件，则涉及信用评价的按照新的信用评价结果执行。</w:t>
            </w:r>
          </w:p>
        </w:tc>
      </w:tr>
    </w:tbl>
    <w:p w14:paraId="63C093C0">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r>
        <w:rPr>
          <w:rFonts w:hint="eastAsia" w:ascii="宋体" w:hAnsi="宋体" w:eastAsia="宋体" w:cs="宋体"/>
          <w:b/>
          <w:bCs/>
          <w:strike w:val="0"/>
          <w:dstrike w:val="0"/>
          <w:color w:val="auto"/>
          <w:sz w:val="24"/>
          <w:szCs w:val="24"/>
          <w:highlight w:val="none"/>
          <w:lang w:val="en-US" w:eastAsia="zh-CN"/>
        </w:rPr>
        <w:t>5.业绩（共10分）</w:t>
      </w:r>
    </w:p>
    <w:tbl>
      <w:tblPr>
        <w:tblStyle w:val="7"/>
        <w:tblW w:w="908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2"/>
        <w:gridCol w:w="781"/>
        <w:gridCol w:w="6909"/>
      </w:tblGrid>
      <w:tr w14:paraId="4E1FF1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jc w:val="center"/>
        </w:trPr>
        <w:tc>
          <w:tcPr>
            <w:tcW w:w="1392" w:type="dxa"/>
            <w:vAlign w:val="center"/>
          </w:tcPr>
          <w:p w14:paraId="441E7511">
            <w:pPr>
              <w:pStyle w:val="9"/>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评分项</w:t>
            </w:r>
            <w:r>
              <w:rPr>
                <w:rFonts w:hint="eastAsia" w:ascii="宋体" w:hAnsi="宋体" w:eastAsia="宋体" w:cs="宋体"/>
                <w:b/>
                <w:bCs/>
                <w:strike w:val="0"/>
                <w:dstrike w:val="0"/>
                <w:color w:val="auto"/>
                <w:spacing w:val="-3"/>
                <w:sz w:val="24"/>
                <w:szCs w:val="24"/>
                <w:highlight w:val="none"/>
              </w:rPr>
              <w:t>目</w:t>
            </w:r>
          </w:p>
        </w:tc>
        <w:tc>
          <w:tcPr>
            <w:tcW w:w="781" w:type="dxa"/>
            <w:vAlign w:val="center"/>
          </w:tcPr>
          <w:p w14:paraId="16EAD762">
            <w:pPr>
              <w:pStyle w:val="9"/>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9"/>
                <w:sz w:val="24"/>
                <w:szCs w:val="24"/>
                <w:highlight w:val="none"/>
              </w:rPr>
              <w:t>分值</w:t>
            </w:r>
          </w:p>
        </w:tc>
        <w:tc>
          <w:tcPr>
            <w:tcW w:w="6909" w:type="dxa"/>
            <w:vAlign w:val="center"/>
          </w:tcPr>
          <w:p w14:paraId="6E2CA210">
            <w:pPr>
              <w:pStyle w:val="9"/>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评分标准</w:t>
            </w:r>
          </w:p>
        </w:tc>
      </w:tr>
      <w:tr w14:paraId="785D31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5" w:hRule="atLeast"/>
          <w:jc w:val="center"/>
        </w:trPr>
        <w:tc>
          <w:tcPr>
            <w:tcW w:w="1392" w:type="dxa"/>
            <w:vAlign w:val="center"/>
          </w:tcPr>
          <w:p w14:paraId="360BF35B">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满足资格审查条件</w:t>
            </w:r>
          </w:p>
        </w:tc>
        <w:tc>
          <w:tcPr>
            <w:tcW w:w="781" w:type="dxa"/>
            <w:vAlign w:val="center"/>
          </w:tcPr>
          <w:p w14:paraId="70A6B367">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lang w:val="en-US" w:eastAsia="zh-CN"/>
              </w:rPr>
              <w:t>6</w:t>
            </w:r>
          </w:p>
        </w:tc>
        <w:tc>
          <w:tcPr>
            <w:tcW w:w="6909" w:type="dxa"/>
            <w:vAlign w:val="center"/>
          </w:tcPr>
          <w:p w14:paraId="253558E0">
            <w:pPr>
              <w:widowControl/>
              <w:jc w:val="left"/>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通过资格评审即得</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分</w:t>
            </w:r>
          </w:p>
        </w:tc>
      </w:tr>
      <w:tr w14:paraId="3801F0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5" w:hRule="atLeast"/>
          <w:jc w:val="center"/>
        </w:trPr>
        <w:tc>
          <w:tcPr>
            <w:tcW w:w="1392" w:type="dxa"/>
            <w:vAlign w:val="center"/>
          </w:tcPr>
          <w:p w14:paraId="5E44E833">
            <w:pPr>
              <w:pStyle w:val="8"/>
              <w:spacing w:line="240" w:lineRule="atLeast"/>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工程业绩</w:t>
            </w:r>
          </w:p>
        </w:tc>
        <w:tc>
          <w:tcPr>
            <w:tcW w:w="781" w:type="dxa"/>
            <w:vAlign w:val="center"/>
          </w:tcPr>
          <w:p w14:paraId="587AFBB2">
            <w:pPr>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lang w:val="en-US" w:eastAsia="zh-CN"/>
              </w:rPr>
              <w:t>4</w:t>
            </w:r>
          </w:p>
        </w:tc>
        <w:tc>
          <w:tcPr>
            <w:tcW w:w="6909" w:type="dxa"/>
            <w:vAlign w:val="center"/>
          </w:tcPr>
          <w:p w14:paraId="765011D9">
            <w:pPr>
              <w:pStyle w:val="8"/>
              <w:spacing w:line="240" w:lineRule="atLeast"/>
              <w:ind w:right="105" w:rightChars="50"/>
              <w:rPr>
                <w:rFonts w:ascii="仿宋" w:hAnsi="仿宋" w:eastAsia="仿宋" w:cs="Times New Roman"/>
                <w:color w:val="auto"/>
                <w:szCs w:val="21"/>
                <w:highlight w:val="none"/>
              </w:rPr>
            </w:pPr>
            <w:r>
              <w:rPr>
                <w:rFonts w:hint="eastAsia" w:ascii="仿宋" w:hAnsi="仿宋" w:eastAsia="仿宋" w:cs="Times New Roman"/>
                <w:color w:val="auto"/>
                <w:szCs w:val="21"/>
                <w:highlight w:val="none"/>
              </w:rPr>
              <w:t>满足资格审查条件之外，</w:t>
            </w:r>
          </w:p>
          <w:p w14:paraId="38F1A69F">
            <w:pPr>
              <w:pStyle w:val="8"/>
              <w:spacing w:line="240" w:lineRule="atLeast"/>
              <w:ind w:right="105" w:rightChars="50"/>
              <w:jc w:val="left"/>
              <w:rPr>
                <w:rFonts w:hint="eastAsia" w:ascii="宋体" w:hAnsi="宋体" w:eastAsia="宋体" w:cs="宋体"/>
                <w:strike w:val="0"/>
                <w:dstrike w:val="0"/>
                <w:color w:val="auto"/>
                <w:sz w:val="20"/>
                <w:szCs w:val="20"/>
                <w:highlight w:val="none"/>
              </w:rPr>
            </w:pPr>
            <w:r>
              <w:rPr>
                <w:rFonts w:hint="eastAsia" w:ascii="仿宋" w:hAnsi="仿宋" w:eastAsia="仿宋" w:cs="Times New Roman"/>
                <w:color w:val="auto"/>
                <w:szCs w:val="21"/>
                <w:highlight w:val="none"/>
                <w:lang w:val="en-US" w:eastAsia="zh-CN"/>
              </w:rPr>
              <w:t>2020</w:t>
            </w:r>
            <w:r>
              <w:rPr>
                <w:rFonts w:hint="eastAsia" w:ascii="仿宋" w:hAnsi="仿宋" w:eastAsia="仿宋" w:cs="Times New Roman"/>
                <w:color w:val="auto"/>
                <w:szCs w:val="21"/>
                <w:highlight w:val="none"/>
              </w:rPr>
              <w:t>年1月1日至投标截止时间（以交工验收时间为准），每</w:t>
            </w:r>
            <w:r>
              <w:rPr>
                <w:rFonts w:hint="eastAsia" w:ascii="仿宋" w:hAnsi="仿宋" w:eastAsia="仿宋" w:cs="Times New Roman"/>
                <w:color w:val="auto"/>
                <w:szCs w:val="21"/>
                <w:highlight w:val="none"/>
                <w:lang w:val="en-US" w:eastAsia="zh-CN"/>
              </w:rPr>
              <w:t>增加</w:t>
            </w:r>
            <w:r>
              <w:rPr>
                <w:rFonts w:hint="eastAsia" w:ascii="仿宋" w:hAnsi="仿宋" w:eastAsia="仿宋" w:cs="Times New Roman"/>
                <w:color w:val="auto"/>
                <w:szCs w:val="21"/>
                <w:highlight w:val="none"/>
              </w:rPr>
              <w:t>1个</w:t>
            </w:r>
            <w:r>
              <w:rPr>
                <w:rFonts w:hint="eastAsia" w:ascii="仿宋" w:hAnsi="仿宋" w:eastAsia="仿宋" w:cs="仿宋"/>
                <w:color w:val="auto"/>
                <w:sz w:val="21"/>
                <w:szCs w:val="21"/>
                <w:highlight w:val="none"/>
                <w:lang w:val="en-US" w:eastAsia="zh-CN"/>
              </w:rPr>
              <w:t>单项</w:t>
            </w:r>
            <w:r>
              <w:rPr>
                <w:rFonts w:hint="eastAsia" w:ascii="仿宋" w:hAnsi="仿宋" w:eastAsia="仿宋" w:cs="仿宋"/>
                <w:color w:val="auto"/>
                <w:sz w:val="21"/>
                <w:szCs w:val="21"/>
                <w:highlight w:val="none"/>
                <w:lang w:val="zh-CN"/>
              </w:rPr>
              <w:t>合同金额</w:t>
            </w:r>
            <w:r>
              <w:rPr>
                <w:rFonts w:hint="eastAsia" w:ascii="仿宋" w:hAnsi="仿宋" w:eastAsia="仿宋" w:cs="仿宋"/>
                <w:color w:val="auto"/>
                <w:sz w:val="21"/>
                <w:szCs w:val="21"/>
                <w:highlight w:val="none"/>
                <w:lang w:val="en-US" w:eastAsia="zh-CN"/>
              </w:rPr>
              <w:t>大</w:t>
            </w:r>
            <w:r>
              <w:rPr>
                <w:rFonts w:hint="eastAsia" w:ascii="仿宋" w:hAnsi="仿宋" w:eastAsia="仿宋" w:cs="仿宋"/>
                <w:color w:val="auto"/>
                <w:sz w:val="21"/>
                <w:szCs w:val="21"/>
                <w:highlight w:val="none"/>
                <w:lang w:val="zh-CN"/>
              </w:rPr>
              <w:t>于</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lang w:val="zh-CN"/>
              </w:rPr>
              <w:t>000万元</w:t>
            </w:r>
            <w:r>
              <w:rPr>
                <w:rFonts w:hint="eastAsia" w:ascii="仿宋" w:hAnsi="仿宋" w:eastAsia="仿宋" w:cs="仿宋"/>
                <w:color w:val="auto"/>
                <w:sz w:val="21"/>
                <w:szCs w:val="21"/>
                <w:highlight w:val="none"/>
                <w:lang w:val="en-US" w:eastAsia="zh-CN"/>
              </w:rPr>
              <w:t>的高速公路机电工程</w:t>
            </w:r>
            <w:r>
              <w:rPr>
                <w:rFonts w:hint="eastAsia" w:ascii="仿宋" w:hAnsi="仿宋" w:eastAsia="仿宋" w:cs="仿宋"/>
                <w:color w:val="auto"/>
                <w:sz w:val="21"/>
                <w:szCs w:val="21"/>
                <w:highlight w:val="none"/>
                <w:lang w:val="zh-CN"/>
              </w:rPr>
              <w:t>施工合同段</w:t>
            </w:r>
            <w:r>
              <w:rPr>
                <w:rFonts w:hint="eastAsia" w:ascii="仿宋" w:hAnsi="仿宋" w:eastAsia="仿宋" w:cs="仿宋"/>
                <w:color w:val="auto"/>
                <w:sz w:val="21"/>
                <w:szCs w:val="21"/>
                <w:highlight w:val="none"/>
                <w:lang w:val="zh-CN" w:eastAsia="zh-CN"/>
              </w:rPr>
              <w:t>业绩</w:t>
            </w:r>
            <w:r>
              <w:rPr>
                <w:rFonts w:hint="eastAsia" w:ascii="仿宋" w:hAnsi="仿宋" w:eastAsia="仿宋" w:cs="仿宋"/>
                <w:color w:val="auto"/>
                <w:sz w:val="21"/>
                <w:szCs w:val="21"/>
                <w:highlight w:val="none"/>
                <w:lang w:val="en-US" w:eastAsia="zh-CN"/>
              </w:rPr>
              <w:t>加2分，此项最多加4分</w:t>
            </w:r>
            <w:r>
              <w:rPr>
                <w:rFonts w:hint="eastAsia" w:ascii="仿宋" w:hAnsi="仿宋" w:eastAsia="仿宋" w:cs="仿宋"/>
                <w:color w:val="auto"/>
                <w:sz w:val="21"/>
                <w:szCs w:val="21"/>
                <w:highlight w:val="none"/>
                <w:lang w:val="zh-CN"/>
              </w:rPr>
              <w:t>。</w:t>
            </w:r>
          </w:p>
        </w:tc>
      </w:tr>
    </w:tbl>
    <w:p w14:paraId="20B47B80">
      <w:pPr>
        <w:numPr>
          <w:ilvl w:val="0"/>
          <w:numId w:val="2"/>
        </w:numPr>
        <w:rPr>
          <w:rFonts w:hint="eastAsia" w:ascii="黑体" w:hAnsi="黑体" w:eastAsia="黑体" w:cs="黑体"/>
          <w:color w:val="000000"/>
          <w:sz w:val="32"/>
          <w:szCs w:val="32"/>
          <w:highlight w:val="none"/>
          <w:lang w:eastAsia="en-US"/>
        </w:rPr>
      </w:pPr>
      <w:r>
        <w:rPr>
          <w:rFonts w:hint="eastAsia" w:ascii="黑体" w:hAnsi="黑体" w:eastAsia="黑体" w:cs="黑体"/>
          <w:color w:val="000000"/>
          <w:sz w:val="32"/>
          <w:szCs w:val="32"/>
          <w:highlight w:val="none"/>
          <w:lang w:eastAsia="en-US"/>
        </w:rPr>
        <w:t>招标人联系方式</w:t>
      </w:r>
    </w:p>
    <w:p w14:paraId="50A2CD64">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招 标 人：陕西交通控股集团有限公司</w:t>
      </w:r>
    </w:p>
    <w:p w14:paraId="10AE57F0">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地    址：陕西省西安市太白南路9号</w:t>
      </w:r>
    </w:p>
    <w:p w14:paraId="0B70472A">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邮政编码：710065</w:t>
      </w:r>
    </w:p>
    <w:p w14:paraId="6D66D9D7">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 xml:space="preserve">联 系 人：赵先生  </w:t>
      </w:r>
    </w:p>
    <w:p w14:paraId="1DC0072B">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电    话：0915-3358816</w:t>
      </w:r>
    </w:p>
    <w:p w14:paraId="6ADFAC0C">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邮    箱：sxgsalglc@163.com</w:t>
      </w:r>
    </w:p>
    <w:p w14:paraId="3D96F6F2">
      <w:pPr>
        <w:numPr>
          <w:ilvl w:val="0"/>
          <w:numId w:val="0"/>
        </w:numPr>
        <w:rPr>
          <w:rFonts w:hint="eastAsia" w:ascii="黑体" w:hAnsi="黑体" w:eastAsia="黑体" w:cs="黑体"/>
          <w:color w:val="000000"/>
          <w:sz w:val="32"/>
          <w:szCs w:val="32"/>
          <w:highlight w:val="none"/>
          <w:lang w:eastAsia="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姚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B3E11"/>
    <w:multiLevelType w:val="singleLevel"/>
    <w:tmpl w:val="99AB3E11"/>
    <w:lvl w:ilvl="0" w:tentative="0">
      <w:start w:val="2"/>
      <w:numFmt w:val="chineseCounting"/>
      <w:suff w:val="nothing"/>
      <w:lvlText w:val="%1、"/>
      <w:lvlJc w:val="left"/>
      <w:rPr>
        <w:rFonts w:hint="eastAsia"/>
      </w:rPr>
    </w:lvl>
  </w:abstractNum>
  <w:abstractNum w:abstractNumId="1">
    <w:nsid w:val="6D8D16E4"/>
    <w:multiLevelType w:val="singleLevel"/>
    <w:tmpl w:val="6D8D16E4"/>
    <w:lvl w:ilvl="0" w:tentative="0">
      <w:start w:val="1"/>
      <w:numFmt w:val="upperLetter"/>
      <w:pStyle w:val="3"/>
      <w:lvlText w:val="%1、"/>
      <w:lvlJc w:val="left"/>
      <w:pPr>
        <w:tabs>
          <w:tab w:val="left" w:pos="960"/>
        </w:tabs>
        <w:ind w:left="960" w:hanging="324"/>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F117AA"/>
    <w:rsid w:val="23716C4D"/>
    <w:rsid w:val="55C92DCE"/>
    <w:rsid w:val="64665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line="416" w:lineRule="auto"/>
      <w:outlineLvl w:val="2"/>
    </w:pPr>
    <w:rPr>
      <w:b/>
      <w:bCs/>
      <w:sz w:val="32"/>
      <w:szCs w:val="32"/>
    </w:rPr>
  </w:style>
  <w:style w:type="paragraph" w:styleId="3">
    <w:name w:val="heading 4"/>
    <w:basedOn w:val="1"/>
    <w:next w:val="1"/>
    <w:qFormat/>
    <w:uiPriority w:val="99"/>
    <w:pPr>
      <w:keepNext/>
      <w:numPr>
        <w:ilvl w:val="0"/>
        <w:numId w:val="1"/>
      </w:numPr>
      <w:tabs>
        <w:tab w:val="left" w:pos="720"/>
        <w:tab w:val="left" w:pos="2715"/>
      </w:tabs>
      <w:autoSpaceDE w:val="0"/>
      <w:autoSpaceDN w:val="0"/>
      <w:adjustRightInd w:val="0"/>
      <w:spacing w:line="320" w:lineRule="exact"/>
      <w:jc w:val="center"/>
      <w:outlineLvl w:val="3"/>
    </w:pPr>
    <w:rPr>
      <w:rFonts w:ascii="方正姚体" w:eastAsia="方正姚体"/>
      <w:sz w:val="36"/>
      <w:szCs w:val="36"/>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toa heading"/>
    <w:basedOn w:val="1"/>
    <w:next w:val="1"/>
    <w:unhideWhenUsed/>
    <w:qFormat/>
    <w:uiPriority w:val="99"/>
    <w:rPr>
      <w:rFonts w:ascii="Arial" w:hAnsi="Arial"/>
      <w:sz w:val="24"/>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Paragraph"/>
    <w:basedOn w:val="1"/>
    <w:qFormat/>
    <w:uiPriority w:val="0"/>
    <w:pPr>
      <w:jc w:val="left"/>
    </w:pPr>
    <w:rPr>
      <w:kern w:val="0"/>
      <w:sz w:val="22"/>
      <w:szCs w:val="22"/>
      <w:lang w:eastAsia="en-US"/>
    </w:rPr>
  </w:style>
  <w:style w:type="paragraph" w:customStyle="1" w:styleId="9">
    <w:name w:val="Table Text"/>
    <w:basedOn w:val="1"/>
    <w:semiHidden/>
    <w:qFormat/>
    <w:uiPriority w:val="0"/>
    <w:rPr>
      <w:rFonts w:ascii="仿宋" w:hAnsi="仿宋" w:eastAsia="仿宋" w:cs="仿宋"/>
      <w:sz w:val="20"/>
      <w:szCs w:val="20"/>
      <w:lang w:val="en-US" w:eastAsia="en-US" w:bidi="ar-SA"/>
    </w:rPr>
  </w:style>
  <w:style w:type="paragraph" w:customStyle="1" w:styleId="10">
    <w:name w:val="正文文本5"/>
    <w:basedOn w:val="1"/>
    <w:autoRedefine/>
    <w:qFormat/>
    <w:uiPriority w:val="0"/>
    <w:pPr>
      <w:shd w:val="clear" w:color="auto" w:fill="FFFFFF"/>
      <w:spacing w:before="120" w:after="240" w:line="0" w:lineRule="atLeast"/>
      <w:jc w:val="center"/>
    </w:pPr>
    <w:rPr>
      <w:rFonts w:ascii="黑体" w:hAnsi="黑体" w:eastAsia="黑体" w:cs="黑体"/>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6174</Words>
  <Characters>6493</Characters>
  <Lines>0</Lines>
  <Paragraphs>0</Paragraphs>
  <TotalTime>1</TotalTime>
  <ScaleCrop>false</ScaleCrop>
  <LinksUpToDate>false</LinksUpToDate>
  <CharactersWithSpaces>6554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2024-12-05T03:30:00Z</dcterms:created>
  <dc:creator>admin</dc:creator>
  <cp:lastModifiedBy>Monster</cp:lastModifiedBy>
  <dcterms:modified xsi:type="dcterms:W3CDTF">2025-04-09T01:43:34Z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AA7627949E314DE09E6EE2A63478CFD4_12</vt:lpwstr>
  </property>
  <property fmtid="{D5CDD505-2E9C-101B-9397-08002B2CF9AE}" pid="4" name="KSOTemplateDocerSaveRecord">
    <vt:lpwstr>eyJoZGlkIjoiNDI1YzBhYTllNzAwYTZiZTljOGNlNmU4MjE3MzBlOGEiLCJ1c2VySWQiOiIzNDQxMTE3MTYifQ==</vt:lpwstr>
  </property>
</Properties>
</file>