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auto"/>
        <w:jc w:val="center"/>
        <w:rPr>
          <w:rFonts w:hint="eastAsia" w:ascii="宋体" w:hAnsi="宋体" w:cs="宋体"/>
          <w:b/>
          <w:sz w:val="48"/>
          <w:szCs w:val="48"/>
        </w:rPr>
      </w:pPr>
      <w:bookmarkStart w:id="0" w:name="_Toc21518"/>
      <w:bookmarkStart w:id="1" w:name="_Toc20858"/>
      <w:bookmarkStart w:id="2" w:name="_Toc389582033"/>
      <w:bookmarkStart w:id="3" w:name="_Toc20652"/>
      <w:bookmarkStart w:id="4" w:name="_Toc19886"/>
      <w:bookmarkStart w:id="5" w:name="_Toc5293"/>
      <w:bookmarkStart w:id="6" w:name="_Toc16218"/>
      <w:bookmarkStart w:id="7" w:name="_Toc438073527"/>
    </w:p>
    <w:p>
      <w:pPr>
        <w:spacing w:line="780" w:lineRule="auto"/>
        <w:jc w:val="center"/>
        <w:rPr>
          <w:rFonts w:ascii="宋体" w:hAnsi="宋体" w:cs="宋体"/>
          <w:b/>
          <w:sz w:val="44"/>
          <w:szCs w:val="44"/>
        </w:rPr>
      </w:pPr>
      <w:r>
        <w:rPr>
          <w:rFonts w:hint="eastAsia" w:ascii="宋体" w:hAnsi="宋体" w:cs="宋体"/>
          <w:b/>
          <w:sz w:val="48"/>
          <w:szCs w:val="48"/>
        </w:rPr>
        <w:t>陕西省高速公路收费中心联网收费系统业务支撑平台资源扩充采购项目</w:t>
      </w:r>
    </w:p>
    <w:p>
      <w:pPr>
        <w:pStyle w:val="7"/>
        <w:widowControl/>
        <w:rPr>
          <w:rFonts w:ascii="宋体" w:hAnsi="宋体" w:cs="宋体"/>
          <w:b/>
          <w:sz w:val="44"/>
          <w:szCs w:val="44"/>
        </w:rPr>
      </w:pPr>
    </w:p>
    <w:p/>
    <w:p>
      <w:pPr>
        <w:snapToGrid w:val="0"/>
        <w:jc w:val="center"/>
        <w:rPr>
          <w:rFonts w:ascii="宋体" w:hAnsi="宋体" w:cs="宋体"/>
          <w:b/>
          <w:sz w:val="88"/>
          <w:szCs w:val="88"/>
        </w:rPr>
      </w:pPr>
      <w:r>
        <w:rPr>
          <w:rFonts w:ascii="Times New Roman" w:hAnsi="Times New Roman"/>
          <w:szCs w:val="21"/>
        </w:rPr>
        <w:drawing>
          <wp:anchor distT="0" distB="0" distL="114300" distR="114300" simplePos="0" relativeHeight="251659264" behindDoc="1" locked="0" layoutInCell="1" allowOverlap="1">
            <wp:simplePos x="0" y="0"/>
            <wp:positionH relativeFrom="column">
              <wp:posOffset>1637665</wp:posOffset>
            </wp:positionH>
            <wp:positionV relativeFrom="paragraph">
              <wp:posOffset>10160</wp:posOffset>
            </wp:positionV>
            <wp:extent cx="2915285" cy="3143250"/>
            <wp:effectExtent l="0" t="0" r="18415" b="0"/>
            <wp:wrapNone/>
            <wp:docPr id="3" name="图片 10" descr="26a24f50731af2a31f84fc2b614e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26a24f50731af2a31f84fc2b614e763"/>
                    <pic:cNvPicPr>
                      <a:picLocks noChangeAspect="1" noChangeArrowheads="1"/>
                    </pic:cNvPicPr>
                  </pic:nvPicPr>
                  <pic:blipFill>
                    <a:blip r:embed="rId5" cstate="print"/>
                    <a:srcRect/>
                    <a:stretch>
                      <a:fillRect/>
                    </a:stretch>
                  </pic:blipFill>
                  <pic:spPr>
                    <a:xfrm>
                      <a:off x="0" y="0"/>
                      <a:ext cx="2915285" cy="3143250"/>
                    </a:xfrm>
                    <a:prstGeom prst="rect">
                      <a:avLst/>
                    </a:prstGeom>
                    <a:noFill/>
                    <a:ln w="9525" cmpd="sng">
                      <a:noFill/>
                      <a:miter lim="800000"/>
                      <a:headEnd/>
                      <a:tailEnd/>
                    </a:ln>
                  </pic:spPr>
                </pic:pic>
              </a:graphicData>
            </a:graphic>
          </wp:anchor>
        </w:drawing>
      </w:r>
    </w:p>
    <w:p>
      <w:pPr>
        <w:snapToGrid w:val="0"/>
        <w:jc w:val="center"/>
        <w:rPr>
          <w:rFonts w:ascii="宋体" w:hAnsi="宋体" w:cs="宋体"/>
          <w:b/>
          <w:sz w:val="88"/>
          <w:szCs w:val="88"/>
        </w:rPr>
      </w:pPr>
      <w:r>
        <w:rPr>
          <w:rFonts w:hint="eastAsia" w:ascii="宋体" w:hAnsi="宋体" w:cs="宋体"/>
          <w:b/>
          <w:sz w:val="88"/>
          <w:szCs w:val="88"/>
        </w:rPr>
        <w:t>招 标 文 件</w:t>
      </w:r>
    </w:p>
    <w:p>
      <w:pPr>
        <w:snapToGrid w:val="0"/>
        <w:jc w:val="center"/>
        <w:rPr>
          <w:rFonts w:ascii="宋体" w:hAnsi="宋体" w:cs="宋体"/>
          <w:b/>
          <w:sz w:val="32"/>
          <w:szCs w:val="32"/>
        </w:rPr>
      </w:pPr>
      <w:r>
        <w:rPr>
          <w:rFonts w:hint="eastAsia" w:ascii="宋体" w:hAnsi="宋体" w:cs="宋体"/>
          <w:b/>
          <w:sz w:val="32"/>
          <w:szCs w:val="32"/>
        </w:rPr>
        <w:t>（项目编号：</w:t>
      </w:r>
      <w:r>
        <w:rPr>
          <w:rFonts w:ascii="Times New Roman" w:hAnsi="Times New Roman"/>
          <w:b/>
          <w:bCs/>
          <w:sz w:val="24"/>
          <w:szCs w:val="20"/>
        </w:rPr>
        <w:t>SXTD-ZB2021-106</w:t>
      </w:r>
      <w:r>
        <w:rPr>
          <w:rFonts w:hint="eastAsia" w:ascii="Times New Roman" w:hAnsi="Times New Roman"/>
          <w:b/>
          <w:bCs/>
          <w:sz w:val="24"/>
          <w:szCs w:val="20"/>
        </w:rPr>
        <w:t>2</w:t>
      </w:r>
      <w:r>
        <w:rPr>
          <w:rFonts w:hint="eastAsia" w:ascii="宋体" w:hAnsi="宋体" w:cs="宋体"/>
          <w:b/>
          <w:sz w:val="32"/>
          <w:szCs w:val="32"/>
        </w:rPr>
        <w:t>）</w:t>
      </w:r>
    </w:p>
    <w:p>
      <w:pPr>
        <w:spacing w:line="780" w:lineRule="auto"/>
        <w:jc w:val="center"/>
        <w:rPr>
          <w:rFonts w:ascii="宋体" w:hAnsi="宋体" w:cs="宋体"/>
          <w:b/>
          <w:sz w:val="88"/>
          <w:szCs w:val="88"/>
        </w:rPr>
      </w:pPr>
    </w:p>
    <w:p>
      <w:pPr>
        <w:jc w:val="center"/>
        <w:rPr>
          <w:rFonts w:ascii="宋体" w:hAnsi="宋体" w:cs="宋体"/>
        </w:rPr>
      </w:pPr>
      <w:bookmarkStart w:id="8" w:name="_Toc363463325"/>
    </w:p>
    <w:p>
      <w:pPr>
        <w:rPr>
          <w:rFonts w:ascii="宋体" w:hAnsi="宋体" w:cs="宋体"/>
        </w:rPr>
      </w:pPr>
    </w:p>
    <w:bookmarkEnd w:id="8"/>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pStyle w:val="7"/>
        <w:widowControl/>
      </w:pPr>
    </w:p>
    <w:p/>
    <w:p>
      <w:pPr>
        <w:pStyle w:val="7"/>
        <w:widowControl/>
      </w:pPr>
    </w:p>
    <w:p/>
    <w:p>
      <w:pPr>
        <w:pStyle w:val="7"/>
      </w:pPr>
    </w:p>
    <w:p/>
    <w:p>
      <w:pPr>
        <w:spacing w:line="600" w:lineRule="auto"/>
        <w:jc w:val="center"/>
        <w:rPr>
          <w:rFonts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采购人：陕西省高速公路收费中心</w:t>
      </w:r>
    </w:p>
    <w:p>
      <w:pPr>
        <w:spacing w:line="600" w:lineRule="auto"/>
        <w:ind w:firstLine="964" w:firstLineChars="300"/>
        <w:jc w:val="center"/>
        <w:rPr>
          <w:rFonts w:ascii="宋体" w:hAnsi="宋体" w:cs="宋体"/>
          <w:b/>
          <w:bCs/>
          <w:sz w:val="32"/>
          <w:szCs w:val="32"/>
        </w:rPr>
      </w:pPr>
      <w:r>
        <w:rPr>
          <w:rFonts w:hint="eastAsia" w:ascii="宋体" w:hAnsi="宋体" w:cs="宋体"/>
          <w:b/>
          <w:bCs/>
          <w:sz w:val="32"/>
          <w:szCs w:val="32"/>
        </w:rPr>
        <w:t>采购代理机构：</w:t>
      </w:r>
      <w:r>
        <w:rPr>
          <w:rFonts w:hint="eastAsia" w:ascii="宋体" w:hAnsi="宋体" w:cs="宋体"/>
          <w:b/>
          <w:sz w:val="32"/>
          <w:szCs w:val="32"/>
        </w:rPr>
        <w:t>腾德工程咨询有限公司</w:t>
      </w:r>
    </w:p>
    <w:p>
      <w:pPr>
        <w:tabs>
          <w:tab w:val="left" w:pos="525"/>
        </w:tabs>
        <w:spacing w:line="600" w:lineRule="auto"/>
        <w:jc w:val="center"/>
        <w:rPr>
          <w:rFonts w:ascii="宋体" w:hAnsi="宋体" w:cs="宋体"/>
          <w:b/>
          <w:bCs/>
          <w:sz w:val="32"/>
          <w:szCs w:val="32"/>
        </w:rPr>
      </w:pPr>
      <w:r>
        <w:rPr>
          <w:rFonts w:hint="eastAsia" w:ascii="宋体" w:hAnsi="宋体" w:cs="宋体"/>
          <w:b/>
          <w:bCs/>
          <w:sz w:val="32"/>
          <w:szCs w:val="32"/>
        </w:rPr>
        <w:t>二〇二一年</w:t>
      </w:r>
      <w:r>
        <w:rPr>
          <w:rFonts w:hint="eastAsia" w:ascii="宋体" w:hAnsi="宋体" w:cs="宋体"/>
          <w:b/>
          <w:bCs/>
          <w:sz w:val="32"/>
          <w:szCs w:val="32"/>
          <w:lang w:eastAsia="zh-CN"/>
        </w:rPr>
        <w:t>九</w:t>
      </w:r>
      <w:r>
        <w:rPr>
          <w:rFonts w:hint="eastAsia" w:ascii="宋体" w:hAnsi="宋体" w:cs="宋体"/>
          <w:b/>
          <w:bCs/>
          <w:sz w:val="32"/>
          <w:szCs w:val="32"/>
        </w:rPr>
        <w:t>月</w:t>
      </w:r>
    </w:p>
    <w:p>
      <w:pPr>
        <w:spacing w:line="600" w:lineRule="auto"/>
        <w:rPr>
          <w:rFonts w:ascii="宋体" w:hAnsi="宋体" w:cs="宋体"/>
          <w:b/>
          <w:bCs/>
          <w:sz w:val="32"/>
          <w:szCs w:val="32"/>
        </w:rPr>
        <w:sectPr>
          <w:pgSz w:w="11906" w:h="16838"/>
          <w:pgMar w:top="851" w:right="1135" w:bottom="851" w:left="1135" w:header="1135" w:footer="992" w:gutter="0"/>
          <w:pgNumType w:start="0"/>
          <w:cols w:space="720" w:num="1"/>
          <w:docGrid w:type="lines" w:linePitch="327" w:charSpace="0"/>
        </w:sectPr>
      </w:pPr>
    </w:p>
    <w:p>
      <w:pPr>
        <w:spacing w:line="780" w:lineRule="auto"/>
        <w:jc w:val="center"/>
        <w:rPr>
          <w:rFonts w:ascii="宋体" w:hAnsi="宋体" w:cs="宋体"/>
          <w:b/>
          <w:sz w:val="48"/>
          <w:szCs w:val="48"/>
        </w:rPr>
      </w:pPr>
      <w:r>
        <w:rPr>
          <w:rFonts w:hint="eastAsia" w:ascii="宋体" w:hAnsi="宋体" w:cs="宋体"/>
          <w:b/>
          <w:sz w:val="48"/>
          <w:szCs w:val="48"/>
        </w:rPr>
        <w:drawing>
          <wp:inline distT="0" distB="0" distL="114300" distR="114300">
            <wp:extent cx="6117590" cy="8650605"/>
            <wp:effectExtent l="0" t="0" r="16510" b="17145"/>
            <wp:docPr id="10" name="图片 10" descr="Untitled_09062021_085632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ntitled_09062021_085632_007"/>
                    <pic:cNvPicPr>
                      <a:picLocks noChangeAspect="1"/>
                    </pic:cNvPicPr>
                  </pic:nvPicPr>
                  <pic:blipFill>
                    <a:blip r:embed="rId6" cstate="print"/>
                    <a:stretch>
                      <a:fillRect/>
                    </a:stretch>
                  </pic:blipFill>
                  <pic:spPr>
                    <a:xfrm>
                      <a:off x="0" y="0"/>
                      <a:ext cx="6117590" cy="8650605"/>
                    </a:xfrm>
                    <a:prstGeom prst="rect">
                      <a:avLst/>
                    </a:prstGeom>
                  </pic:spPr>
                </pic:pic>
              </a:graphicData>
            </a:graphic>
          </wp:inline>
        </w:drawing>
      </w:r>
    </w:p>
    <w:p>
      <w:pPr>
        <w:spacing w:line="360" w:lineRule="auto"/>
        <w:jc w:val="center"/>
        <w:rPr>
          <w:rFonts w:ascii="宋体" w:hAnsi="宋体" w:cs="宋体"/>
          <w:b/>
          <w:bCs/>
          <w:spacing w:val="140"/>
          <w:sz w:val="52"/>
          <w:szCs w:val="52"/>
          <w:u w:val="double"/>
        </w:rPr>
      </w:pPr>
      <w:r>
        <w:rPr>
          <w:rFonts w:hint="eastAsia" w:ascii="宋体" w:hAnsi="宋体" w:cs="宋体"/>
          <w:b/>
          <w:bCs/>
          <w:spacing w:val="140"/>
          <w:sz w:val="52"/>
          <w:szCs w:val="52"/>
          <w:u w:val="double"/>
        </w:rPr>
        <w:t>特别提示</w:t>
      </w:r>
    </w:p>
    <w:p>
      <w:pPr>
        <w:spacing w:line="360" w:lineRule="auto"/>
        <w:rPr>
          <w:rFonts w:ascii="宋体" w:hAnsi="宋体" w:cs="宋体"/>
          <w:b/>
          <w:bCs/>
        </w:rPr>
      </w:pPr>
      <w:r>
        <w:rPr>
          <w:rFonts w:hint="eastAsia" w:ascii="宋体" w:hAnsi="宋体" w:cs="宋体"/>
          <w:b/>
          <w:bCs/>
          <w:szCs w:val="21"/>
        </w:rPr>
        <w:t xml:space="preserve"> </w:t>
      </w:r>
    </w:p>
    <w:p>
      <w:pPr>
        <w:spacing w:line="360" w:lineRule="auto"/>
        <w:rPr>
          <w:rFonts w:ascii="宋体" w:hAnsi="宋体" w:cs="宋体"/>
          <w:sz w:val="24"/>
        </w:rPr>
      </w:pPr>
      <w:r>
        <w:rPr>
          <w:rFonts w:hint="eastAsia" w:ascii="宋体" w:hAnsi="宋体" w:cs="宋体"/>
          <w:b/>
          <w:bCs/>
          <w:sz w:val="24"/>
        </w:rPr>
        <w:t>各投标人</w:t>
      </w:r>
      <w:r>
        <w:rPr>
          <w:rFonts w:hint="eastAsia" w:ascii="宋体" w:hAnsi="宋体" w:cs="宋体"/>
          <w:sz w:val="24"/>
        </w:rPr>
        <w:t>：在此我们特别善意地提醒您注意！</w:t>
      </w:r>
    </w:p>
    <w:p>
      <w:pPr>
        <w:spacing w:line="360" w:lineRule="auto"/>
        <w:rPr>
          <w:rFonts w:ascii="宋体" w:hAnsi="宋体" w:cs="宋体"/>
          <w:sz w:val="24"/>
        </w:rPr>
      </w:pPr>
      <w:r>
        <w:rPr>
          <w:rFonts w:hint="eastAsia" w:ascii="宋体" w:hAnsi="宋体" w:cs="宋体"/>
          <w:sz w:val="24"/>
        </w:rPr>
        <w:t>1、请您仔细地阅读招标文件并正确理解招标文件中各项具体要求。</w:t>
      </w:r>
    </w:p>
    <w:p>
      <w:pPr>
        <w:spacing w:line="360" w:lineRule="auto"/>
        <w:rPr>
          <w:rFonts w:ascii="宋体" w:hAnsi="宋体" w:cs="宋体"/>
          <w:sz w:val="24"/>
        </w:rPr>
      </w:pPr>
      <w:r>
        <w:rPr>
          <w:rFonts w:hint="eastAsia" w:ascii="宋体" w:hAnsi="宋体" w:cs="宋体"/>
          <w:sz w:val="24"/>
        </w:rPr>
        <w:t>2、请您严格按照招标文件载明的投标文件格式要求编制投标文件。</w:t>
      </w:r>
    </w:p>
    <w:p>
      <w:pPr>
        <w:spacing w:line="360" w:lineRule="auto"/>
        <w:rPr>
          <w:rFonts w:ascii="宋体" w:hAnsi="宋体" w:cs="宋体"/>
          <w:sz w:val="24"/>
        </w:rPr>
      </w:pPr>
      <w:r>
        <w:rPr>
          <w:rFonts w:hint="eastAsia" w:ascii="宋体" w:hAnsi="宋体" w:cs="宋体"/>
          <w:sz w:val="24"/>
        </w:rPr>
        <w:t>3、请您按照招标文件要求密封投标文件，并正确标记。</w:t>
      </w:r>
    </w:p>
    <w:p>
      <w:pPr>
        <w:spacing w:line="360" w:lineRule="auto"/>
        <w:rPr>
          <w:rFonts w:ascii="宋体" w:hAnsi="宋体" w:cs="宋体"/>
          <w:sz w:val="24"/>
        </w:rPr>
      </w:pPr>
      <w:r>
        <w:rPr>
          <w:rFonts w:hint="eastAsia" w:ascii="宋体" w:hAnsi="宋体" w:cs="宋体"/>
          <w:sz w:val="24"/>
        </w:rPr>
        <w:t>4、请您明确标记投标文件的正本、副本及电子版文件。</w:t>
      </w:r>
    </w:p>
    <w:p>
      <w:pPr>
        <w:spacing w:line="360" w:lineRule="auto"/>
        <w:rPr>
          <w:rFonts w:ascii="宋体" w:hAnsi="宋体" w:cs="宋体"/>
          <w:sz w:val="24"/>
        </w:rPr>
      </w:pPr>
      <w:r>
        <w:rPr>
          <w:rFonts w:hint="eastAsia" w:ascii="宋体" w:hAnsi="宋体" w:cs="宋体"/>
          <w:sz w:val="24"/>
        </w:rPr>
        <w:t>5、请您于</w:t>
      </w:r>
      <w:r>
        <w:rPr>
          <w:rFonts w:hint="eastAsia" w:ascii="宋体" w:hAnsi="宋体" w:cs="宋体"/>
          <w:b/>
          <w:bCs/>
          <w:sz w:val="24"/>
          <w:u w:val="single"/>
        </w:rPr>
        <w:t>2021</w:t>
      </w:r>
      <w:r>
        <w:rPr>
          <w:rFonts w:hint="eastAsia" w:ascii="宋体" w:hAnsi="宋体" w:cs="宋体"/>
          <w:b/>
          <w:bCs/>
          <w:sz w:val="24"/>
        </w:rPr>
        <w:t>年</w:t>
      </w:r>
      <w:r>
        <w:rPr>
          <w:rFonts w:hint="eastAsia" w:ascii="宋体" w:hAnsi="宋体" w:cs="宋体"/>
          <w:b/>
          <w:bCs/>
          <w:sz w:val="24"/>
          <w:u w:val="single"/>
        </w:rPr>
        <w:t xml:space="preserve"> </w:t>
      </w:r>
      <w:r>
        <w:rPr>
          <w:rFonts w:hint="eastAsia" w:ascii="宋体" w:hAnsi="宋体" w:cs="宋体"/>
          <w:b/>
          <w:bCs/>
          <w:sz w:val="24"/>
          <w:u w:val="single"/>
          <w:lang w:val="en-US" w:eastAsia="zh-CN"/>
        </w:rPr>
        <w:t>10</w:t>
      </w:r>
      <w:r>
        <w:rPr>
          <w:rFonts w:hint="eastAsia" w:ascii="宋体" w:hAnsi="宋体" w:cs="宋体"/>
          <w:b/>
          <w:bCs/>
          <w:sz w:val="24"/>
          <w:u w:val="single"/>
        </w:rPr>
        <w:t xml:space="preserve"> </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u w:val="single"/>
          <w:lang w:val="en-US" w:eastAsia="zh-CN"/>
        </w:rPr>
        <w:t>09</w:t>
      </w:r>
      <w:r>
        <w:rPr>
          <w:rFonts w:hint="eastAsia" w:ascii="宋体" w:hAnsi="宋体" w:cs="宋体"/>
          <w:b/>
          <w:bCs/>
          <w:sz w:val="24"/>
          <w:u w:val="single"/>
        </w:rPr>
        <w:t xml:space="preserve"> </w:t>
      </w:r>
      <w:r>
        <w:rPr>
          <w:rFonts w:hint="eastAsia" w:ascii="宋体" w:hAnsi="宋体" w:cs="宋体"/>
          <w:b/>
          <w:bCs/>
          <w:sz w:val="24"/>
        </w:rPr>
        <w:t>日</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9 </w:t>
      </w:r>
      <w:r>
        <w:rPr>
          <w:rFonts w:hint="eastAsia" w:ascii="宋体" w:hAnsi="宋体" w:cs="宋体"/>
          <w:b/>
          <w:bCs/>
          <w:sz w:val="24"/>
        </w:rPr>
        <w:t>时</w:t>
      </w:r>
      <w:r>
        <w:rPr>
          <w:rFonts w:hint="eastAsia" w:ascii="宋体" w:hAnsi="宋体" w:cs="宋体"/>
          <w:b/>
          <w:bCs/>
          <w:sz w:val="24"/>
          <w:u w:val="single"/>
        </w:rPr>
        <w:t xml:space="preserve"> 30 </w:t>
      </w:r>
      <w:r>
        <w:rPr>
          <w:rFonts w:hint="eastAsia" w:ascii="宋体" w:hAnsi="宋体" w:cs="宋体"/>
          <w:b/>
          <w:bCs/>
          <w:sz w:val="24"/>
        </w:rPr>
        <w:t>分</w:t>
      </w:r>
      <w:r>
        <w:rPr>
          <w:rFonts w:hint="eastAsia" w:ascii="宋体" w:hAnsi="宋体" w:cs="宋体"/>
          <w:sz w:val="24"/>
        </w:rPr>
        <w:t>前，准时到</w:t>
      </w:r>
      <w:r>
        <w:rPr>
          <w:rFonts w:hint="eastAsia" w:ascii="宋体" w:hAnsi="宋体" w:cs="宋体"/>
          <w:sz w:val="24"/>
          <w:u w:val="single"/>
        </w:rPr>
        <w:t>西安市明光路166号凯瑞E座803室</w:t>
      </w:r>
      <w:r>
        <w:rPr>
          <w:rFonts w:hint="eastAsia" w:ascii="宋体" w:hAnsi="宋体" w:cs="宋体"/>
          <w:sz w:val="24"/>
        </w:rPr>
        <w:t>递交投标文件并参加开标，避免迟误。</w:t>
      </w:r>
    </w:p>
    <w:p>
      <w:pPr>
        <w:spacing w:line="360" w:lineRule="auto"/>
        <w:rPr>
          <w:rFonts w:ascii="宋体" w:hAnsi="宋体" w:cs="宋体"/>
          <w:sz w:val="24"/>
        </w:rPr>
      </w:pPr>
      <w:r>
        <w:rPr>
          <w:rFonts w:hint="eastAsia" w:ascii="宋体" w:hAnsi="宋体" w:cs="宋体"/>
          <w:sz w:val="24"/>
        </w:rPr>
        <w:t>6、请您不要忘记随身携带招标文件要求提供的其他备查文件原件和证书。</w:t>
      </w:r>
    </w:p>
    <w:p>
      <w:pPr>
        <w:spacing w:line="360" w:lineRule="auto"/>
        <w:rPr>
          <w:rFonts w:ascii="宋体" w:hAnsi="宋体" w:cs="宋体"/>
          <w:sz w:val="24"/>
        </w:rPr>
      </w:pPr>
      <w:r>
        <w:rPr>
          <w:rFonts w:hint="eastAsia" w:ascii="宋体" w:hAnsi="宋体" w:cs="宋体"/>
          <w:sz w:val="24"/>
        </w:rPr>
        <w:t>7、请您到达开标地点后及时到签到处签字登记。</w:t>
      </w:r>
    </w:p>
    <w:p>
      <w:pPr>
        <w:spacing w:line="360" w:lineRule="auto"/>
        <w:rPr>
          <w:rFonts w:ascii="宋体" w:hAnsi="宋体" w:cs="宋体"/>
          <w:b/>
          <w:bCs/>
          <w:sz w:val="24"/>
        </w:rPr>
      </w:pPr>
      <w:r>
        <w:rPr>
          <w:rFonts w:hint="eastAsia" w:ascii="宋体" w:hAnsi="宋体" w:cs="宋体"/>
          <w:b/>
          <w:bCs/>
          <w:sz w:val="24"/>
        </w:rPr>
        <w:t>8、关于供应商注册登记提醒：</w:t>
      </w:r>
    </w:p>
    <w:p>
      <w:pPr>
        <w:spacing w:line="360" w:lineRule="auto"/>
        <w:ind w:firstLine="482" w:firstLineChars="200"/>
        <w:rPr>
          <w:rFonts w:ascii="宋体" w:hAnsi="宋体" w:cs="宋体"/>
          <w:b/>
          <w:bCs/>
          <w:sz w:val="24"/>
        </w:rPr>
      </w:pPr>
      <w:r>
        <w:rPr>
          <w:rFonts w:hint="eastAsia" w:ascii="宋体" w:hAnsi="宋体" w:cs="宋体"/>
          <w:b/>
          <w:bCs/>
          <w:sz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360" w:lineRule="auto"/>
        <w:ind w:firstLine="480" w:firstLineChars="200"/>
        <w:rPr>
          <w:rFonts w:ascii="宋体" w:hAnsi="宋体" w:cs="宋体"/>
          <w:sz w:val="24"/>
        </w:rPr>
      </w:pPr>
      <w:r>
        <w:rPr>
          <w:rFonts w:hint="eastAsia" w:ascii="宋体" w:hAnsi="宋体" w:cs="宋体"/>
          <w:sz w:val="24"/>
        </w:rPr>
        <w:t>谨记上述提示，将有助您顺利地参加投标。若有什么需要帮助，请您与我们的工作人员联系，我们将非常高兴地为您服务。</w:t>
      </w:r>
    </w:p>
    <w:p>
      <w:pPr>
        <w:spacing w:line="360" w:lineRule="auto"/>
        <w:rPr>
          <w:rFonts w:ascii="宋体" w:hAnsi="宋体" w:cs="宋体"/>
          <w:b/>
          <w:bCs/>
          <w:sz w:val="24"/>
        </w:rPr>
      </w:pPr>
      <w:r>
        <w:rPr>
          <w:rFonts w:hint="eastAsia" w:ascii="宋体" w:hAnsi="宋体" w:cs="宋体"/>
          <w:b/>
          <w:bCs/>
          <w:sz w:val="24"/>
        </w:rPr>
        <w:t>9、请将委托代理服务费汇至下列指定账户，咨询服务费到账情况请致电财务：17349033753。</w:t>
      </w:r>
    </w:p>
    <w:p>
      <w:pPr>
        <w:spacing w:line="360" w:lineRule="auto"/>
        <w:ind w:firstLine="480" w:firstLineChars="200"/>
        <w:rPr>
          <w:rFonts w:ascii="宋体" w:hAnsi="宋体" w:cs="宋体"/>
          <w:sz w:val="24"/>
        </w:rPr>
      </w:pPr>
      <w:r>
        <w:rPr>
          <w:rFonts w:hint="eastAsia" w:ascii="宋体" w:hAnsi="宋体" w:cs="宋体"/>
          <w:sz w:val="24"/>
        </w:rPr>
        <w:t>开户名称：腾德工程咨询有限公司</w:t>
      </w:r>
    </w:p>
    <w:p>
      <w:pPr>
        <w:spacing w:line="360" w:lineRule="auto"/>
        <w:ind w:firstLine="480" w:firstLineChars="200"/>
        <w:rPr>
          <w:rFonts w:ascii="宋体" w:hAnsi="宋体" w:cs="宋体"/>
          <w:sz w:val="24"/>
        </w:rPr>
      </w:pPr>
      <w:r>
        <w:rPr>
          <w:rFonts w:hint="eastAsia" w:ascii="宋体" w:hAnsi="宋体" w:cs="宋体"/>
          <w:sz w:val="24"/>
        </w:rPr>
        <w:t>开 户 行：中国光大银行股份有限公司西安凤城九路支行</w:t>
      </w:r>
    </w:p>
    <w:p>
      <w:pPr>
        <w:spacing w:line="360" w:lineRule="auto"/>
        <w:ind w:firstLine="480" w:firstLineChars="200"/>
        <w:rPr>
          <w:rFonts w:ascii="宋体" w:hAnsi="宋体" w:cs="宋体"/>
          <w:sz w:val="24"/>
        </w:rPr>
      </w:pPr>
      <w:r>
        <w:rPr>
          <w:rFonts w:hint="eastAsia" w:ascii="宋体" w:hAnsi="宋体" w:cs="宋体"/>
          <w:sz w:val="24"/>
        </w:rPr>
        <w:t xml:space="preserve">账    号：79260188000034793 </w:t>
      </w:r>
    </w:p>
    <w:p>
      <w:pPr>
        <w:spacing w:line="360" w:lineRule="auto"/>
        <w:rPr>
          <w:rFonts w:ascii="宋体" w:hAnsi="宋体" w:cs="宋体"/>
          <w:b/>
          <w:bCs/>
          <w:sz w:val="24"/>
        </w:rPr>
      </w:pPr>
      <w:r>
        <w:rPr>
          <w:rFonts w:hint="eastAsia" w:ascii="宋体" w:hAnsi="宋体" w:cs="宋体"/>
          <w:b/>
          <w:bCs/>
          <w:sz w:val="24"/>
        </w:rPr>
        <w:t>领取招标文件后，请仔细阅读，特别注意粗体部分，如有疑问，请来电咨询。</w:t>
      </w:r>
    </w:p>
    <w:p>
      <w:pPr>
        <w:spacing w:line="360" w:lineRule="auto"/>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44"/>
          <w:szCs w:val="44"/>
        </w:rPr>
        <w:t>目  录</w:t>
      </w:r>
    </w:p>
    <w:p>
      <w:pPr>
        <w:jc w:val="center"/>
        <w:rPr>
          <w:rFonts w:ascii="宋体" w:hAnsi="宋体" w:cs="宋体"/>
          <w:sz w:val="28"/>
          <w:szCs w:val="28"/>
        </w:rPr>
      </w:pPr>
    </w:p>
    <w:p>
      <w:pPr>
        <w:pStyle w:val="13"/>
        <w:widowControl/>
        <w:tabs>
          <w:tab w:val="right" w:leader="dot" w:pos="8732"/>
        </w:tabs>
        <w:spacing w:line="480" w:lineRule="auto"/>
        <w:rPr>
          <w:sz w:val="28"/>
          <w:szCs w:val="28"/>
        </w:rPr>
      </w:pPr>
      <w:r>
        <w:fldChar w:fldCharType="begin"/>
      </w:r>
      <w:r>
        <w:rPr>
          <w:rFonts w:hint="eastAsia" w:ascii="宋体" w:hAnsi="宋体" w:cs="宋体"/>
          <w:sz w:val="28"/>
          <w:szCs w:val="28"/>
        </w:rPr>
        <w:instrText xml:space="preserve">TOC \o "1-1" \h \u </w:instrText>
      </w:r>
      <w:r>
        <w:rPr>
          <w:rFonts w:ascii="宋体" w:hAnsi="宋体" w:cs="宋体"/>
          <w:sz w:val="28"/>
          <w:szCs w:val="28"/>
        </w:rPr>
        <w:fldChar w:fldCharType="separate"/>
      </w:r>
      <w:r>
        <w:fldChar w:fldCharType="begin"/>
      </w:r>
      <w:r>
        <w:instrText xml:space="preserve"> HYPERLINK "file:///E:\\赵露茹\\赵露茹2021\\腾德工程咨询\\西安体育中心\\三人制\\租赁\\西安城市运动公园三人制篮球比赛场地及配套用房租赁搭建服务-招标文件初稿8.11%20-%20副本.wps" \l "_Toc29015" </w:instrText>
      </w:r>
      <w:r>
        <w:fldChar w:fldCharType="separate"/>
      </w:r>
      <w:r>
        <w:rPr>
          <w:rStyle w:val="22"/>
          <w:rFonts w:hint="eastAsia" w:ascii="宋体" w:hAnsi="宋体" w:cs="宋体"/>
          <w:color w:val="auto"/>
          <w:sz w:val="28"/>
          <w:szCs w:val="28"/>
        </w:rPr>
        <w:t>第一章  招标公告</w:t>
      </w:r>
      <w:r>
        <w:rPr>
          <w:rStyle w:val="22"/>
          <w:color w:val="auto"/>
          <w:sz w:val="28"/>
          <w:szCs w:val="28"/>
        </w:rPr>
        <w:tab/>
      </w:r>
      <w:r>
        <w:fldChar w:fldCharType="begin"/>
      </w:r>
      <w:r>
        <w:rPr>
          <w:rStyle w:val="22"/>
          <w:color w:val="auto"/>
          <w:sz w:val="28"/>
          <w:szCs w:val="28"/>
        </w:rPr>
        <w:instrText xml:space="preserve"> PAGEREF _Toc29015 </w:instrText>
      </w:r>
      <w:r>
        <w:rPr>
          <w:sz w:val="28"/>
          <w:szCs w:val="28"/>
        </w:rPr>
        <w:fldChar w:fldCharType="separate"/>
      </w:r>
      <w:r>
        <w:rPr>
          <w:rStyle w:val="22"/>
          <w:color w:val="auto"/>
          <w:sz w:val="28"/>
          <w:szCs w:val="28"/>
        </w:rPr>
        <w:t>3</w:t>
      </w:r>
      <w:r>
        <w:fldChar w:fldCharType="end"/>
      </w:r>
      <w:r>
        <w:fldChar w:fldCharType="end"/>
      </w:r>
    </w:p>
    <w:p>
      <w:pPr>
        <w:pStyle w:val="13"/>
        <w:widowControl/>
        <w:tabs>
          <w:tab w:val="right" w:leader="dot" w:pos="8732"/>
        </w:tabs>
        <w:spacing w:line="480" w:lineRule="auto"/>
        <w:rPr>
          <w:sz w:val="28"/>
          <w:szCs w:val="28"/>
        </w:rPr>
      </w:pPr>
      <w:r>
        <w:fldChar w:fldCharType="begin"/>
      </w:r>
      <w:r>
        <w:instrText xml:space="preserve"> HYPERLINK "file:///E:\\赵露茹\\赵露茹2021\\腾德工程咨询\\西安体育中心\\三人制\\租赁\\西安城市运动公园三人制篮球比赛场地及配套用房租赁搭建服务-招标文件初稿8.11%20-%20副本.wps" \l "_Toc30286" </w:instrText>
      </w:r>
      <w:r>
        <w:fldChar w:fldCharType="separate"/>
      </w:r>
      <w:r>
        <w:rPr>
          <w:rStyle w:val="22"/>
          <w:rFonts w:hint="eastAsia" w:ascii="宋体" w:hAnsi="宋体" w:cs="宋体"/>
          <w:color w:val="auto"/>
          <w:sz w:val="28"/>
          <w:szCs w:val="28"/>
        </w:rPr>
        <w:t>第二章  投标人须知</w:t>
      </w:r>
      <w:r>
        <w:rPr>
          <w:rStyle w:val="22"/>
          <w:color w:val="auto"/>
          <w:sz w:val="28"/>
          <w:szCs w:val="28"/>
        </w:rPr>
        <w:tab/>
      </w:r>
      <w:r>
        <w:fldChar w:fldCharType="begin"/>
      </w:r>
      <w:r>
        <w:rPr>
          <w:rStyle w:val="22"/>
          <w:color w:val="auto"/>
          <w:sz w:val="28"/>
          <w:szCs w:val="28"/>
        </w:rPr>
        <w:instrText xml:space="preserve"> PAGEREF _Toc30286 </w:instrText>
      </w:r>
      <w:r>
        <w:rPr>
          <w:sz w:val="28"/>
          <w:szCs w:val="28"/>
        </w:rPr>
        <w:fldChar w:fldCharType="separate"/>
      </w:r>
      <w:r>
        <w:rPr>
          <w:rStyle w:val="22"/>
          <w:color w:val="auto"/>
          <w:sz w:val="28"/>
          <w:szCs w:val="28"/>
        </w:rPr>
        <w:t>6</w:t>
      </w:r>
      <w:r>
        <w:fldChar w:fldCharType="end"/>
      </w:r>
      <w:r>
        <w:fldChar w:fldCharType="end"/>
      </w:r>
    </w:p>
    <w:p>
      <w:pPr>
        <w:pStyle w:val="13"/>
        <w:widowControl/>
        <w:tabs>
          <w:tab w:val="right" w:leader="dot" w:pos="8732"/>
        </w:tabs>
        <w:spacing w:line="480" w:lineRule="auto"/>
        <w:rPr>
          <w:sz w:val="28"/>
          <w:szCs w:val="28"/>
        </w:rPr>
      </w:pPr>
      <w:r>
        <w:fldChar w:fldCharType="begin"/>
      </w:r>
      <w:r>
        <w:instrText xml:space="preserve"> HYPERLINK "file:///E:\\赵露茹\\赵露茹2021\\腾德工程咨询\\西安体育中心\\三人制\\租赁\\西安城市运动公园三人制篮球比赛场地及配套用房租赁搭建服务-招标文件初稿8.11%20-%20副本.wps" \l "_Toc18131" </w:instrText>
      </w:r>
      <w:r>
        <w:fldChar w:fldCharType="separate"/>
      </w:r>
      <w:r>
        <w:rPr>
          <w:rStyle w:val="22"/>
          <w:rFonts w:hint="eastAsia" w:ascii="宋体" w:hAnsi="宋体" w:cs="宋体"/>
          <w:color w:val="auto"/>
          <w:sz w:val="28"/>
          <w:szCs w:val="28"/>
        </w:rPr>
        <w:t>第三章  评标办法</w:t>
      </w:r>
      <w:r>
        <w:rPr>
          <w:rStyle w:val="22"/>
          <w:color w:val="auto"/>
          <w:sz w:val="28"/>
          <w:szCs w:val="28"/>
        </w:rPr>
        <w:tab/>
      </w:r>
      <w:r>
        <w:fldChar w:fldCharType="begin"/>
      </w:r>
      <w:r>
        <w:rPr>
          <w:rStyle w:val="22"/>
          <w:color w:val="auto"/>
          <w:sz w:val="28"/>
          <w:szCs w:val="28"/>
        </w:rPr>
        <w:instrText xml:space="preserve"> PAGEREF _Toc18131 </w:instrText>
      </w:r>
      <w:r>
        <w:rPr>
          <w:sz w:val="28"/>
          <w:szCs w:val="28"/>
        </w:rPr>
        <w:fldChar w:fldCharType="separate"/>
      </w:r>
      <w:r>
        <w:rPr>
          <w:rStyle w:val="22"/>
          <w:color w:val="auto"/>
          <w:sz w:val="28"/>
          <w:szCs w:val="28"/>
        </w:rPr>
        <w:t>28</w:t>
      </w:r>
      <w:r>
        <w:fldChar w:fldCharType="end"/>
      </w:r>
      <w:r>
        <w:fldChar w:fldCharType="end"/>
      </w:r>
    </w:p>
    <w:p>
      <w:pPr>
        <w:pStyle w:val="13"/>
        <w:widowControl/>
        <w:tabs>
          <w:tab w:val="right" w:leader="dot" w:pos="8732"/>
        </w:tabs>
        <w:spacing w:line="480" w:lineRule="auto"/>
        <w:rPr>
          <w:sz w:val="28"/>
          <w:szCs w:val="28"/>
        </w:rPr>
      </w:pPr>
      <w:r>
        <w:fldChar w:fldCharType="begin"/>
      </w:r>
      <w:r>
        <w:instrText xml:space="preserve"> HYPERLINK "file:///E:\\赵露茹\\赵露茹2021\\腾德工程咨询\\西安体育中心\\三人制\\租赁\\西安城市运动公园三人制篮球比赛场地及配套用房租赁搭建服务-招标文件初稿8.11%20-%20副本.wps" \l "_Toc14967" </w:instrText>
      </w:r>
      <w:r>
        <w:fldChar w:fldCharType="separate"/>
      </w:r>
      <w:r>
        <w:rPr>
          <w:rStyle w:val="22"/>
          <w:rFonts w:hint="eastAsia" w:ascii="宋体" w:hAnsi="宋体" w:cs="宋体"/>
          <w:color w:val="auto"/>
          <w:sz w:val="28"/>
          <w:szCs w:val="28"/>
        </w:rPr>
        <w:t>第四章  采购内容及要求</w:t>
      </w:r>
      <w:r>
        <w:rPr>
          <w:rStyle w:val="22"/>
          <w:color w:val="auto"/>
          <w:sz w:val="28"/>
          <w:szCs w:val="28"/>
        </w:rPr>
        <w:tab/>
      </w:r>
      <w:r>
        <w:fldChar w:fldCharType="begin"/>
      </w:r>
      <w:r>
        <w:rPr>
          <w:rStyle w:val="22"/>
          <w:color w:val="auto"/>
          <w:sz w:val="28"/>
          <w:szCs w:val="28"/>
        </w:rPr>
        <w:instrText xml:space="preserve"> PAGEREF _Toc14967 </w:instrText>
      </w:r>
      <w:r>
        <w:rPr>
          <w:sz w:val="28"/>
          <w:szCs w:val="28"/>
        </w:rPr>
        <w:fldChar w:fldCharType="separate"/>
      </w:r>
      <w:r>
        <w:rPr>
          <w:rStyle w:val="22"/>
          <w:color w:val="auto"/>
          <w:sz w:val="28"/>
          <w:szCs w:val="28"/>
        </w:rPr>
        <w:t>38</w:t>
      </w:r>
      <w:r>
        <w:fldChar w:fldCharType="end"/>
      </w:r>
      <w:r>
        <w:fldChar w:fldCharType="end"/>
      </w:r>
    </w:p>
    <w:p>
      <w:pPr>
        <w:pStyle w:val="13"/>
        <w:widowControl/>
        <w:tabs>
          <w:tab w:val="right" w:leader="dot" w:pos="8732"/>
        </w:tabs>
        <w:spacing w:line="480" w:lineRule="auto"/>
        <w:rPr>
          <w:sz w:val="28"/>
          <w:szCs w:val="28"/>
        </w:rPr>
      </w:pPr>
      <w:r>
        <w:fldChar w:fldCharType="begin"/>
      </w:r>
      <w:r>
        <w:instrText xml:space="preserve"> HYPERLINK "file:///E:\\赵露茹\\赵露茹2021\\腾德工程咨询\\西安体育中心\\三人制\\租赁\\西安城市运动公园三人制篮球比赛场地及配套用房租赁搭建服务-招标文件初稿8.11%20-%20副本.wps" \l "_Toc3275" </w:instrText>
      </w:r>
      <w:r>
        <w:fldChar w:fldCharType="separate"/>
      </w:r>
      <w:r>
        <w:rPr>
          <w:rStyle w:val="22"/>
          <w:rFonts w:hint="eastAsia" w:ascii="宋体" w:hAnsi="宋体" w:cs="宋体"/>
          <w:color w:val="auto"/>
          <w:sz w:val="28"/>
          <w:szCs w:val="28"/>
        </w:rPr>
        <w:t>第五章  合同条款及格式</w:t>
      </w:r>
      <w:r>
        <w:rPr>
          <w:rStyle w:val="22"/>
          <w:color w:val="auto"/>
          <w:sz w:val="28"/>
          <w:szCs w:val="28"/>
        </w:rPr>
        <w:tab/>
      </w:r>
      <w:r>
        <w:fldChar w:fldCharType="begin"/>
      </w:r>
      <w:r>
        <w:rPr>
          <w:rStyle w:val="22"/>
          <w:color w:val="auto"/>
          <w:sz w:val="28"/>
          <w:szCs w:val="28"/>
        </w:rPr>
        <w:instrText xml:space="preserve"> PAGEREF _Toc3275 </w:instrText>
      </w:r>
      <w:r>
        <w:rPr>
          <w:sz w:val="28"/>
          <w:szCs w:val="28"/>
        </w:rPr>
        <w:fldChar w:fldCharType="separate"/>
      </w:r>
      <w:r>
        <w:rPr>
          <w:rStyle w:val="22"/>
          <w:color w:val="auto"/>
          <w:sz w:val="28"/>
          <w:szCs w:val="28"/>
        </w:rPr>
        <w:t>50</w:t>
      </w:r>
      <w:r>
        <w:fldChar w:fldCharType="end"/>
      </w:r>
      <w:r>
        <w:fldChar w:fldCharType="end"/>
      </w:r>
    </w:p>
    <w:p>
      <w:pPr>
        <w:pStyle w:val="13"/>
        <w:widowControl/>
        <w:tabs>
          <w:tab w:val="right" w:leader="dot" w:pos="8732"/>
        </w:tabs>
        <w:spacing w:line="480" w:lineRule="auto"/>
      </w:pPr>
      <w:r>
        <w:fldChar w:fldCharType="begin"/>
      </w:r>
      <w:r>
        <w:instrText xml:space="preserve"> HYPERLINK "file:///E:\\赵露茹\\赵露茹2021\\腾德工程咨询\\西安体育中心\\三人制\\租赁\\西安城市运动公园三人制篮球比赛场地及配套用房租赁搭建服务-招标文件初稿8.11%20-%20副本.wps" \l "_Toc5905" </w:instrText>
      </w:r>
      <w:r>
        <w:fldChar w:fldCharType="separate"/>
      </w:r>
      <w:r>
        <w:rPr>
          <w:rStyle w:val="22"/>
          <w:rFonts w:hint="eastAsia" w:ascii="宋体" w:hAnsi="宋体" w:cs="宋体"/>
          <w:color w:val="auto"/>
          <w:sz w:val="28"/>
          <w:szCs w:val="28"/>
        </w:rPr>
        <w:t>第六章  投标文件格式</w:t>
      </w:r>
      <w:r>
        <w:rPr>
          <w:rStyle w:val="22"/>
          <w:color w:val="auto"/>
          <w:sz w:val="28"/>
          <w:szCs w:val="28"/>
        </w:rPr>
        <w:tab/>
      </w:r>
      <w:r>
        <w:fldChar w:fldCharType="begin"/>
      </w:r>
      <w:r>
        <w:rPr>
          <w:rStyle w:val="22"/>
          <w:color w:val="auto"/>
          <w:sz w:val="28"/>
          <w:szCs w:val="28"/>
        </w:rPr>
        <w:instrText xml:space="preserve"> PAGEREF _Toc5905 </w:instrText>
      </w:r>
      <w:r>
        <w:rPr>
          <w:sz w:val="28"/>
          <w:szCs w:val="28"/>
        </w:rPr>
        <w:fldChar w:fldCharType="separate"/>
      </w:r>
      <w:r>
        <w:rPr>
          <w:rStyle w:val="22"/>
          <w:color w:val="auto"/>
          <w:sz w:val="28"/>
          <w:szCs w:val="28"/>
        </w:rPr>
        <w:t>5</w:t>
      </w:r>
      <w:r>
        <w:rPr>
          <w:rStyle w:val="22"/>
          <w:rFonts w:hint="eastAsia"/>
          <w:color w:val="auto"/>
          <w:sz w:val="28"/>
          <w:szCs w:val="28"/>
        </w:rPr>
        <w:t>6</w:t>
      </w:r>
      <w:r>
        <w:fldChar w:fldCharType="end"/>
      </w:r>
      <w:r>
        <w:fldChar w:fldCharType="end"/>
      </w:r>
    </w:p>
    <w:p>
      <w:pPr>
        <w:pStyle w:val="13"/>
        <w:widowControl/>
        <w:tabs>
          <w:tab w:val="right" w:leader="dot" w:pos="8787"/>
        </w:tabs>
        <w:spacing w:before="0" w:after="0" w:line="480" w:lineRule="auto"/>
        <w:rPr>
          <w:rFonts w:ascii="宋体" w:hAnsi="宋体" w:cs="宋体"/>
          <w:sz w:val="24"/>
          <w:szCs w:val="24"/>
        </w:rPr>
      </w:pPr>
      <w:r>
        <w:fldChar w:fldCharType="end"/>
      </w:r>
    </w:p>
    <w:p>
      <w:pPr>
        <w:rPr>
          <w:rFonts w:ascii="宋体" w:hAnsi="宋体" w:cs="宋体"/>
        </w:rPr>
      </w:pPr>
    </w:p>
    <w:p>
      <w:pPr>
        <w:rPr>
          <w:rFonts w:ascii="宋体" w:hAnsi="宋体" w:cs="宋体"/>
          <w:sz w:val="36"/>
          <w:szCs w:val="36"/>
        </w:rPr>
      </w:pPr>
      <w:r>
        <w:rPr>
          <w:rFonts w:hint="eastAsia" w:ascii="宋体" w:hAnsi="宋体" w:cs="宋体"/>
          <w:sz w:val="36"/>
          <w:szCs w:val="36"/>
        </w:rPr>
        <w:t xml:space="preserve"> </w:t>
      </w:r>
    </w:p>
    <w:p>
      <w:pPr>
        <w:rPr>
          <w:rFonts w:ascii="宋体" w:hAnsi="宋体" w:cs="宋体"/>
          <w:sz w:val="36"/>
          <w:szCs w:val="36"/>
        </w:rPr>
      </w:pPr>
    </w:p>
    <w:p>
      <w:pPr>
        <w:rPr>
          <w:rFonts w:ascii="宋体" w:hAnsi="宋体" w:cs="宋体"/>
          <w:sz w:val="36"/>
          <w:szCs w:val="36"/>
        </w:rPr>
      </w:pPr>
    </w:p>
    <w:p>
      <w:pPr>
        <w:rPr>
          <w:rFonts w:ascii="宋体" w:hAnsi="宋体" w:cs="宋体"/>
          <w:sz w:val="36"/>
          <w:szCs w:val="36"/>
        </w:rPr>
      </w:pPr>
    </w:p>
    <w:p>
      <w:pPr>
        <w:rPr>
          <w:rFonts w:ascii="宋体" w:hAnsi="宋体" w:cs="宋体"/>
          <w:sz w:val="36"/>
          <w:szCs w:val="36"/>
        </w:rPr>
      </w:pPr>
    </w:p>
    <w:p>
      <w:pPr>
        <w:rPr>
          <w:rFonts w:ascii="宋体" w:hAnsi="宋体" w:cs="宋体"/>
          <w:sz w:val="36"/>
          <w:szCs w:val="36"/>
        </w:rPr>
      </w:pPr>
    </w:p>
    <w:p>
      <w:pPr>
        <w:pStyle w:val="7"/>
        <w:widowControl/>
        <w:rPr>
          <w:rFonts w:ascii="宋体" w:hAnsi="宋体" w:cs="宋体"/>
        </w:rPr>
      </w:pPr>
    </w:p>
    <w:p>
      <w:pPr>
        <w:rPr>
          <w:rFonts w:ascii="宋体" w:hAnsi="宋体" w:cs="宋体"/>
          <w:sz w:val="36"/>
          <w:szCs w:val="36"/>
        </w:rPr>
      </w:pPr>
    </w:p>
    <w:bookmarkEnd w:id="0"/>
    <w:bookmarkEnd w:id="1"/>
    <w:bookmarkEnd w:id="2"/>
    <w:bookmarkEnd w:id="3"/>
    <w:bookmarkEnd w:id="4"/>
    <w:bookmarkEnd w:id="5"/>
    <w:bookmarkEnd w:id="6"/>
    <w:bookmarkEnd w:id="7"/>
    <w:p>
      <w:pPr>
        <w:widowControl/>
        <w:spacing w:line="360" w:lineRule="auto"/>
        <w:ind w:firstLine="482" w:firstLineChars="150"/>
        <w:jc w:val="center"/>
        <w:rPr>
          <w:rFonts w:ascii="宋体" w:hAnsi="宋体" w:cs="宋体"/>
          <w:b/>
          <w:bCs/>
          <w:sz w:val="32"/>
          <w:szCs w:val="32"/>
        </w:rPr>
      </w:pPr>
      <w:bookmarkStart w:id="9" w:name="_Toc452384741"/>
      <w:bookmarkStart w:id="10" w:name="_Toc2360"/>
      <w:bookmarkStart w:id="11" w:name="_Toc31186"/>
    </w:p>
    <w:p>
      <w:pPr>
        <w:pStyle w:val="15"/>
        <w:widowControl/>
        <w:ind w:firstLine="210"/>
      </w:pPr>
    </w:p>
    <w:p>
      <w:pPr>
        <w:spacing w:line="360" w:lineRule="auto"/>
        <w:jc w:val="center"/>
        <w:rPr>
          <w:rFonts w:ascii="宋体" w:hAnsi="宋体" w:cs="宋体"/>
          <w:sz w:val="24"/>
        </w:rPr>
      </w:pPr>
      <w:r>
        <w:rPr>
          <w:rFonts w:hint="eastAsia" w:ascii="宋体" w:hAnsi="宋体"/>
          <w:b/>
          <w:bCs/>
          <w:sz w:val="24"/>
        </w:rPr>
        <w:br w:type="page"/>
      </w:r>
      <w:bookmarkStart w:id="12" w:name="_Toc20109"/>
      <w:bookmarkStart w:id="13" w:name="_Toc29015"/>
      <w:bookmarkStart w:id="14" w:name="_Toc25868"/>
      <w:r>
        <w:rPr>
          <w:rFonts w:hint="eastAsia" w:ascii="宋体" w:hAnsi="宋体" w:cs="宋体"/>
          <w:b/>
          <w:bCs/>
          <w:sz w:val="24"/>
        </w:rPr>
        <w:t>第一章  招标公告</w:t>
      </w:r>
      <w:r>
        <w:rPr>
          <w:rFonts w:hint="eastAsia" w:ascii="宋体" w:hAnsi="宋体" w:cs="宋体"/>
          <w:sz w:val="24"/>
        </w:rPr>
        <w:t xml:space="preserve">  </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陕西省高速公路收费中心联网收费系统业务支撑平台资源扩充采购项目潜在的投标人可在西安市明光路166号凯瑞E座803室获取采购文件，并于2021-</w:t>
      </w:r>
      <w:r>
        <w:rPr>
          <w:rFonts w:hint="eastAsia"/>
          <w:b w:val="0"/>
          <w:bCs w:val="0"/>
          <w:sz w:val="24"/>
          <w:szCs w:val="20"/>
          <w:lang w:val="en-US" w:eastAsia="zh-CN"/>
        </w:rPr>
        <w:t>10</w:t>
      </w:r>
      <w:r>
        <w:rPr>
          <w:b w:val="0"/>
          <w:bCs w:val="0"/>
          <w:sz w:val="24"/>
          <w:szCs w:val="20"/>
        </w:rPr>
        <w:t>-</w:t>
      </w:r>
      <w:r>
        <w:rPr>
          <w:rFonts w:hint="eastAsia"/>
          <w:b w:val="0"/>
          <w:bCs w:val="0"/>
          <w:sz w:val="24"/>
          <w:szCs w:val="20"/>
          <w:lang w:val="en-US" w:eastAsia="zh-CN"/>
        </w:rPr>
        <w:t>0</w:t>
      </w:r>
      <w:r>
        <w:rPr>
          <w:b w:val="0"/>
          <w:bCs w:val="0"/>
          <w:sz w:val="24"/>
          <w:szCs w:val="20"/>
        </w:rPr>
        <w:t xml:space="preserve">9 </w:t>
      </w:r>
      <w:r>
        <w:rPr>
          <w:rFonts w:hint="eastAsia"/>
          <w:b w:val="0"/>
          <w:bCs w:val="0"/>
          <w:sz w:val="24"/>
          <w:szCs w:val="20"/>
          <w:lang w:val="en-US" w:eastAsia="zh-CN"/>
        </w:rPr>
        <w:t>9</w:t>
      </w:r>
      <w:r>
        <w:rPr>
          <w:b w:val="0"/>
          <w:bCs w:val="0"/>
          <w:sz w:val="24"/>
          <w:szCs w:val="20"/>
        </w:rPr>
        <w:t>:30:00前递交投标文件。</w:t>
      </w:r>
    </w:p>
    <w:p>
      <w:pPr>
        <w:pStyle w:val="47"/>
        <w:adjustRightInd w:val="0"/>
        <w:snapToGrid w:val="0"/>
        <w:spacing w:before="0" w:line="360" w:lineRule="auto"/>
        <w:rPr>
          <w:rFonts w:hint="default"/>
          <w:sz w:val="24"/>
          <w:szCs w:val="20"/>
        </w:rPr>
      </w:pPr>
      <w:r>
        <w:rPr>
          <w:sz w:val="24"/>
          <w:szCs w:val="20"/>
        </w:rPr>
        <w:t>一、项目基本信息</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1、项目编号： SXTD-ZB2021-1062</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2、项目名称：陕西省高速公路收费中心联网收费系统业务支撑平台资源扩充采购项目</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3、预算金额：6,764,700.00</w:t>
      </w:r>
      <w:r>
        <w:rPr>
          <w:b w:val="0"/>
          <w:bCs w:val="0"/>
          <w:color w:val="333333"/>
          <w:sz w:val="24"/>
        </w:rPr>
        <w:t>元</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 xml:space="preserve">4、最高限价：6,764,700.00元； </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5、采购需求：</w:t>
      </w:r>
    </w:p>
    <w:p>
      <w:pPr>
        <w:pStyle w:val="47"/>
        <w:adjustRightInd w:val="0"/>
        <w:snapToGrid w:val="0"/>
        <w:spacing w:before="0" w:line="360" w:lineRule="auto"/>
        <w:ind w:firstLine="480" w:firstLineChars="200"/>
        <w:rPr>
          <w:rFonts w:hint="default" w:cs="宋体"/>
          <w:b w:val="0"/>
          <w:bCs w:val="0"/>
          <w:sz w:val="24"/>
          <w:szCs w:val="20"/>
        </w:rPr>
      </w:pPr>
      <w:r>
        <w:rPr>
          <w:b w:val="0"/>
          <w:bCs w:val="0"/>
          <w:sz w:val="24"/>
          <w:szCs w:val="20"/>
        </w:rPr>
        <w:t>陕西省高速公路收费中心联网收费系统业务支撑平台资源扩充采购项目, 1 项，项目概</w:t>
      </w:r>
      <w:r>
        <w:rPr>
          <w:rFonts w:cs="宋体"/>
          <w:b w:val="0"/>
          <w:bCs w:val="0"/>
          <w:sz w:val="24"/>
          <w:szCs w:val="20"/>
        </w:rPr>
        <w:t>况：①扩容内容包含：业务基础支撑平台扩容、同步分区负载平台建设及数据交换共享平台建设；②平台运维服务包含：远程支持服务、备件支持服务及现场支持服务；③平台培训服务（具体详见招标文件）。简要技术要求、用途：联网收费系统业务支撑平台资源扩充。</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6、合同履行期限：2021-10-</w:t>
      </w:r>
      <w:r>
        <w:rPr>
          <w:rFonts w:hint="eastAsia"/>
          <w:b w:val="0"/>
          <w:bCs w:val="0"/>
          <w:sz w:val="24"/>
          <w:szCs w:val="20"/>
          <w:lang w:val="en-US" w:eastAsia="zh-CN"/>
        </w:rPr>
        <w:t>16</w:t>
      </w:r>
      <w:r>
        <w:rPr>
          <w:b w:val="0"/>
          <w:bCs w:val="0"/>
          <w:sz w:val="24"/>
          <w:szCs w:val="20"/>
        </w:rPr>
        <w:t xml:space="preserve"> 09:00:00 至 2021-11-</w:t>
      </w:r>
      <w:r>
        <w:rPr>
          <w:rFonts w:hint="eastAsia"/>
          <w:b w:val="0"/>
          <w:bCs w:val="0"/>
          <w:sz w:val="24"/>
          <w:szCs w:val="20"/>
          <w:lang w:val="en-US" w:eastAsia="zh-CN"/>
        </w:rPr>
        <w:t>14</w:t>
      </w:r>
      <w:r>
        <w:rPr>
          <w:b w:val="0"/>
          <w:bCs w:val="0"/>
          <w:sz w:val="24"/>
          <w:szCs w:val="20"/>
        </w:rPr>
        <w:t xml:space="preserve"> 17:00:00（具体服务起止日期可随合同签订时间相应顺延）</w:t>
      </w:r>
    </w:p>
    <w:p>
      <w:pPr>
        <w:pStyle w:val="47"/>
        <w:adjustRightInd w:val="0"/>
        <w:snapToGrid w:val="0"/>
        <w:spacing w:before="0" w:line="360" w:lineRule="auto"/>
        <w:ind w:firstLine="480" w:firstLineChars="200"/>
        <w:rPr>
          <w:rFonts w:hint="default"/>
          <w:b w:val="0"/>
          <w:bCs w:val="0"/>
          <w:sz w:val="24"/>
          <w:szCs w:val="20"/>
        </w:rPr>
      </w:pPr>
      <w:r>
        <w:rPr>
          <w:b w:val="0"/>
          <w:bCs w:val="0"/>
          <w:sz w:val="24"/>
          <w:szCs w:val="20"/>
        </w:rPr>
        <w:t>7、本项目是否接受联合体投标：否</w:t>
      </w:r>
    </w:p>
    <w:p>
      <w:pPr>
        <w:pStyle w:val="47"/>
        <w:adjustRightInd w:val="0"/>
        <w:snapToGrid w:val="0"/>
        <w:spacing w:before="0" w:line="360" w:lineRule="auto"/>
        <w:rPr>
          <w:rFonts w:hint="default"/>
          <w:sz w:val="24"/>
          <w:szCs w:val="24"/>
        </w:rPr>
      </w:pPr>
      <w:r>
        <w:rPr>
          <w:sz w:val="24"/>
          <w:szCs w:val="24"/>
        </w:rPr>
        <w:t>二、投标人的资格要求：</w:t>
      </w:r>
    </w:p>
    <w:p>
      <w:pPr>
        <w:widowControl/>
        <w:shd w:val="clear" w:color="auto" w:fill="FFFFFF"/>
        <w:adjustRightInd w:val="0"/>
        <w:snapToGrid w:val="0"/>
        <w:spacing w:line="360" w:lineRule="auto"/>
        <w:ind w:firstLine="480"/>
        <w:jc w:val="left"/>
        <w:rPr>
          <w:rFonts w:ascii="宋体" w:hAnsi="宋体" w:cs="宋体"/>
          <w:b/>
          <w:bCs/>
          <w:kern w:val="0"/>
          <w:sz w:val="24"/>
          <w:szCs w:val="20"/>
          <w:shd w:val="clear" w:color="auto" w:fill="FFFFFF"/>
        </w:rPr>
      </w:pPr>
      <w:r>
        <w:rPr>
          <w:rFonts w:hint="eastAsia" w:ascii="宋体" w:hAnsi="宋体" w:cs="宋体"/>
          <w:b/>
          <w:bCs/>
          <w:kern w:val="0"/>
          <w:sz w:val="24"/>
          <w:szCs w:val="20"/>
          <w:shd w:val="clear" w:color="auto" w:fill="FFFFFF"/>
        </w:rPr>
        <w:t>1、满足《中华人民共和国政府采购法》第二十二条规定；</w:t>
      </w:r>
    </w:p>
    <w:p>
      <w:pPr>
        <w:widowControl/>
        <w:shd w:val="clear" w:color="auto" w:fill="FFFFFF"/>
        <w:adjustRightInd w:val="0"/>
        <w:snapToGrid w:val="0"/>
        <w:spacing w:line="360" w:lineRule="auto"/>
        <w:ind w:firstLine="480"/>
        <w:jc w:val="left"/>
        <w:rPr>
          <w:rFonts w:ascii="宋体" w:hAnsi="宋体" w:cs="宋体"/>
          <w:kern w:val="0"/>
          <w:sz w:val="24"/>
          <w:szCs w:val="20"/>
          <w:shd w:val="clear" w:color="auto" w:fill="FFFFFF"/>
        </w:rPr>
      </w:pPr>
      <w:r>
        <w:rPr>
          <w:rFonts w:hint="eastAsia" w:ascii="宋体" w:hAnsi="宋体" w:cs="宋体"/>
          <w:b/>
          <w:bCs/>
          <w:kern w:val="0"/>
          <w:sz w:val="24"/>
          <w:szCs w:val="20"/>
          <w:shd w:val="clear" w:color="auto" w:fill="FFFFFF"/>
        </w:rPr>
        <w:t>2、落实的政府采购政策满足的资格要求：</w:t>
      </w:r>
      <w:r>
        <w:rPr>
          <w:rFonts w:hint="eastAsia" w:ascii="宋体" w:hAnsi="宋体" w:cs="宋体"/>
          <w:kern w:val="0"/>
          <w:sz w:val="24"/>
          <w:szCs w:val="20"/>
          <w:shd w:val="clear" w:color="auto" w:fill="FFFFFF"/>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市场监管总局关于调整优化节能产品、环境标志产品政府采购执行机制的通知》（财库〔2019〕9号）；⑦《财政部 国务院扶贫办关于运用政府采购政策支持脱贫攻坚的通知》（财库〔2019〕27号）；⑧《政府采购促进中小企业发展管理办法》（财库〔2020〕46号）；⑨《陕西省财政厅关于加快推进我省中小企业政府采购信用融资工作的通知》（陕财办采〔2020〕15号文件）及其他需要落实的政府采购政策。</w:t>
      </w:r>
    </w:p>
    <w:p>
      <w:pPr>
        <w:widowControl/>
        <w:shd w:val="clear" w:color="auto" w:fill="FFFFFF"/>
        <w:adjustRightInd w:val="0"/>
        <w:snapToGrid w:val="0"/>
        <w:spacing w:line="360" w:lineRule="auto"/>
        <w:ind w:firstLine="480"/>
        <w:jc w:val="left"/>
      </w:pPr>
      <w:r>
        <w:rPr>
          <w:rFonts w:hint="eastAsia" w:ascii="宋体" w:hAnsi="宋体" w:cs="宋体"/>
          <w:b/>
          <w:bCs/>
          <w:kern w:val="0"/>
          <w:sz w:val="24"/>
          <w:szCs w:val="20"/>
          <w:shd w:val="clear" w:color="auto" w:fill="FFFFFF"/>
        </w:rPr>
        <w:t>3、本项目的特定资格要求：</w:t>
      </w:r>
      <w:r>
        <w:rPr>
          <w:rFonts w:hint="eastAsia" w:ascii="宋体" w:hAnsi="宋体" w:cs="宋体"/>
          <w:kern w:val="0"/>
          <w:sz w:val="24"/>
          <w:szCs w:val="20"/>
          <w:shd w:val="clear" w:color="auto" w:fill="FFFFFF"/>
        </w:rPr>
        <w:t>①投标人须通过“信用中国”网站和“中国政府采购网”查询相关主体信用记录，对列入失信被执行人、重大税收违法案件当事人名单、政府采购严重违法失信行为记录名单及其他不符合《中华人民共和国政府采购法》第二十二条规定条件的采购代理机构将拒绝其参与本项目投标）；②单位负责人为同一人或者存在直接控股、管理关系的不同投标人，不得同时参加同一标项投标。③为本项目提供整体设计、规范编制或者项目管理、监理、检测等服务的投标人，不得再参加本项目投标。（备注：本项目不接受联合体投标）</w:t>
      </w:r>
    </w:p>
    <w:p>
      <w:pPr>
        <w:pStyle w:val="47"/>
        <w:adjustRightInd w:val="0"/>
        <w:snapToGrid w:val="0"/>
        <w:spacing w:before="0" w:line="360" w:lineRule="auto"/>
        <w:rPr>
          <w:rFonts w:hint="default"/>
          <w:sz w:val="24"/>
          <w:szCs w:val="24"/>
        </w:rPr>
      </w:pPr>
      <w:r>
        <w:rPr>
          <w:sz w:val="24"/>
          <w:szCs w:val="24"/>
        </w:rPr>
        <w:t>三、招标文件的获取方式</w:t>
      </w:r>
    </w:p>
    <w:p>
      <w:pPr>
        <w:widowControl/>
        <w:shd w:val="clear" w:color="auto" w:fill="FFFFFF"/>
        <w:adjustRightInd w:val="0"/>
        <w:snapToGrid w:val="0"/>
        <w:spacing w:line="360" w:lineRule="auto"/>
        <w:ind w:firstLine="480"/>
        <w:jc w:val="left"/>
        <w:rPr>
          <w:rFonts w:ascii="宋体" w:hAnsi="宋体" w:cs="宋体"/>
          <w:kern w:val="0"/>
          <w:sz w:val="24"/>
          <w:szCs w:val="21"/>
        </w:rPr>
      </w:pPr>
      <w:r>
        <w:rPr>
          <w:rFonts w:hint="eastAsia" w:ascii="宋体" w:hAnsi="宋体" w:cs="宋体"/>
          <w:kern w:val="0"/>
          <w:sz w:val="24"/>
          <w:szCs w:val="21"/>
        </w:rPr>
        <w:t>时间：即日起至2021-9-</w:t>
      </w:r>
      <w:r>
        <w:rPr>
          <w:rFonts w:hint="eastAsia" w:ascii="宋体" w:hAnsi="宋体" w:cs="宋体"/>
          <w:kern w:val="0"/>
          <w:sz w:val="24"/>
          <w:szCs w:val="21"/>
          <w:lang w:val="en-US" w:eastAsia="zh-CN"/>
        </w:rPr>
        <w:t>17</w:t>
      </w:r>
      <w:r>
        <w:rPr>
          <w:rFonts w:hint="eastAsia" w:ascii="宋体" w:hAnsi="宋体" w:cs="宋体"/>
          <w:kern w:val="0"/>
          <w:sz w:val="24"/>
          <w:szCs w:val="21"/>
        </w:rPr>
        <w:t xml:space="preserve"> 17:00:00 </w:t>
      </w:r>
    </w:p>
    <w:p>
      <w:pPr>
        <w:widowControl/>
        <w:shd w:val="clear" w:color="auto" w:fill="FFFFFF"/>
        <w:adjustRightInd w:val="0"/>
        <w:snapToGrid w:val="0"/>
        <w:spacing w:line="360" w:lineRule="auto"/>
        <w:ind w:firstLine="480"/>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地点：西安市明光路166号凯瑞E座803室。</w:t>
      </w:r>
    </w:p>
    <w:p>
      <w:pPr>
        <w:widowControl/>
        <w:shd w:val="clear" w:color="auto" w:fill="FFFFFF"/>
        <w:adjustRightInd w:val="0"/>
        <w:snapToGrid w:val="0"/>
        <w:spacing w:line="360" w:lineRule="auto"/>
        <w:ind w:firstLine="480"/>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方式：现场购买/邮寄</w:t>
      </w:r>
    </w:p>
    <w:p>
      <w:pPr>
        <w:widowControl/>
        <w:shd w:val="clear" w:color="auto" w:fill="FFFFFF"/>
        <w:adjustRightInd w:val="0"/>
        <w:snapToGrid w:val="0"/>
        <w:spacing w:line="360" w:lineRule="auto"/>
        <w:ind w:firstLine="480"/>
        <w:jc w:val="left"/>
        <w:rPr>
          <w:rFonts w:ascii="宋体" w:hAnsi="宋体" w:cs="宋体"/>
          <w:kern w:val="0"/>
          <w:sz w:val="24"/>
          <w:szCs w:val="20"/>
          <w:shd w:val="clear" w:color="auto" w:fill="FFFFFF"/>
        </w:rPr>
      </w:pPr>
      <w:r>
        <w:rPr>
          <w:rFonts w:hint="eastAsia" w:ascii="宋体" w:hAnsi="宋体" w:cs="宋体"/>
          <w:kern w:val="0"/>
          <w:sz w:val="24"/>
          <w:szCs w:val="20"/>
          <w:shd w:val="clear" w:color="auto" w:fill="FFFFFF"/>
        </w:rPr>
        <w:t>标书金额：免费赠送；</w:t>
      </w:r>
    </w:p>
    <w:p>
      <w:pPr>
        <w:widowControl/>
        <w:shd w:val="clear" w:color="auto" w:fill="FFFFFF"/>
        <w:adjustRightInd w:val="0"/>
        <w:snapToGrid w:val="0"/>
        <w:spacing w:line="360" w:lineRule="auto"/>
        <w:ind w:firstLine="480"/>
        <w:jc w:val="left"/>
        <w:rPr>
          <w:rFonts w:ascii="宋体" w:hAnsi="宋体" w:cs="宋体"/>
          <w:b/>
          <w:bCs/>
          <w:kern w:val="0"/>
          <w:sz w:val="24"/>
          <w:szCs w:val="21"/>
          <w:shd w:val="clear" w:color="auto" w:fill="FFFFFF"/>
        </w:rPr>
      </w:pPr>
      <w:r>
        <w:rPr>
          <w:rFonts w:hint="eastAsia" w:ascii="宋体" w:hAnsi="宋体" w:cs="宋体"/>
          <w:b/>
          <w:bCs/>
          <w:kern w:val="0"/>
          <w:sz w:val="24"/>
          <w:szCs w:val="21"/>
          <w:shd w:val="clear" w:color="auto" w:fill="FFFFFF"/>
        </w:rPr>
        <w:t>注：领取招标文件请携带合法有效的单位介绍信原件、经办人身份证原件及复印件加盖投标人公章。</w:t>
      </w:r>
    </w:p>
    <w:p>
      <w:pPr>
        <w:pStyle w:val="47"/>
        <w:adjustRightInd w:val="0"/>
        <w:snapToGrid w:val="0"/>
        <w:spacing w:before="0" w:line="360" w:lineRule="auto"/>
        <w:rPr>
          <w:rFonts w:hint="default"/>
          <w:sz w:val="24"/>
          <w:szCs w:val="24"/>
        </w:rPr>
      </w:pPr>
      <w:r>
        <w:rPr>
          <w:sz w:val="24"/>
          <w:szCs w:val="24"/>
        </w:rPr>
        <w:t xml:space="preserve">四、投标文件递交 </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截止时间：2021-</w:t>
      </w:r>
      <w:r>
        <w:rPr>
          <w:rFonts w:hint="eastAsia"/>
          <w:b w:val="0"/>
          <w:bCs w:val="0"/>
          <w:color w:val="333333"/>
          <w:sz w:val="24"/>
          <w:szCs w:val="24"/>
          <w:lang w:val="en-US" w:eastAsia="zh-CN"/>
        </w:rPr>
        <w:t>10</w:t>
      </w:r>
      <w:r>
        <w:rPr>
          <w:b w:val="0"/>
          <w:bCs w:val="0"/>
          <w:color w:val="333333"/>
          <w:sz w:val="24"/>
          <w:szCs w:val="24"/>
        </w:rPr>
        <w:t>-</w:t>
      </w:r>
      <w:r>
        <w:rPr>
          <w:rFonts w:hint="eastAsia"/>
          <w:b w:val="0"/>
          <w:bCs w:val="0"/>
          <w:color w:val="333333"/>
          <w:sz w:val="24"/>
          <w:szCs w:val="24"/>
          <w:lang w:val="en-US" w:eastAsia="zh-CN"/>
        </w:rPr>
        <w:t>0</w:t>
      </w:r>
      <w:r>
        <w:rPr>
          <w:b w:val="0"/>
          <w:bCs w:val="0"/>
          <w:color w:val="333333"/>
          <w:sz w:val="24"/>
          <w:szCs w:val="24"/>
        </w:rPr>
        <w:t xml:space="preserve">9 </w:t>
      </w:r>
      <w:r>
        <w:rPr>
          <w:rFonts w:hint="eastAsia"/>
          <w:b w:val="0"/>
          <w:bCs w:val="0"/>
          <w:color w:val="333333"/>
          <w:sz w:val="24"/>
          <w:szCs w:val="24"/>
          <w:lang w:val="en-US" w:eastAsia="zh-CN"/>
        </w:rPr>
        <w:t>9</w:t>
      </w:r>
      <w:r>
        <w:rPr>
          <w:b w:val="0"/>
          <w:bCs w:val="0"/>
          <w:color w:val="333333"/>
          <w:sz w:val="24"/>
          <w:szCs w:val="24"/>
        </w:rPr>
        <w:t>:30:00</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地点：西安市明光路166号凯瑞E座803室。</w:t>
      </w:r>
    </w:p>
    <w:p>
      <w:pPr>
        <w:pStyle w:val="47"/>
        <w:adjustRightInd w:val="0"/>
        <w:snapToGrid w:val="0"/>
        <w:spacing w:before="0" w:line="360" w:lineRule="auto"/>
        <w:rPr>
          <w:rFonts w:hint="default"/>
          <w:sz w:val="24"/>
          <w:szCs w:val="24"/>
        </w:rPr>
      </w:pPr>
      <w:r>
        <w:rPr>
          <w:sz w:val="24"/>
          <w:szCs w:val="24"/>
        </w:rPr>
        <w:t>五、公告期限</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自本公告发布之日起5个工作日</w:t>
      </w:r>
    </w:p>
    <w:p>
      <w:pPr>
        <w:pStyle w:val="47"/>
        <w:numPr>
          <w:ilvl w:val="0"/>
          <w:numId w:val="1"/>
        </w:numPr>
        <w:adjustRightInd w:val="0"/>
        <w:snapToGrid w:val="0"/>
        <w:spacing w:before="0" w:line="360" w:lineRule="auto"/>
        <w:rPr>
          <w:rFonts w:hint="default"/>
          <w:sz w:val="24"/>
          <w:szCs w:val="24"/>
        </w:rPr>
      </w:pPr>
      <w:r>
        <w:rPr>
          <w:sz w:val="24"/>
          <w:szCs w:val="24"/>
        </w:rPr>
        <w:t>其他补充事项</w:t>
      </w:r>
    </w:p>
    <w:p>
      <w:pPr>
        <w:pStyle w:val="47"/>
        <w:numPr>
          <w:ilvl w:val="0"/>
          <w:numId w:val="1"/>
        </w:numPr>
        <w:adjustRightInd w:val="0"/>
        <w:snapToGrid w:val="0"/>
        <w:spacing w:before="0" w:line="360" w:lineRule="auto"/>
        <w:rPr>
          <w:rFonts w:hint="default"/>
          <w:sz w:val="24"/>
          <w:szCs w:val="24"/>
        </w:rPr>
      </w:pPr>
      <w:r>
        <w:rPr>
          <w:sz w:val="24"/>
          <w:szCs w:val="24"/>
        </w:rPr>
        <w:t>对本次采购提出询问，请按以下方式联系。</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1、采购人信息：陕西省高速公路收费中心</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地址：西安市经开区未央路208号</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联系人：孙工</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电话：029-86531095</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2、项目联系方式</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项目联系人：赵工</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电 话：029-89293166</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传 真：029-89293166</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3、采购代理机构信息</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名称：腾德工程咨询有限公司</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联系地址：西安市明光路166号凯瑞E座803室</w:t>
      </w:r>
    </w:p>
    <w:p>
      <w:pPr>
        <w:pStyle w:val="47"/>
        <w:adjustRightInd w:val="0"/>
        <w:snapToGrid w:val="0"/>
        <w:spacing w:before="0" w:line="360" w:lineRule="auto"/>
        <w:ind w:firstLine="480" w:firstLineChars="200"/>
        <w:rPr>
          <w:rFonts w:hint="default"/>
          <w:b w:val="0"/>
          <w:bCs w:val="0"/>
          <w:color w:val="333333"/>
          <w:sz w:val="24"/>
          <w:szCs w:val="24"/>
        </w:rPr>
      </w:pPr>
      <w:r>
        <w:rPr>
          <w:b w:val="0"/>
          <w:bCs w:val="0"/>
          <w:color w:val="333333"/>
          <w:sz w:val="24"/>
          <w:szCs w:val="24"/>
        </w:rPr>
        <w:t>联系方式：</w:t>
      </w:r>
      <w:r>
        <w:fldChar w:fldCharType="begin"/>
      </w:r>
      <w:r>
        <w:instrText xml:space="preserve"> HYPERLINK "http://www.ccgp.gov.cn/agency/a_agencylist.html" \t "http://www.ccgp-shaanxi.gov.cn/notice/_blank" </w:instrText>
      </w:r>
      <w:r>
        <w:fldChar w:fldCharType="separate"/>
      </w:r>
      <w:r>
        <w:rPr>
          <w:rStyle w:val="22"/>
          <w:b w:val="0"/>
          <w:bCs w:val="0"/>
          <w:sz w:val="24"/>
          <w:szCs w:val="24"/>
        </w:rPr>
        <w:t>http://www.ccgp.gov.cn/agency/a_agencylist.html</w:t>
      </w:r>
      <w:r>
        <w:rPr>
          <w:rStyle w:val="22"/>
          <w:b w:val="0"/>
          <w:bCs w:val="0"/>
          <w:sz w:val="24"/>
          <w:szCs w:val="24"/>
        </w:rPr>
        <w:fldChar w:fldCharType="end"/>
      </w:r>
    </w:p>
    <w:p>
      <w:pPr>
        <w:pStyle w:val="47"/>
        <w:adjustRightInd w:val="0"/>
        <w:snapToGrid w:val="0"/>
        <w:spacing w:before="0" w:line="360" w:lineRule="auto"/>
        <w:rPr>
          <w:rFonts w:hint="default"/>
          <w:sz w:val="24"/>
          <w:szCs w:val="24"/>
        </w:rPr>
      </w:pPr>
    </w:p>
    <w:p>
      <w:pPr>
        <w:adjustRightInd w:val="0"/>
        <w:snapToGrid w:val="0"/>
        <w:spacing w:line="360" w:lineRule="auto"/>
        <w:jc w:val="right"/>
        <w:rPr>
          <w:rFonts w:ascii="宋体" w:hAnsi="宋体" w:cs="宋体"/>
          <w:sz w:val="24"/>
          <w:szCs w:val="21"/>
        </w:rPr>
      </w:pPr>
    </w:p>
    <w:p>
      <w:pPr>
        <w:adjustRightInd w:val="0"/>
        <w:snapToGrid w:val="0"/>
        <w:spacing w:line="360" w:lineRule="auto"/>
        <w:jc w:val="right"/>
        <w:rPr>
          <w:rFonts w:ascii="宋体" w:hAnsi="宋体" w:cs="宋体"/>
          <w:sz w:val="24"/>
          <w:szCs w:val="21"/>
        </w:rPr>
      </w:pPr>
      <w:r>
        <w:rPr>
          <w:rFonts w:hint="eastAsia" w:ascii="宋体" w:hAnsi="宋体" w:cs="宋体"/>
          <w:sz w:val="24"/>
          <w:szCs w:val="21"/>
        </w:rPr>
        <w:t>腾德工程咨询有限公司</w:t>
      </w:r>
    </w:p>
    <w:p>
      <w:pPr>
        <w:wordWrap w:val="0"/>
        <w:adjustRightInd w:val="0"/>
        <w:snapToGrid w:val="0"/>
        <w:spacing w:line="360" w:lineRule="auto"/>
        <w:jc w:val="right"/>
        <w:rPr>
          <w:rFonts w:ascii="宋体" w:hAnsi="宋体" w:cs="宋体"/>
          <w:sz w:val="24"/>
          <w:szCs w:val="21"/>
        </w:rPr>
      </w:pPr>
      <w:r>
        <w:rPr>
          <w:rFonts w:hint="eastAsia" w:ascii="宋体" w:hAnsi="宋体" w:cs="宋体"/>
          <w:sz w:val="24"/>
          <w:szCs w:val="21"/>
        </w:rPr>
        <w:t>2021年9月</w:t>
      </w:r>
      <w:r>
        <w:rPr>
          <w:rFonts w:hint="eastAsia" w:ascii="宋体" w:hAnsi="宋体" w:cs="宋体"/>
          <w:sz w:val="24"/>
          <w:szCs w:val="21"/>
          <w:lang w:val="en-US" w:eastAsia="zh-CN"/>
        </w:rPr>
        <w:t>13</w:t>
      </w:r>
      <w:r>
        <w:rPr>
          <w:rFonts w:hint="eastAsia" w:ascii="宋体" w:hAnsi="宋体" w:cs="宋体"/>
          <w:sz w:val="24"/>
          <w:szCs w:val="21"/>
        </w:rPr>
        <w:t>日</w:t>
      </w:r>
    </w:p>
    <w:p>
      <w:pPr>
        <w:jc w:val="left"/>
        <w:rPr>
          <w:rFonts w:ascii="宋体" w:hAnsi="宋体" w:cs="宋体"/>
          <w:bCs/>
        </w:rPr>
      </w:pPr>
    </w:p>
    <w:p>
      <w:pPr>
        <w:jc w:val="left"/>
        <w:rPr>
          <w:rFonts w:ascii="宋体" w:hAnsi="宋体" w:cs="宋体"/>
          <w:bCs/>
        </w:rPr>
      </w:pPr>
    </w:p>
    <w:p>
      <w:pPr>
        <w:jc w:val="left"/>
        <w:rPr>
          <w:rFonts w:ascii="宋体" w:hAnsi="宋体" w:cs="宋体"/>
          <w:bCs/>
        </w:rPr>
      </w:pPr>
    </w:p>
    <w:p>
      <w:pPr>
        <w:jc w:val="left"/>
        <w:rPr>
          <w:rFonts w:ascii="宋体" w:hAnsi="宋体" w:cs="宋体"/>
          <w:bCs/>
        </w:rPr>
      </w:pPr>
    </w:p>
    <w:p>
      <w:pPr>
        <w:jc w:val="left"/>
        <w:rPr>
          <w:rFonts w:ascii="宋体" w:hAnsi="宋体" w:cs="宋体"/>
          <w:bCs/>
        </w:rPr>
      </w:pPr>
    </w:p>
    <w:p>
      <w:pPr>
        <w:jc w:val="left"/>
        <w:rPr>
          <w:rFonts w:ascii="宋体" w:hAnsi="宋体" w:cs="宋体"/>
          <w:bCs/>
        </w:rPr>
      </w:pPr>
    </w:p>
    <w:p>
      <w:pPr>
        <w:jc w:val="left"/>
        <w:rPr>
          <w:rFonts w:ascii="宋体" w:hAnsi="宋体" w:cs="宋体"/>
          <w:bCs/>
        </w:rPr>
      </w:pPr>
    </w:p>
    <w:p>
      <w:pPr>
        <w:jc w:val="left"/>
        <w:rPr>
          <w:rFonts w:ascii="宋体" w:hAnsi="宋体" w:cs="宋体"/>
          <w:bCs/>
        </w:rPr>
      </w:pPr>
    </w:p>
    <w:p>
      <w:pPr>
        <w:jc w:val="left"/>
        <w:rPr>
          <w:rFonts w:ascii="宋体" w:hAnsi="宋体" w:cs="宋体"/>
          <w:bCs/>
        </w:rPr>
      </w:pPr>
    </w:p>
    <w:bookmarkEnd w:id="9"/>
    <w:bookmarkEnd w:id="10"/>
    <w:bookmarkEnd w:id="11"/>
    <w:bookmarkEnd w:id="12"/>
    <w:bookmarkEnd w:id="13"/>
    <w:bookmarkEnd w:id="14"/>
    <w:p>
      <w:pPr>
        <w:jc w:val="center"/>
        <w:rPr>
          <w:rFonts w:ascii="宋体" w:hAnsi="宋体" w:cs="宋体"/>
          <w:b/>
          <w:sz w:val="28"/>
          <w:szCs w:val="28"/>
        </w:rPr>
      </w:pPr>
      <w:r>
        <w:rPr>
          <w:rFonts w:hint="eastAsia" w:ascii="宋体" w:hAnsi="宋体" w:cs="宋体"/>
          <w:b/>
          <w:sz w:val="28"/>
          <w:szCs w:val="28"/>
        </w:rPr>
        <w:br w:type="page"/>
      </w:r>
      <w:bookmarkStart w:id="15" w:name="_Toc30286"/>
      <w:bookmarkStart w:id="16" w:name="_Toc2764"/>
      <w:bookmarkStart w:id="17" w:name="_Toc5561"/>
      <w:bookmarkStart w:id="18" w:name="_Toc421778363"/>
      <w:bookmarkStart w:id="19" w:name="_Toc18593"/>
      <w:bookmarkStart w:id="20" w:name="_Toc24310"/>
      <w:r>
        <w:rPr>
          <w:rFonts w:hint="eastAsia" w:ascii="宋体" w:hAnsi="宋体" w:cs="宋体"/>
          <w:b/>
          <w:sz w:val="28"/>
          <w:szCs w:val="28"/>
        </w:rPr>
        <w:t>第二章  投标人须知</w:t>
      </w:r>
      <w:bookmarkEnd w:id="15"/>
      <w:bookmarkEnd w:id="16"/>
      <w:bookmarkEnd w:id="17"/>
      <w:bookmarkEnd w:id="18"/>
      <w:bookmarkEnd w:id="19"/>
      <w:bookmarkEnd w:id="20"/>
    </w:p>
    <w:p>
      <w:pPr>
        <w:spacing w:line="360" w:lineRule="auto"/>
        <w:jc w:val="center"/>
        <w:outlineLvl w:val="1"/>
        <w:rPr>
          <w:rFonts w:ascii="宋体" w:hAnsi="宋体" w:cs="宋体"/>
          <w:bCs/>
          <w:sz w:val="24"/>
        </w:rPr>
      </w:pPr>
      <w:bookmarkStart w:id="21" w:name="_Toc421778364"/>
      <w:bookmarkStart w:id="22" w:name="_Toc19675"/>
      <w:bookmarkStart w:id="23" w:name="_Toc420591642"/>
      <w:r>
        <w:rPr>
          <w:rFonts w:hint="eastAsia" w:ascii="宋体" w:hAnsi="宋体" w:cs="宋体"/>
          <w:bCs/>
          <w:sz w:val="24"/>
        </w:rPr>
        <w:t>投标人须知前附表</w:t>
      </w:r>
      <w:bookmarkEnd w:id="21"/>
      <w:bookmarkEnd w:id="22"/>
      <w:bookmarkEnd w:id="23"/>
    </w:p>
    <w:tbl>
      <w:tblPr>
        <w:tblStyle w:val="16"/>
        <w:tblW w:w="5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454"/>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条款号</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条款名称</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采购人</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ascii="Times New Roman" w:hAnsi="Times New Roman" w:cs="宋体"/>
                <w:sz w:val="24"/>
              </w:rPr>
              <w:t>采购人信息：陕西省高速公路收费中心</w:t>
            </w:r>
          </w:p>
          <w:p>
            <w:pPr>
              <w:spacing w:line="360" w:lineRule="auto"/>
              <w:rPr>
                <w:sz w:val="24"/>
              </w:rPr>
            </w:pPr>
            <w:r>
              <w:rPr>
                <w:rFonts w:hint="eastAsia" w:ascii="Times New Roman" w:hAnsi="Times New Roman" w:cs="宋体"/>
                <w:sz w:val="24"/>
              </w:rPr>
              <w:t>地址：西安市经开区未央路208号</w:t>
            </w:r>
          </w:p>
          <w:p>
            <w:pPr>
              <w:spacing w:line="360" w:lineRule="auto"/>
              <w:rPr>
                <w:sz w:val="24"/>
              </w:rPr>
            </w:pPr>
            <w:r>
              <w:rPr>
                <w:rFonts w:hint="eastAsia" w:ascii="Times New Roman" w:hAnsi="Times New Roman" w:cs="宋体"/>
                <w:sz w:val="24"/>
              </w:rPr>
              <w:t>联系人：孙工</w:t>
            </w:r>
          </w:p>
          <w:p>
            <w:pPr>
              <w:spacing w:line="360" w:lineRule="auto"/>
              <w:rPr>
                <w:sz w:val="24"/>
              </w:rPr>
            </w:pPr>
            <w:r>
              <w:rPr>
                <w:rFonts w:hint="eastAsia" w:ascii="Times New Roman" w:hAnsi="Times New Roman" w:cs="宋体"/>
                <w:sz w:val="24"/>
              </w:rPr>
              <w:t>电话：</w:t>
            </w:r>
            <w:r>
              <w:rPr>
                <w:rFonts w:ascii="Times New Roman" w:hAnsi="Times New Roman"/>
                <w:sz w:val="24"/>
              </w:rPr>
              <w:t>029-</w:t>
            </w:r>
            <w:r>
              <w:rPr>
                <w:rFonts w:hint="eastAsia" w:ascii="Times New Roman" w:hAnsi="Times New Roman"/>
                <w:sz w:val="24"/>
              </w:rPr>
              <w:t>86531095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1.1.3</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采购代理机构</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名  称: 腾德工程咨询有限公司</w:t>
            </w:r>
          </w:p>
          <w:p>
            <w:pPr>
              <w:spacing w:line="360" w:lineRule="auto"/>
              <w:rPr>
                <w:rFonts w:ascii="宋体" w:hAnsi="宋体" w:cs="宋体"/>
                <w:sz w:val="24"/>
              </w:rPr>
            </w:pPr>
            <w:r>
              <w:rPr>
                <w:rFonts w:hint="eastAsia" w:ascii="宋体" w:hAnsi="宋体" w:cs="宋体"/>
                <w:sz w:val="24"/>
              </w:rPr>
              <w:t>地  址: 西安市明光路166号凯瑞E座803室</w:t>
            </w:r>
          </w:p>
          <w:p>
            <w:pPr>
              <w:spacing w:line="360" w:lineRule="auto"/>
              <w:rPr>
                <w:rFonts w:ascii="宋体" w:hAnsi="宋体" w:cs="宋体"/>
                <w:sz w:val="24"/>
              </w:rPr>
            </w:pPr>
            <w:r>
              <w:rPr>
                <w:rFonts w:hint="eastAsia" w:ascii="宋体" w:hAnsi="宋体" w:cs="宋体"/>
                <w:sz w:val="24"/>
              </w:rPr>
              <w:t>联系人: 赵工</w:t>
            </w:r>
          </w:p>
          <w:p>
            <w:pPr>
              <w:spacing w:line="360" w:lineRule="auto"/>
              <w:rPr>
                <w:rFonts w:ascii="宋体" w:hAnsi="宋体" w:cs="宋体"/>
                <w:sz w:val="24"/>
              </w:rPr>
            </w:pPr>
            <w:r>
              <w:rPr>
                <w:rFonts w:hint="eastAsia" w:ascii="宋体" w:hAnsi="宋体" w:cs="宋体"/>
                <w:sz w:val="24"/>
              </w:rPr>
              <w:t>电  话: 029-89293166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1.1.4</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监督机构</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陕西省财政厅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1.1.5</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服务地点</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资金来源</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资金落实情况</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招标范围</w:t>
            </w:r>
          </w:p>
        </w:tc>
        <w:tc>
          <w:tcPr>
            <w:tcW w:w="3727" w:type="pct"/>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sz w:val="24"/>
              </w:rPr>
            </w:pPr>
            <w:r>
              <w:rPr>
                <w:rFonts w:hint="eastAsia" w:ascii="宋体" w:hAnsi="宋体" w:cs="宋体"/>
                <w:sz w:val="24"/>
                <w:szCs w:val="20"/>
              </w:rPr>
              <w:t>①扩容内容包含：业务基础支撑平台扩容、同步分区负载平台建设及数据交换共享平台建设；②平台运维服务包含：远程支持服务、备件支持服务及现场支持服务；③平台培训服务（具体详见招标文件）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服务工期</w:t>
            </w:r>
          </w:p>
        </w:tc>
        <w:tc>
          <w:tcPr>
            <w:tcW w:w="372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rPr>
            </w:pPr>
            <w:r>
              <w:rPr>
                <w:rFonts w:hint="eastAsia" w:hAnsi="宋体" w:cs="宋体"/>
                <w:sz w:val="24"/>
              </w:rPr>
              <w:t>交货工期：自合同签订之日起30个日历日完成建设；</w:t>
            </w:r>
          </w:p>
          <w:p>
            <w:pPr>
              <w:spacing w:line="360" w:lineRule="auto"/>
              <w:rPr>
                <w:rFonts w:ascii="宋体" w:hAnsi="宋体" w:cs="宋体"/>
                <w:sz w:val="24"/>
              </w:rPr>
            </w:pPr>
            <w:r>
              <w:rPr>
                <w:rFonts w:ascii="宋体" w:hAnsi="宋体" w:cs="宋体"/>
                <w:sz w:val="24"/>
              </w:rPr>
              <w:t>质保期：自验收通过之日起三年</w:t>
            </w:r>
            <w:r>
              <w:rPr>
                <w:rFonts w:hint="eastAsia" w:ascii="宋体" w:hAnsi="宋体" w:cs="宋体"/>
                <w:sz w:val="24"/>
              </w:rPr>
              <w:t>；</w:t>
            </w:r>
            <w:r>
              <w:rPr>
                <w:rFonts w:ascii="宋体" w:hAnsi="宋体" w:cs="宋体"/>
                <w:sz w:val="24"/>
              </w:rPr>
              <w:br w:type="textWrapping"/>
            </w:r>
            <w:r>
              <w:rPr>
                <w:rFonts w:ascii="宋体" w:hAnsi="宋体" w:cs="宋体"/>
                <w:sz w:val="24"/>
              </w:rPr>
              <w:t>维护期：自</w:t>
            </w:r>
            <w:r>
              <w:rPr>
                <w:rFonts w:hint="eastAsia" w:ascii="宋体" w:hAnsi="宋体" w:cs="宋体"/>
                <w:sz w:val="24"/>
              </w:rPr>
              <w:t>验收</w:t>
            </w:r>
            <w:r>
              <w:rPr>
                <w:rFonts w:ascii="宋体" w:hAnsi="宋体" w:cs="宋体"/>
                <w:sz w:val="24"/>
              </w:rPr>
              <w:t>通过之日起三年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1.3.3</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质量标准</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符合国家、行业现行规范标准，满足采购人需求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资格审查条件</w:t>
            </w:r>
          </w:p>
        </w:tc>
        <w:tc>
          <w:tcPr>
            <w:tcW w:w="3727"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b/>
                <w:bCs/>
                <w:sz w:val="24"/>
                <w:shd w:val="clear" w:color="auto" w:fill="FFFFFF"/>
              </w:rPr>
            </w:pPr>
            <w:r>
              <w:rPr>
                <w:rFonts w:hint="eastAsia" w:ascii="宋体" w:hAnsi="宋体" w:cs="宋体"/>
                <w:b/>
                <w:bCs/>
                <w:sz w:val="24"/>
                <w:shd w:val="clear" w:color="auto" w:fill="FFFFFF"/>
              </w:rPr>
              <w:t>一、基本资格条件：符合《中华人民共和国政府采购法》第二十二条的规定：</w:t>
            </w:r>
          </w:p>
          <w:p>
            <w:pPr>
              <w:widowControl/>
              <w:shd w:val="clear" w:color="auto" w:fill="FFFFFF"/>
              <w:spacing w:line="360" w:lineRule="auto"/>
              <w:ind w:firstLine="480"/>
              <w:jc w:val="left"/>
              <w:rPr>
                <w:rFonts w:ascii="宋体" w:hAnsi="宋体" w:cs="宋体"/>
                <w:sz w:val="24"/>
                <w:shd w:val="clear" w:color="auto" w:fill="FFFFFF"/>
              </w:rPr>
            </w:pPr>
            <w:r>
              <w:rPr>
                <w:rFonts w:hint="eastAsia" w:ascii="宋体" w:hAnsi="宋体" w:cs="宋体"/>
                <w:sz w:val="24"/>
                <w:shd w:val="clear" w:color="auto" w:fill="FFFFFF"/>
              </w:rPr>
              <w:t>1、具有独立承担民事责任的能力（</w:t>
            </w:r>
            <w:r>
              <w:rPr>
                <w:rFonts w:hint="eastAsia" w:ascii="宋体" w:hAnsi="宋体" w:cs="宋体"/>
                <w:color w:val="000000"/>
                <w:sz w:val="24"/>
                <w:shd w:val="clear" w:color="auto" w:fill="FFFFFF"/>
              </w:rPr>
              <w:t>提供营业执照/事业单位法人证书/非企业专业服务机构执业许可证/自然人身份证</w:t>
            </w:r>
            <w:r>
              <w:rPr>
                <w:rFonts w:hint="eastAsia" w:ascii="宋体" w:hAnsi="宋体" w:cs="宋体"/>
                <w:sz w:val="24"/>
                <w:shd w:val="clear" w:color="auto" w:fill="FFFFFF"/>
              </w:rPr>
              <w:t>）；</w:t>
            </w:r>
          </w:p>
          <w:p>
            <w:pPr>
              <w:widowControl/>
              <w:shd w:val="clear" w:color="auto" w:fill="FFFFFF"/>
              <w:spacing w:line="360" w:lineRule="auto"/>
              <w:ind w:firstLine="480"/>
              <w:jc w:val="left"/>
              <w:rPr>
                <w:rFonts w:ascii="宋体" w:hAnsi="宋体" w:cs="宋体"/>
                <w:sz w:val="24"/>
                <w:shd w:val="clear" w:color="auto" w:fill="FFFFFF"/>
              </w:rPr>
            </w:pPr>
            <w:r>
              <w:rPr>
                <w:rFonts w:hint="eastAsia" w:ascii="宋体" w:hAnsi="宋体" w:cs="宋体"/>
                <w:sz w:val="24"/>
                <w:shd w:val="clear" w:color="auto" w:fill="FFFFFF"/>
              </w:rPr>
              <w:t>2、</w:t>
            </w:r>
            <w:r>
              <w:rPr>
                <w:rFonts w:hint="eastAsia" w:ascii="宋体" w:hAnsi="宋体" w:cs="宋体"/>
                <w:color w:val="000000"/>
                <w:sz w:val="24"/>
                <w:shd w:val="clear" w:color="auto" w:fill="FFFFFF"/>
              </w:rPr>
              <w:t>具有良好的商业信誉和健全的财务会计制度</w:t>
            </w:r>
            <w:r>
              <w:rPr>
                <w:rFonts w:hint="eastAsia" w:ascii="宋体" w:hAnsi="宋体" w:cs="宋体"/>
                <w:sz w:val="24"/>
                <w:shd w:val="clear" w:color="auto" w:fill="FFFFFF"/>
              </w:rPr>
              <w:t>（提供具有财务审计资质的单位出具的2020年财务报告，或投标截止时间前三个月内公司存款账户开户银行出具的资信证明，或信用担保机构出具的投标担保函）；</w:t>
            </w:r>
          </w:p>
          <w:p>
            <w:pPr>
              <w:widowControl/>
              <w:shd w:val="clear" w:color="auto" w:fill="FFFFFF"/>
              <w:spacing w:line="360" w:lineRule="auto"/>
              <w:ind w:firstLine="480"/>
              <w:jc w:val="left"/>
              <w:rPr>
                <w:rFonts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color w:val="000000"/>
                <w:sz w:val="24"/>
                <w:shd w:val="clear" w:color="auto" w:fill="FFFFFF"/>
              </w:rPr>
              <w:t>有依法缴纳税收和社会保障资金的良好记录</w:t>
            </w:r>
            <w:r>
              <w:rPr>
                <w:rFonts w:hint="eastAsia" w:ascii="宋体" w:hAnsi="宋体" w:cs="宋体"/>
                <w:sz w:val="24"/>
                <w:shd w:val="clear" w:color="auto" w:fill="FFFFFF"/>
              </w:rPr>
              <w:t>（</w:t>
            </w:r>
            <w:r>
              <w:rPr>
                <w:rFonts w:hint="eastAsia" w:ascii="宋体" w:hAnsi="宋体" w:cs="宋体"/>
                <w:color w:val="000000"/>
                <w:sz w:val="24"/>
                <w:shd w:val="clear" w:color="auto" w:fill="FFFFFF"/>
              </w:rPr>
              <w:t>提供</w:t>
            </w:r>
            <w:r>
              <w:rPr>
                <w:rFonts w:hint="eastAsia" w:ascii="宋体" w:hAnsi="宋体" w:cs="宋体"/>
                <w:sz w:val="24"/>
                <w:shd w:val="clear" w:color="auto" w:fill="FFFFFF"/>
              </w:rPr>
              <w:t>投标</w:t>
            </w:r>
            <w:r>
              <w:rPr>
                <w:rFonts w:hint="eastAsia" w:ascii="宋体" w:hAnsi="宋体" w:cs="宋体"/>
                <w:kern w:val="0"/>
                <w:sz w:val="24"/>
                <w:shd w:val="clear" w:color="auto" w:fill="FFFFFF"/>
              </w:rPr>
              <w:t>截止时间前12个月内任三个月份</w:t>
            </w:r>
            <w:r>
              <w:rPr>
                <w:rFonts w:hint="eastAsia" w:ascii="宋体" w:hAnsi="宋体" w:cs="宋体"/>
                <w:color w:val="000000"/>
                <w:sz w:val="24"/>
                <w:shd w:val="clear" w:color="auto" w:fill="FFFFFF"/>
              </w:rPr>
              <w:t>的①税收完税证明或免税书面承诺书；②社会保障资金缴纳专用收据或社会保险缴纳清单或社会保障资金免缴纳书面承诺书</w:t>
            </w:r>
            <w:r>
              <w:rPr>
                <w:rFonts w:hint="eastAsia" w:ascii="宋体" w:hAnsi="宋体" w:cs="宋体"/>
                <w:sz w:val="24"/>
                <w:shd w:val="clear" w:color="auto" w:fill="FFFFFF"/>
              </w:rPr>
              <w:t>）；</w:t>
            </w:r>
          </w:p>
          <w:p>
            <w:pPr>
              <w:widowControl/>
              <w:shd w:val="clear" w:color="auto" w:fill="FFFFFF"/>
              <w:spacing w:line="360" w:lineRule="auto"/>
              <w:ind w:firstLine="480"/>
              <w:jc w:val="left"/>
              <w:rPr>
                <w:rFonts w:ascii="宋体" w:hAnsi="宋体" w:cs="宋体"/>
                <w:sz w:val="24"/>
                <w:shd w:val="clear" w:color="auto" w:fill="FFFFFF"/>
              </w:rPr>
            </w:pPr>
            <w:r>
              <w:rPr>
                <w:rFonts w:hint="eastAsia" w:ascii="宋体" w:hAnsi="宋体" w:cs="宋体"/>
                <w:sz w:val="24"/>
                <w:shd w:val="clear" w:color="auto" w:fill="FFFFFF"/>
              </w:rPr>
              <w:t>4、具备履行合同所必需的设备和专业技术能力（</w:t>
            </w:r>
            <w:r>
              <w:rPr>
                <w:rFonts w:hint="eastAsia" w:ascii="宋体" w:hAnsi="宋体" w:cs="宋体"/>
                <w:color w:val="000000"/>
                <w:sz w:val="24"/>
                <w:shd w:val="clear" w:color="auto" w:fill="FFFFFF"/>
              </w:rPr>
              <w:t>提供可充分满足履行合同所需设备和专业技术能力的证明材料或承诺书</w:t>
            </w:r>
            <w:r>
              <w:rPr>
                <w:rFonts w:hint="eastAsia" w:ascii="宋体" w:hAnsi="宋体" w:cs="宋体"/>
                <w:sz w:val="24"/>
                <w:shd w:val="clear" w:color="auto" w:fill="FFFFFF"/>
              </w:rPr>
              <w:t>）；</w:t>
            </w:r>
          </w:p>
          <w:p>
            <w:pPr>
              <w:widowControl/>
              <w:shd w:val="clear" w:color="auto" w:fill="FFFFFF"/>
              <w:spacing w:line="360" w:lineRule="auto"/>
              <w:ind w:firstLine="480"/>
              <w:jc w:val="left"/>
              <w:rPr>
                <w:rFonts w:ascii="宋体" w:hAnsi="宋体" w:cs="宋体"/>
                <w:sz w:val="24"/>
                <w:shd w:val="clear" w:color="auto" w:fill="FFFFFF"/>
              </w:rPr>
            </w:pPr>
            <w:r>
              <w:rPr>
                <w:rFonts w:hint="eastAsia" w:ascii="宋体" w:hAnsi="宋体" w:cs="宋体"/>
                <w:sz w:val="24"/>
                <w:shd w:val="clear" w:color="auto" w:fill="FFFFFF"/>
              </w:rPr>
              <w:t>5、参加政府采购活动前三年内在经营活动中没有重大违法记录的书面声明书；</w:t>
            </w:r>
          </w:p>
          <w:p>
            <w:pPr>
              <w:widowControl/>
              <w:shd w:val="clear" w:color="auto" w:fill="FFFFFF"/>
              <w:spacing w:line="360" w:lineRule="auto"/>
              <w:ind w:firstLine="480"/>
              <w:jc w:val="left"/>
              <w:rPr>
                <w:rFonts w:ascii="宋体" w:hAnsi="宋体" w:cs="宋体"/>
                <w:sz w:val="24"/>
                <w:shd w:val="clear" w:color="auto" w:fill="FFFFFF"/>
              </w:rPr>
            </w:pPr>
            <w:r>
              <w:rPr>
                <w:rFonts w:hint="eastAsia" w:ascii="宋体" w:hAnsi="宋体" w:cs="宋体"/>
                <w:sz w:val="24"/>
                <w:shd w:val="clear" w:color="auto" w:fill="FFFFFF"/>
              </w:rPr>
              <w:t>6、政府采购法律法规相关规定的其他条件。</w:t>
            </w:r>
          </w:p>
          <w:p>
            <w:pPr>
              <w:widowControl/>
              <w:shd w:val="clear" w:color="auto" w:fill="FFFFFF"/>
              <w:spacing w:line="360" w:lineRule="auto"/>
              <w:jc w:val="left"/>
              <w:rPr>
                <w:rFonts w:ascii="宋体" w:hAnsi="宋体" w:cs="宋体"/>
                <w:b/>
                <w:bCs/>
                <w:sz w:val="24"/>
                <w:shd w:val="clear" w:color="auto" w:fill="FFFFFF"/>
              </w:rPr>
            </w:pPr>
            <w:r>
              <w:rPr>
                <w:rFonts w:hint="eastAsia" w:ascii="宋体" w:hAnsi="宋体" w:cs="宋体"/>
                <w:b/>
                <w:bCs/>
                <w:sz w:val="24"/>
                <w:shd w:val="clear" w:color="auto" w:fill="FFFFFF"/>
              </w:rPr>
              <w:t>二、特定资格条件：</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1、投标人须通过“信用中国”网站和“中国政府采购网”查询相关主体信用记录，对列入失信被执行人、重大税收违法案件当事人名单、政府采购严重违法失信行为记录名单及其他不符合《中华人民共和国政府采购法》第二十二条规定条件的采购代理机构将拒绝其参与本项目投标）；</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2、单位负责人为同一人或者存在直接控股、管理关系的不同投标人，不得同时参加同一标项投标。</w:t>
            </w:r>
          </w:p>
          <w:p>
            <w:pPr>
              <w:spacing w:line="360" w:lineRule="auto"/>
              <w:ind w:firstLine="480" w:firstLineChars="200"/>
              <w:rPr>
                <w:rFonts w:ascii="宋体" w:hAnsi="宋体" w:cs="宋体"/>
                <w:sz w:val="24"/>
              </w:rPr>
            </w:pPr>
            <w:r>
              <w:rPr>
                <w:rFonts w:hint="eastAsia" w:ascii="宋体" w:hAnsi="宋体" w:cs="宋体"/>
                <w:color w:val="000000"/>
                <w:sz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采购文件</w:t>
            </w:r>
          </w:p>
          <w:p>
            <w:pPr>
              <w:spacing w:line="360" w:lineRule="auto"/>
              <w:jc w:val="center"/>
              <w:rPr>
                <w:rFonts w:ascii="宋体" w:hAnsi="宋体" w:cs="宋体"/>
                <w:sz w:val="24"/>
              </w:rPr>
            </w:pPr>
            <w:r>
              <w:rPr>
                <w:rFonts w:hint="eastAsia" w:ascii="宋体" w:hAnsi="宋体" w:cs="宋体"/>
                <w:sz w:val="24"/>
              </w:rPr>
              <w:t>领取时间</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2021年9月</w:t>
            </w:r>
            <w:r>
              <w:rPr>
                <w:rFonts w:hint="eastAsia" w:ascii="宋体" w:hAnsi="宋体" w:cs="宋体"/>
                <w:sz w:val="24"/>
                <w:lang w:val="en-US" w:eastAsia="zh-CN"/>
              </w:rPr>
              <w:t>13</w:t>
            </w:r>
            <w:r>
              <w:rPr>
                <w:rFonts w:hint="eastAsia" w:ascii="宋体" w:hAnsi="宋体" w:cs="宋体"/>
                <w:sz w:val="24"/>
              </w:rPr>
              <w:t>日至2021年9月</w:t>
            </w:r>
            <w:r>
              <w:rPr>
                <w:rFonts w:hint="eastAsia" w:ascii="宋体" w:hAnsi="宋体" w:cs="宋体"/>
                <w:sz w:val="24"/>
                <w:lang w:val="en-US" w:eastAsia="zh-CN"/>
              </w:rPr>
              <w:t>17</w:t>
            </w:r>
            <w:r>
              <w:rPr>
                <w:rFonts w:hint="eastAsia" w:ascii="宋体" w:hAnsi="宋体" w:cs="宋体"/>
                <w:sz w:val="24"/>
              </w:rPr>
              <w:t xml:space="preserve">日9:00-12:00，14:00-17:00（节假日除外）。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踏勘现场</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不组织统一踏勘现场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1.10</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投标答疑会</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不召开；若有疑问，均应在投标截止时间15日内以书面形式向采购代理机构提出。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分包</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ascii="宋体" w:hAnsi="宋体" w:cs="宋体"/>
                <w:sz w:val="24"/>
              </w:rPr>
              <w:t>构成采购文件的其他材料</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澄清、修改、答疑文件单等相关材料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2.2.2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采购人澄清采购文件的截止时间</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投标截止时间15日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2.2.3</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投标人对采购文件的疑问提出时间</w:t>
            </w:r>
          </w:p>
        </w:tc>
        <w:tc>
          <w:tcPr>
            <w:tcW w:w="3727" w:type="pct"/>
            <w:tcBorders>
              <w:top w:val="single" w:color="auto" w:sz="4" w:space="0"/>
              <w:left w:val="single" w:color="auto" w:sz="4" w:space="0"/>
              <w:bottom w:val="single" w:color="auto" w:sz="4" w:space="0"/>
              <w:right w:val="single" w:color="auto" w:sz="4" w:space="0"/>
            </w:tcBorders>
            <w:vAlign w:val="center"/>
          </w:tcPr>
          <w:p>
            <w:pPr>
              <w:pStyle w:val="6"/>
              <w:widowControl/>
              <w:spacing w:line="360" w:lineRule="auto"/>
              <w:rPr>
                <w:rFonts w:ascii="宋体" w:hAnsi="宋体" w:cs="宋体"/>
                <w:sz w:val="24"/>
                <w:szCs w:val="24"/>
              </w:rPr>
            </w:pPr>
            <w:r>
              <w:rPr>
                <w:rFonts w:hint="eastAsia" w:ascii="宋体" w:hAnsi="宋体" w:cs="宋体"/>
                <w:sz w:val="24"/>
                <w:szCs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投标报价</w:t>
            </w:r>
          </w:p>
        </w:tc>
        <w:tc>
          <w:tcPr>
            <w:tcW w:w="3727" w:type="pct"/>
            <w:tcBorders>
              <w:top w:val="single" w:color="auto" w:sz="4" w:space="0"/>
              <w:left w:val="single" w:color="auto" w:sz="4" w:space="0"/>
              <w:bottom w:val="single" w:color="auto" w:sz="4" w:space="0"/>
              <w:right w:val="single" w:color="auto" w:sz="4" w:space="0"/>
            </w:tcBorders>
            <w:vAlign w:val="center"/>
          </w:tcPr>
          <w:p>
            <w:pPr>
              <w:pStyle w:val="15"/>
              <w:widowControl/>
              <w:ind w:firstLine="0" w:firstLineChars="0"/>
              <w:jc w:val="both"/>
              <w:rPr>
                <w:rFonts w:ascii="宋体" w:hAnsi="宋体" w:cs="宋体"/>
                <w:sz w:val="24"/>
              </w:rPr>
            </w:pPr>
            <w:r>
              <w:rPr>
                <w:rFonts w:hint="eastAsia" w:ascii="宋体" w:hAnsi="宋体" w:cs="宋体"/>
                <w:sz w:val="24"/>
              </w:rPr>
              <w:t>投标总报价是完成本项目所需服务所发生的一切费用的总报价。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3.2.3</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最高限价</w:t>
            </w:r>
          </w:p>
        </w:tc>
        <w:tc>
          <w:tcPr>
            <w:tcW w:w="3727" w:type="pct"/>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both"/>
              <w:rPr>
                <w:rFonts w:cs="宋体"/>
                <w:sz w:val="24"/>
                <w:szCs w:val="20"/>
              </w:rPr>
            </w:pPr>
            <w:r>
              <w:rPr>
                <w:rFonts w:hint="eastAsia" w:cs="宋体"/>
                <w:sz w:val="24"/>
                <w:szCs w:val="20"/>
              </w:rPr>
              <w:t>本项目招标最高限价为：6,764,700.00 元；</w:t>
            </w:r>
          </w:p>
          <w:p>
            <w:pPr>
              <w:pStyle w:val="15"/>
              <w:widowControl/>
              <w:spacing w:line="360" w:lineRule="auto"/>
              <w:ind w:firstLine="0" w:firstLineChars="0"/>
              <w:jc w:val="both"/>
              <w:rPr>
                <w:rFonts w:ascii="宋体" w:hAnsi="宋体" w:cs="宋体"/>
                <w:sz w:val="24"/>
              </w:rPr>
            </w:pPr>
            <w:r>
              <w:rPr>
                <w:rFonts w:hint="eastAsia" w:ascii="宋体" w:hAnsi="宋体" w:cs="宋体"/>
                <w:b/>
                <w:bCs/>
                <w:sz w:val="24"/>
              </w:rPr>
              <w:t>注：凡投标总报价高于最高限价的将被视为无效投标处理，不再参与后续评标。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3.3.1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投标有效期</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3.4.1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投标保证金</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仿宋_GB2312"/>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3.5</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是否允许递交备选投标方案</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3.6.3</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签字或盖章要求</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投标文件封面、投标函及其它有要求处必须加盖投标人公章并经法定代表人或其委托代理人签字或盖章。</w:t>
            </w:r>
            <w:bookmarkStart w:id="24" w:name="_Toc343511347"/>
            <w:r>
              <w:rPr>
                <w:rFonts w:hint="eastAsia" w:ascii="宋体" w:hAnsi="宋体" w:cs="宋体"/>
                <w:sz w:val="24"/>
              </w:rPr>
              <w:t>投标文件应无涂改或行间插字和增删。如确需修改，修改处必须由投标人加盖投标人公章并经法定代表人或其委托代理人签字或盖章。</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3.6.4</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投标文件份数</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正本壹份；副本贰份；电子文件份数：2份（U盘2份）；</w:t>
            </w:r>
          </w:p>
          <w:p>
            <w:pPr>
              <w:spacing w:line="360" w:lineRule="auto"/>
              <w:rPr>
                <w:rFonts w:ascii="宋体" w:hAnsi="宋体" w:cs="宋体"/>
                <w:sz w:val="24"/>
              </w:rPr>
            </w:pPr>
            <w:r>
              <w:rPr>
                <w:rFonts w:hint="eastAsia" w:ascii="宋体" w:hAnsi="宋体" w:cs="宋体"/>
                <w:sz w:val="24"/>
              </w:rPr>
              <w:t xml:space="preserve">刻录内容如下：        </w:t>
            </w:r>
          </w:p>
          <w:p>
            <w:pPr>
              <w:spacing w:line="360" w:lineRule="auto"/>
              <w:rPr>
                <w:rFonts w:ascii="宋体" w:hAnsi="宋体" w:cs="宋体"/>
                <w:sz w:val="24"/>
              </w:rPr>
            </w:pPr>
            <w:r>
              <w:rPr>
                <w:rFonts w:hint="eastAsia" w:ascii="宋体" w:hAnsi="宋体" w:cs="宋体"/>
                <w:sz w:val="24"/>
              </w:rPr>
              <w:t>完整签字盖章的投标文件的pdf格式扫描件和可编辑的word版文档。</w:t>
            </w:r>
          </w:p>
          <w:p>
            <w:pPr>
              <w:spacing w:line="360" w:lineRule="auto"/>
              <w:rPr>
                <w:rFonts w:ascii="宋体" w:hAnsi="宋体" w:cs="宋体"/>
                <w:sz w:val="24"/>
              </w:rPr>
            </w:pPr>
            <w:r>
              <w:rPr>
                <w:rFonts w:hint="eastAsia" w:ascii="宋体" w:hAnsi="宋体" w:cs="宋体"/>
                <w:sz w:val="24"/>
              </w:rPr>
              <w:t>注：需刻录到U盘，装入投标文件正本内随投标文件一同递交，U盘须标注公司名称。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4.1.2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封套上写明</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（1）采购人名称： </w:t>
            </w:r>
          </w:p>
          <w:p>
            <w:pPr>
              <w:spacing w:line="360" w:lineRule="auto"/>
              <w:rPr>
                <w:rFonts w:ascii="宋体" w:hAnsi="宋体" w:cs="宋体"/>
                <w:sz w:val="24"/>
              </w:rPr>
            </w:pPr>
            <w:r>
              <w:rPr>
                <w:rFonts w:hint="eastAsia" w:ascii="宋体" w:hAnsi="宋体" w:cs="宋体"/>
                <w:sz w:val="24"/>
              </w:rPr>
              <w:t>（2）投标人名称以及标注“正本”、“副本”、“电子版”字样，密封处应加盖投标人公章及法定代表人章。</w:t>
            </w:r>
          </w:p>
          <w:p>
            <w:pPr>
              <w:spacing w:line="360" w:lineRule="auto"/>
              <w:rPr>
                <w:rFonts w:ascii="宋体" w:hAnsi="宋体" w:cs="宋体"/>
                <w:sz w:val="24"/>
              </w:rPr>
            </w:pPr>
            <w:r>
              <w:rPr>
                <w:rFonts w:hint="eastAsia" w:ascii="宋体" w:hAnsi="宋体" w:cs="宋体"/>
                <w:sz w:val="24"/>
              </w:rPr>
              <w:t>（3）（项目名称）投标文件在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4.2.2</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递交投标文件截止时间、地点</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cs="宋体"/>
                <w:sz w:val="24"/>
              </w:rPr>
              <w:t>时间：</w:t>
            </w:r>
            <w:r>
              <w:rPr>
                <w:rFonts w:hint="eastAsia" w:ascii="宋体" w:hAnsi="宋体" w:cs="宋体"/>
                <w:sz w:val="24"/>
                <w:lang w:eastAsia="zh-CN"/>
              </w:rPr>
              <w:t>2021年10月09日 9时 30分</w:t>
            </w:r>
          </w:p>
          <w:p>
            <w:pPr>
              <w:spacing w:line="360" w:lineRule="auto"/>
              <w:rPr>
                <w:rFonts w:ascii="宋体" w:hAnsi="宋体" w:cs="宋体"/>
                <w:sz w:val="24"/>
              </w:rPr>
            </w:pPr>
            <w:r>
              <w:rPr>
                <w:rFonts w:hint="eastAsia" w:ascii="宋体" w:hAnsi="宋体" w:cs="宋体"/>
                <w:sz w:val="24"/>
              </w:rPr>
              <w:t>地点：腾德工程咨询有限公司会议室（西安市明光路166号凯瑞E座803室）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4.2.3</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是否退还</w:t>
            </w:r>
          </w:p>
          <w:p>
            <w:pPr>
              <w:spacing w:line="360" w:lineRule="auto"/>
              <w:jc w:val="center"/>
              <w:rPr>
                <w:rFonts w:ascii="宋体" w:hAnsi="宋体" w:cs="宋体"/>
                <w:sz w:val="24"/>
              </w:rPr>
            </w:pPr>
            <w:r>
              <w:rPr>
                <w:rFonts w:hint="eastAsia" w:ascii="宋体" w:hAnsi="宋体" w:cs="宋体"/>
                <w:sz w:val="24"/>
              </w:rPr>
              <w:t>投标文件</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开标时间和地点</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cs="宋体"/>
                <w:sz w:val="24"/>
              </w:rPr>
              <w:t>开标时间：</w:t>
            </w:r>
            <w:r>
              <w:rPr>
                <w:rFonts w:hint="eastAsia" w:ascii="宋体" w:hAnsi="宋体" w:cs="宋体"/>
                <w:sz w:val="24"/>
                <w:lang w:eastAsia="zh-CN"/>
              </w:rPr>
              <w:t>2021年10月09日 9时 30分</w:t>
            </w:r>
          </w:p>
          <w:p>
            <w:pPr>
              <w:spacing w:line="360" w:lineRule="auto"/>
              <w:rPr>
                <w:rFonts w:ascii="宋体" w:hAnsi="宋体" w:cs="宋体"/>
                <w:sz w:val="24"/>
              </w:rPr>
            </w:pPr>
            <w:r>
              <w:rPr>
                <w:rFonts w:hint="eastAsia" w:ascii="宋体" w:hAnsi="宋体" w:cs="宋体"/>
                <w:sz w:val="24"/>
              </w:rPr>
              <w:t>开标地点:腾德工程咨询有限公司会议室（西安市明光路166号凯瑞E座803室）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6.1.1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kern w:val="0"/>
                <w:sz w:val="24"/>
              </w:rPr>
              <w:t>评标委员会组成</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r>
              <w:rPr>
                <w:rFonts w:hint="eastAsia" w:ascii="宋体" w:hAnsi="宋体" w:cs="宋体"/>
                <w:bCs/>
                <w:sz w:val="24"/>
              </w:rPr>
              <w:t>评标委员会构成:5人，其中采购人代表1人,专家4人；</w:t>
            </w:r>
          </w:p>
          <w:p>
            <w:pPr>
              <w:spacing w:line="360" w:lineRule="auto"/>
              <w:rPr>
                <w:rFonts w:ascii="宋体" w:hAnsi="宋体" w:cs="宋体"/>
                <w:sz w:val="24"/>
              </w:rPr>
            </w:pPr>
            <w:r>
              <w:rPr>
                <w:rFonts w:hint="eastAsia" w:ascii="宋体" w:hAnsi="宋体" w:cs="宋体"/>
                <w:bCs/>
                <w:sz w:val="24"/>
              </w:rPr>
              <w:t>评标专家确定方式：在陕西省政府采购专家库中随机抽取。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是否授权评标</w:t>
            </w:r>
          </w:p>
          <w:p>
            <w:pPr>
              <w:spacing w:line="360" w:lineRule="auto"/>
              <w:jc w:val="center"/>
              <w:rPr>
                <w:rFonts w:ascii="宋体" w:hAnsi="宋体" w:cs="宋体"/>
                <w:sz w:val="24"/>
              </w:rPr>
            </w:pPr>
            <w:r>
              <w:rPr>
                <w:rFonts w:hint="eastAsia" w:ascii="宋体" w:hAnsi="宋体" w:cs="宋体"/>
                <w:sz w:val="24"/>
              </w:rPr>
              <w:t>委员会确定</w:t>
            </w:r>
          </w:p>
          <w:p>
            <w:pPr>
              <w:spacing w:line="360" w:lineRule="auto"/>
              <w:jc w:val="center"/>
              <w:rPr>
                <w:rFonts w:ascii="宋体" w:hAnsi="宋体" w:cs="宋体"/>
                <w:sz w:val="24"/>
              </w:rPr>
            </w:pPr>
            <w:r>
              <w:rPr>
                <w:rFonts w:hint="eastAsia" w:ascii="宋体" w:hAnsi="宋体" w:cs="宋体"/>
                <w:sz w:val="24"/>
              </w:rPr>
              <w:t>中标人</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否,</w:t>
            </w:r>
            <w:bookmarkStart w:id="25" w:name="OLE_LINK6"/>
            <w:r>
              <w:rPr>
                <w:rFonts w:hint="eastAsia" w:ascii="宋体" w:hAnsi="宋体" w:cs="宋体"/>
                <w:sz w:val="24"/>
              </w:rPr>
              <w:t>推荐3名中标候选人</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7.3.1</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履约担保</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p>
            <w:pPr>
              <w:spacing w:line="360" w:lineRule="auto"/>
              <w:rPr>
                <w:sz w:val="24"/>
              </w:rPr>
            </w:pPr>
          </w:p>
          <w:p>
            <w:pPr>
              <w:spacing w:line="360" w:lineRule="auto"/>
              <w:jc w:val="center"/>
              <w:rPr>
                <w:rFonts w:ascii="宋体" w:hAnsi="宋体" w:cs="宋体"/>
                <w:sz w:val="24"/>
              </w:rPr>
            </w:pP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需要补充的</w:t>
            </w:r>
          </w:p>
          <w:p>
            <w:pPr>
              <w:spacing w:line="360" w:lineRule="auto"/>
              <w:jc w:val="center"/>
              <w:rPr>
                <w:rFonts w:ascii="宋体" w:hAnsi="宋体" w:cs="宋体"/>
                <w:sz w:val="24"/>
              </w:rPr>
            </w:pPr>
            <w:r>
              <w:rPr>
                <w:rFonts w:hint="eastAsia" w:ascii="宋体" w:hAnsi="宋体" w:cs="宋体"/>
                <w:sz w:val="24"/>
              </w:rPr>
              <w:t>其他内容①：招标代理服务费</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招标代理服务费：</w:t>
            </w:r>
          </w:p>
          <w:p>
            <w:pPr>
              <w:spacing w:line="360" w:lineRule="auto"/>
              <w:rPr>
                <w:sz w:val="24"/>
              </w:rPr>
            </w:pPr>
            <w:r>
              <w:rPr>
                <w:rFonts w:hint="eastAsia" w:ascii="宋体" w:hAnsi="宋体" w:cs="宋体"/>
                <w:sz w:val="24"/>
              </w:rPr>
              <w:t>招标代理服务费以中标金额为基数，参考《国家计委关于印发招标代理服务收费管理暂行办法的通知》（计价格【2002】1980号）和国家发改委办公厅颁发的《关于招标代理服务收费有关问题的通知》（发改办价格【2003】857号）文件规定收费标准（货物类）计取，由中标人在领取《中标通知书》的同时一次性支付给腾德工程咨询有限公司。</w:t>
            </w:r>
          </w:p>
          <w:p>
            <w:pPr>
              <w:spacing w:line="360" w:lineRule="auto"/>
              <w:rPr>
                <w:rFonts w:ascii="宋体" w:hAnsi="宋体" w:cs="宋体"/>
                <w:b/>
                <w:bCs/>
                <w:sz w:val="24"/>
              </w:rPr>
            </w:pPr>
            <w:r>
              <w:rPr>
                <w:rFonts w:hint="eastAsia" w:ascii="宋体" w:hAnsi="宋体" w:cs="宋体"/>
                <w:b/>
                <w:bCs/>
                <w:sz w:val="24"/>
              </w:rPr>
              <w:t>请将代理服务费汇至下列指定账户，咨询服务费到账情况请致电财务：17349033753、029-89293166。</w:t>
            </w:r>
          </w:p>
          <w:p>
            <w:pPr>
              <w:spacing w:line="360" w:lineRule="auto"/>
              <w:rPr>
                <w:rFonts w:ascii="宋体" w:hAnsi="宋体" w:cs="宋体"/>
                <w:sz w:val="24"/>
              </w:rPr>
            </w:pPr>
            <w:r>
              <w:rPr>
                <w:rFonts w:hint="eastAsia" w:ascii="宋体" w:hAnsi="宋体" w:cs="宋体"/>
                <w:sz w:val="24"/>
              </w:rPr>
              <w:t>开户名称：腾德工程咨询有限公司</w:t>
            </w:r>
          </w:p>
          <w:p>
            <w:pPr>
              <w:spacing w:line="360" w:lineRule="auto"/>
              <w:rPr>
                <w:rFonts w:ascii="宋体" w:hAnsi="宋体" w:cs="宋体"/>
                <w:sz w:val="24"/>
              </w:rPr>
            </w:pPr>
            <w:r>
              <w:rPr>
                <w:rFonts w:hint="eastAsia" w:ascii="宋体" w:hAnsi="宋体" w:cs="宋体"/>
                <w:sz w:val="24"/>
              </w:rPr>
              <w:t>开 户 行：中国光大银行股份有限公司西安凤城九路支行</w:t>
            </w:r>
          </w:p>
          <w:p>
            <w:pPr>
              <w:spacing w:line="360" w:lineRule="auto"/>
              <w:rPr>
                <w:sz w:val="24"/>
              </w:rPr>
            </w:pPr>
            <w:r>
              <w:rPr>
                <w:rFonts w:hint="eastAsia" w:ascii="宋体" w:hAnsi="宋体" w:cs="宋体"/>
                <w:sz w:val="24"/>
              </w:rPr>
              <w:t>账    号：79260188000034793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需要补充的</w:t>
            </w:r>
          </w:p>
          <w:p>
            <w:pPr>
              <w:spacing w:line="360" w:lineRule="auto"/>
              <w:jc w:val="center"/>
              <w:rPr>
                <w:rFonts w:ascii="宋体" w:hAnsi="宋体" w:cs="宋体"/>
                <w:sz w:val="24"/>
              </w:rPr>
            </w:pPr>
            <w:r>
              <w:rPr>
                <w:rFonts w:hint="eastAsia" w:ascii="宋体" w:hAnsi="宋体" w:cs="宋体"/>
                <w:sz w:val="24"/>
              </w:rPr>
              <w:t>其他内容②：</w:t>
            </w:r>
            <w:r>
              <w:rPr>
                <w:rFonts w:hint="eastAsia" w:ascii="宋体" w:hAnsi="宋体" w:cs="宋体"/>
                <w:b/>
                <w:bCs/>
                <w:sz w:val="24"/>
              </w:rPr>
              <w:t>投标人开标现场须携带原件</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 w:val="24"/>
              </w:rPr>
            </w:pPr>
            <w:r>
              <w:rPr>
                <w:rFonts w:hint="eastAsia" w:ascii="宋体" w:hAnsi="宋体" w:cs="宋体"/>
                <w:b/>
                <w:bCs/>
                <w:sz w:val="24"/>
              </w:rPr>
              <w:t>现场手持（无需密封）：</w:t>
            </w:r>
          </w:p>
          <w:p>
            <w:pPr>
              <w:spacing w:line="360" w:lineRule="auto"/>
              <w:rPr>
                <w:rFonts w:ascii="宋体" w:hAnsi="宋体" w:cs="宋体"/>
                <w:b/>
                <w:bCs/>
                <w:sz w:val="24"/>
              </w:rPr>
            </w:pPr>
            <w:r>
              <w:rPr>
                <w:rFonts w:hint="eastAsia" w:ascii="宋体" w:hAnsi="宋体" w:cs="宋体"/>
                <w:b/>
                <w:bCs/>
                <w:sz w:val="24"/>
              </w:rPr>
              <w:t>1、委托代理人参加开标会议时：提供合法有效的法定代表人授权委托书原件（含法定代表人及被授权人身份证复印件）和被授权人身份证原件</w:t>
            </w:r>
          </w:p>
          <w:p>
            <w:pPr>
              <w:spacing w:line="360" w:lineRule="auto"/>
              <w:rPr>
                <w:rFonts w:ascii="宋体" w:hAnsi="宋体" w:cs="宋体"/>
                <w:kern w:val="0"/>
                <w:sz w:val="24"/>
              </w:rPr>
            </w:pPr>
            <w:r>
              <w:rPr>
                <w:rFonts w:hint="eastAsia" w:ascii="宋体" w:hAnsi="宋体" w:cs="宋体"/>
                <w:b/>
                <w:bCs/>
                <w:sz w:val="24"/>
              </w:rPr>
              <w:t>2、法定代表人参加开标会议时：提供合法有效的法定代表人身份证明书原件（含法定代表人证明证复印件）和法定代表人身份证原件</w:t>
            </w:r>
          </w:p>
          <w:p>
            <w:pPr>
              <w:spacing w:line="360" w:lineRule="auto"/>
              <w:rPr>
                <w:rFonts w:ascii="宋体" w:hAnsi="宋体" w:cs="宋体"/>
                <w:kern w:val="0"/>
                <w:sz w:val="24"/>
              </w:rPr>
            </w:pPr>
            <w:r>
              <w:rPr>
                <w:rFonts w:hint="eastAsia" w:ascii="宋体" w:hAnsi="宋体" w:cs="宋体"/>
                <w:b/>
                <w:bCs/>
                <w:sz w:val="24"/>
              </w:rPr>
              <w:t>备注：以上证书证件由监标人在开标会议现场审核，参加多个标项的投标人须提供相应资料，未按要求提供者，将按无效投标处理。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需要补充的</w:t>
            </w:r>
          </w:p>
          <w:p>
            <w:pPr>
              <w:spacing w:line="360" w:lineRule="auto"/>
              <w:jc w:val="center"/>
              <w:rPr>
                <w:rFonts w:ascii="宋体" w:hAnsi="宋体" w:cs="宋体"/>
                <w:sz w:val="24"/>
              </w:rPr>
            </w:pPr>
            <w:r>
              <w:rPr>
                <w:rFonts w:hint="eastAsia" w:ascii="宋体" w:hAnsi="宋体" w:cs="宋体"/>
                <w:sz w:val="24"/>
              </w:rPr>
              <w:t>其他内容③：</w:t>
            </w:r>
            <w:r>
              <w:rPr>
                <w:rFonts w:hint="eastAsia" w:ascii="宋体" w:hAnsi="宋体" w:cs="宋体"/>
                <w:b/>
                <w:bCs/>
                <w:sz w:val="24"/>
              </w:rPr>
              <w:t>核心产品</w:t>
            </w:r>
          </w:p>
        </w:tc>
        <w:tc>
          <w:tcPr>
            <w:tcW w:w="3727" w:type="pct"/>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s="宋体"/>
                <w:b/>
                <w:bCs/>
                <w:sz w:val="24"/>
              </w:rPr>
              <w:t>计算机资源服务器-虚拟化服务器</w:t>
            </w:r>
          </w:p>
          <w:p>
            <w:pPr>
              <w:pStyle w:val="8"/>
              <w:spacing w:line="360" w:lineRule="auto"/>
              <w:jc w:val="left"/>
            </w:pPr>
            <w:r>
              <w:rPr>
                <w:rFonts w:hint="eastAsia" w:hAnsi="宋体" w:cs="宋体"/>
                <w:sz w:val="24"/>
                <w:szCs w:val="24"/>
              </w:rPr>
              <w:t>备注：同品牌多家投标人处理原则：单一产品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评审得分相同的，按投标报价由低到高顺序排列；</w:t>
            </w:r>
            <w:bookmarkStart w:id="26" w:name="_Hlk532989729"/>
            <w:r>
              <w:rPr>
                <w:rFonts w:hint="eastAsia" w:hAnsi="宋体" w:cs="宋体"/>
                <w:sz w:val="24"/>
                <w:szCs w:val="24"/>
              </w:rPr>
              <w:t>评审得分且投标报价相同的，按技术参数得分由高到低顺序排列</w:t>
            </w:r>
            <w:bookmarkEnd w:id="26"/>
            <w:r>
              <w:rPr>
                <w:rFonts w:hint="eastAsia" w:hAnsi="宋体" w:cs="宋体"/>
                <w:sz w:val="24"/>
                <w:szCs w:val="24"/>
              </w:rPr>
              <w:t>；评审得分且投标报价且技术参数得分均相同的，由采购人或者采购人委托评标委员会确定获得中标人推荐资格，其他同品牌投标人不作为中标候选人。</w:t>
            </w:r>
          </w:p>
        </w:tc>
      </w:tr>
    </w:tbl>
    <w:p>
      <w:pPr>
        <w:spacing w:line="360" w:lineRule="auto"/>
        <w:rPr>
          <w:rFonts w:ascii="宋体" w:hAnsi="宋体" w:cs="宋体"/>
          <w:sz w:val="24"/>
        </w:rPr>
        <w:sectPr>
          <w:footerReference r:id="rId3" w:type="default"/>
          <w:pgSz w:w="11906" w:h="16838"/>
          <w:pgMar w:top="1417" w:right="1587" w:bottom="1417" w:left="1587" w:header="851" w:footer="992" w:gutter="0"/>
          <w:pgNumType w:start="1"/>
          <w:cols w:space="720" w:num="1"/>
          <w:docGrid w:type="lines" w:linePitch="312" w:charSpace="0"/>
        </w:sectPr>
      </w:pPr>
    </w:p>
    <w:p>
      <w:pPr>
        <w:spacing w:line="360" w:lineRule="auto"/>
        <w:outlineLvl w:val="1"/>
        <w:rPr>
          <w:rFonts w:ascii="宋体" w:hAnsi="宋体" w:cs="宋体"/>
          <w:b/>
          <w:bCs/>
          <w:sz w:val="24"/>
        </w:rPr>
      </w:pPr>
      <w:bookmarkStart w:id="27" w:name="_Toc425240464"/>
      <w:bookmarkStart w:id="28" w:name="_Toc420591643"/>
      <w:bookmarkStart w:id="29" w:name="_Toc421778365"/>
      <w:r>
        <w:rPr>
          <w:rFonts w:hint="eastAsia" w:ascii="宋体" w:hAnsi="宋体" w:cs="宋体"/>
          <w:b/>
          <w:bCs/>
          <w:sz w:val="24"/>
        </w:rPr>
        <w:t>1．总则</w:t>
      </w:r>
      <w:bookmarkEnd w:id="27"/>
      <w:bookmarkEnd w:id="28"/>
      <w:bookmarkEnd w:id="29"/>
    </w:p>
    <w:p>
      <w:pPr>
        <w:spacing w:line="360" w:lineRule="auto"/>
        <w:ind w:firstLine="482" w:firstLineChars="200"/>
        <w:outlineLvl w:val="2"/>
        <w:rPr>
          <w:rFonts w:ascii="宋体" w:hAnsi="宋体" w:cs="宋体"/>
          <w:b/>
          <w:bCs/>
          <w:sz w:val="24"/>
        </w:rPr>
      </w:pPr>
      <w:r>
        <w:rPr>
          <w:rFonts w:hint="eastAsia" w:ascii="宋体" w:hAnsi="宋体" w:cs="宋体"/>
          <w:b/>
          <w:bCs/>
          <w:sz w:val="24"/>
        </w:rPr>
        <w:t>1.1 项目概况</w:t>
      </w:r>
    </w:p>
    <w:p>
      <w:pPr>
        <w:spacing w:line="360" w:lineRule="auto"/>
        <w:ind w:firstLine="480" w:firstLineChars="200"/>
        <w:rPr>
          <w:rFonts w:ascii="宋体" w:hAnsi="宋体" w:cs="宋体"/>
          <w:sz w:val="24"/>
        </w:rPr>
      </w:pPr>
      <w:r>
        <w:rPr>
          <w:rFonts w:hint="eastAsia" w:ascii="宋体" w:hAnsi="宋体" w:cs="宋体"/>
          <w:sz w:val="24"/>
        </w:rPr>
        <w:t>1.1.1 根据《中华人民共和国政府采购法》、《中华人民共和国招标投标法》、《中华人民共和国招标投标法实施条例》、《中华人民共和国政府采购法实施条例》等有关法律、法规和规章的规定，本招标项目已具备招标条件，现对本招标项目服务进行招标。</w:t>
      </w:r>
    </w:p>
    <w:p>
      <w:pPr>
        <w:spacing w:line="360" w:lineRule="auto"/>
        <w:ind w:firstLine="480" w:firstLineChars="200"/>
        <w:rPr>
          <w:rFonts w:ascii="宋体" w:hAnsi="宋体" w:cs="宋体"/>
          <w:sz w:val="24"/>
        </w:rPr>
      </w:pPr>
      <w:r>
        <w:rPr>
          <w:rFonts w:hint="eastAsia" w:ascii="宋体" w:hAnsi="宋体" w:cs="宋体"/>
          <w:sz w:val="24"/>
        </w:rPr>
        <w:t>1.1.2 本招标项目采购人：见投标人须知前附表。</w:t>
      </w:r>
    </w:p>
    <w:p>
      <w:pPr>
        <w:spacing w:line="360" w:lineRule="auto"/>
        <w:ind w:firstLine="480" w:firstLineChars="200"/>
        <w:rPr>
          <w:rFonts w:ascii="宋体" w:hAnsi="宋体" w:cs="宋体"/>
          <w:sz w:val="24"/>
        </w:rPr>
      </w:pPr>
      <w:r>
        <w:rPr>
          <w:rFonts w:hint="eastAsia" w:ascii="宋体" w:hAnsi="宋体" w:cs="宋体"/>
          <w:sz w:val="24"/>
        </w:rPr>
        <w:t>1.1.3 本招标项目采购代理机构：见投标人须知前附表。</w:t>
      </w:r>
    </w:p>
    <w:p>
      <w:pPr>
        <w:tabs>
          <w:tab w:val="left" w:pos="7665"/>
        </w:tabs>
        <w:spacing w:line="360" w:lineRule="auto"/>
        <w:ind w:firstLine="480" w:firstLineChars="200"/>
        <w:rPr>
          <w:rFonts w:ascii="宋体" w:hAnsi="宋体" w:cs="宋体"/>
          <w:sz w:val="24"/>
        </w:rPr>
      </w:pPr>
      <w:r>
        <w:rPr>
          <w:rFonts w:hint="eastAsia" w:ascii="宋体" w:hAnsi="宋体" w:cs="宋体"/>
          <w:sz w:val="24"/>
        </w:rPr>
        <w:t>1.1.4本招标项目监督机构：陕西省财政厅。</w:t>
      </w:r>
    </w:p>
    <w:p>
      <w:pPr>
        <w:spacing w:line="360" w:lineRule="auto"/>
        <w:ind w:firstLine="480" w:firstLineChars="200"/>
        <w:rPr>
          <w:rFonts w:ascii="宋体" w:hAnsi="宋体" w:cs="宋体"/>
          <w:sz w:val="24"/>
        </w:rPr>
      </w:pPr>
      <w:r>
        <w:rPr>
          <w:rFonts w:hint="eastAsia" w:ascii="宋体" w:hAnsi="宋体" w:cs="宋体"/>
          <w:sz w:val="24"/>
        </w:rPr>
        <w:t>1.1.5本招标项目服务地点：见投标人须知前附表。</w:t>
      </w:r>
    </w:p>
    <w:p>
      <w:pPr>
        <w:spacing w:line="360" w:lineRule="auto"/>
        <w:ind w:firstLine="482" w:firstLineChars="200"/>
        <w:outlineLvl w:val="2"/>
        <w:rPr>
          <w:rFonts w:ascii="宋体" w:hAnsi="宋体" w:cs="宋体"/>
          <w:b/>
          <w:bCs/>
          <w:sz w:val="24"/>
        </w:rPr>
      </w:pPr>
      <w:r>
        <w:rPr>
          <w:rFonts w:hint="eastAsia" w:ascii="宋体" w:hAnsi="宋体" w:cs="宋体"/>
          <w:b/>
          <w:bCs/>
          <w:sz w:val="24"/>
        </w:rPr>
        <w:t>1.2 资金来源和落实情况</w:t>
      </w:r>
    </w:p>
    <w:p>
      <w:pPr>
        <w:spacing w:line="360" w:lineRule="auto"/>
        <w:ind w:firstLine="480" w:firstLineChars="200"/>
        <w:rPr>
          <w:rFonts w:ascii="宋体" w:hAnsi="宋体" w:cs="宋体"/>
          <w:sz w:val="24"/>
        </w:rPr>
      </w:pPr>
      <w:r>
        <w:rPr>
          <w:rFonts w:hint="eastAsia" w:ascii="宋体" w:hAnsi="宋体" w:cs="宋体"/>
          <w:sz w:val="24"/>
        </w:rPr>
        <w:t>1.2.1 本招标项目的资金来源：见投标人须知前附表。</w:t>
      </w:r>
    </w:p>
    <w:p>
      <w:pPr>
        <w:spacing w:line="360" w:lineRule="auto"/>
        <w:ind w:firstLine="480" w:firstLineChars="200"/>
        <w:rPr>
          <w:rFonts w:ascii="宋体" w:hAnsi="宋体" w:cs="宋体"/>
          <w:sz w:val="24"/>
        </w:rPr>
      </w:pPr>
      <w:r>
        <w:rPr>
          <w:rFonts w:hint="eastAsia" w:ascii="宋体" w:hAnsi="宋体" w:cs="宋体"/>
          <w:sz w:val="24"/>
        </w:rPr>
        <w:t>1.2.2 本招标项目的资金落实情况：见投标人须知前附表。</w:t>
      </w:r>
    </w:p>
    <w:p>
      <w:pPr>
        <w:spacing w:line="360" w:lineRule="auto"/>
        <w:ind w:firstLine="482" w:firstLineChars="200"/>
        <w:outlineLvl w:val="2"/>
        <w:rPr>
          <w:rFonts w:ascii="宋体" w:hAnsi="宋体" w:cs="宋体"/>
          <w:b/>
          <w:bCs/>
          <w:sz w:val="24"/>
        </w:rPr>
      </w:pPr>
      <w:r>
        <w:rPr>
          <w:rFonts w:hint="eastAsia" w:ascii="宋体" w:hAnsi="宋体" w:cs="宋体"/>
          <w:b/>
          <w:bCs/>
          <w:sz w:val="24"/>
        </w:rPr>
        <w:t>1.3 招标范围、服务工期和质量要求</w:t>
      </w:r>
    </w:p>
    <w:p>
      <w:pPr>
        <w:spacing w:line="360" w:lineRule="auto"/>
        <w:ind w:firstLine="480" w:firstLineChars="200"/>
        <w:rPr>
          <w:rFonts w:ascii="宋体" w:hAnsi="宋体" w:cs="宋体"/>
          <w:sz w:val="24"/>
        </w:rPr>
      </w:pPr>
      <w:r>
        <w:rPr>
          <w:rFonts w:hint="eastAsia" w:ascii="宋体" w:hAnsi="宋体" w:cs="宋体"/>
          <w:sz w:val="24"/>
        </w:rPr>
        <w:t>1.3.1 本次招标范围：见投标人须知前附表。</w:t>
      </w:r>
    </w:p>
    <w:p>
      <w:pPr>
        <w:spacing w:line="360" w:lineRule="auto"/>
        <w:ind w:firstLine="480" w:firstLineChars="200"/>
        <w:rPr>
          <w:rFonts w:ascii="宋体" w:hAnsi="宋体" w:cs="宋体"/>
          <w:sz w:val="24"/>
        </w:rPr>
      </w:pPr>
      <w:r>
        <w:rPr>
          <w:rFonts w:hint="eastAsia" w:ascii="宋体" w:hAnsi="宋体" w:cs="宋体"/>
          <w:sz w:val="24"/>
        </w:rPr>
        <w:t>1.3.2 本招标项目的服务期：</w:t>
      </w:r>
      <w:bookmarkStart w:id="30" w:name="OLE_LINK8"/>
      <w:r>
        <w:rPr>
          <w:rFonts w:hint="eastAsia" w:ascii="宋体" w:hAnsi="宋体" w:cs="宋体"/>
          <w:sz w:val="24"/>
        </w:rPr>
        <w:t>见投标人须知前附表。</w:t>
      </w:r>
      <w:bookmarkEnd w:id="30"/>
    </w:p>
    <w:p>
      <w:pPr>
        <w:spacing w:line="360" w:lineRule="auto"/>
        <w:ind w:firstLine="480" w:firstLineChars="200"/>
        <w:rPr>
          <w:rFonts w:ascii="宋体" w:hAnsi="宋体" w:cs="宋体"/>
          <w:sz w:val="24"/>
        </w:rPr>
      </w:pPr>
      <w:r>
        <w:rPr>
          <w:rFonts w:hint="eastAsia" w:ascii="宋体" w:hAnsi="宋体" w:cs="宋体"/>
          <w:sz w:val="24"/>
        </w:rPr>
        <w:t>1.3.3 本招标项目的质量要求：见投标人须知前附表。</w:t>
      </w:r>
    </w:p>
    <w:p>
      <w:pPr>
        <w:spacing w:line="360" w:lineRule="auto"/>
        <w:ind w:firstLine="482" w:firstLineChars="200"/>
        <w:outlineLvl w:val="2"/>
        <w:rPr>
          <w:rFonts w:ascii="宋体" w:hAnsi="宋体" w:cs="宋体"/>
          <w:b/>
          <w:bCs/>
          <w:sz w:val="24"/>
        </w:rPr>
      </w:pPr>
      <w:r>
        <w:rPr>
          <w:rFonts w:hint="eastAsia" w:ascii="宋体" w:hAnsi="宋体" w:cs="宋体"/>
          <w:b/>
          <w:bCs/>
          <w:sz w:val="24"/>
        </w:rPr>
        <w:t>1.4 投标人资格要求及招标文件领取时间</w:t>
      </w:r>
    </w:p>
    <w:p>
      <w:pPr>
        <w:pStyle w:val="6"/>
        <w:widowControl/>
        <w:spacing w:line="360" w:lineRule="auto"/>
        <w:ind w:firstLine="480" w:firstLineChars="200"/>
        <w:rPr>
          <w:rFonts w:ascii="宋体" w:hAnsi="宋体" w:cs="宋体"/>
          <w:sz w:val="24"/>
          <w:szCs w:val="24"/>
        </w:rPr>
      </w:pPr>
      <w:r>
        <w:rPr>
          <w:rFonts w:hint="eastAsia" w:ascii="宋体" w:hAnsi="宋体" w:cs="宋体"/>
          <w:sz w:val="24"/>
          <w:szCs w:val="24"/>
        </w:rPr>
        <w:t>1.4.1资格审查条件：见投标人须知前附表。</w:t>
      </w:r>
    </w:p>
    <w:p>
      <w:pPr>
        <w:spacing w:line="360" w:lineRule="auto"/>
        <w:ind w:firstLine="480" w:firstLineChars="200"/>
        <w:rPr>
          <w:rFonts w:ascii="宋体" w:hAnsi="宋体" w:cs="宋体"/>
          <w:sz w:val="24"/>
        </w:rPr>
      </w:pPr>
      <w:r>
        <w:rPr>
          <w:rFonts w:hint="eastAsia" w:ascii="宋体" w:hAnsi="宋体" w:cs="宋体"/>
          <w:sz w:val="24"/>
        </w:rPr>
        <w:t>1.4.2招标文件领取时间：见投标人须知前附表。</w:t>
      </w:r>
    </w:p>
    <w:p>
      <w:pPr>
        <w:spacing w:line="360" w:lineRule="auto"/>
        <w:ind w:firstLine="482" w:firstLineChars="200"/>
        <w:outlineLvl w:val="2"/>
        <w:rPr>
          <w:rFonts w:ascii="宋体" w:hAnsi="宋体" w:cs="宋体"/>
          <w:b/>
          <w:bCs/>
          <w:sz w:val="24"/>
        </w:rPr>
      </w:pPr>
      <w:r>
        <w:rPr>
          <w:rFonts w:hint="eastAsia" w:ascii="宋体" w:hAnsi="宋体" w:cs="宋体"/>
          <w:b/>
          <w:bCs/>
          <w:sz w:val="24"/>
        </w:rPr>
        <w:t>1.5 费用承担</w:t>
      </w:r>
    </w:p>
    <w:p>
      <w:pPr>
        <w:spacing w:line="360" w:lineRule="auto"/>
        <w:ind w:firstLine="480" w:firstLineChars="200"/>
        <w:rPr>
          <w:rFonts w:ascii="宋体" w:hAnsi="宋体" w:cs="宋体"/>
          <w:sz w:val="24"/>
        </w:rPr>
      </w:pPr>
      <w:r>
        <w:rPr>
          <w:rFonts w:hint="eastAsia" w:ascii="宋体" w:hAnsi="宋体" w:cs="宋体"/>
          <w:sz w:val="24"/>
        </w:rPr>
        <w:t>投标人准备和参加投标活动所发生的一切费用自理。</w:t>
      </w:r>
    </w:p>
    <w:p>
      <w:pPr>
        <w:spacing w:line="360" w:lineRule="auto"/>
        <w:ind w:firstLine="482" w:firstLineChars="200"/>
        <w:outlineLvl w:val="2"/>
        <w:rPr>
          <w:rFonts w:ascii="宋体" w:hAnsi="宋体" w:cs="宋体"/>
          <w:b/>
          <w:bCs/>
          <w:sz w:val="24"/>
        </w:rPr>
      </w:pPr>
      <w:r>
        <w:rPr>
          <w:rFonts w:hint="eastAsia" w:ascii="宋体" w:hAnsi="宋体" w:cs="宋体"/>
          <w:b/>
          <w:bCs/>
          <w:sz w:val="24"/>
        </w:rPr>
        <w:t>1.6 保密</w:t>
      </w:r>
    </w:p>
    <w:p>
      <w:pPr>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spacing w:line="360" w:lineRule="auto"/>
        <w:ind w:firstLine="482" w:firstLineChars="200"/>
        <w:outlineLvl w:val="2"/>
        <w:rPr>
          <w:rFonts w:ascii="宋体" w:hAnsi="宋体" w:cs="宋体"/>
          <w:b/>
          <w:bCs/>
          <w:sz w:val="24"/>
        </w:rPr>
      </w:pPr>
      <w:r>
        <w:rPr>
          <w:rFonts w:hint="eastAsia" w:ascii="宋体" w:hAnsi="宋体" w:cs="宋体"/>
          <w:b/>
          <w:bCs/>
          <w:sz w:val="24"/>
        </w:rPr>
        <w:t>1.7 语言文字</w:t>
      </w:r>
    </w:p>
    <w:p>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spacing w:line="360" w:lineRule="auto"/>
        <w:ind w:firstLine="482" w:firstLineChars="200"/>
        <w:outlineLvl w:val="2"/>
        <w:rPr>
          <w:rFonts w:ascii="宋体" w:hAnsi="宋体" w:cs="宋体"/>
          <w:b/>
          <w:bCs/>
          <w:sz w:val="24"/>
        </w:rPr>
      </w:pPr>
      <w:r>
        <w:rPr>
          <w:rFonts w:hint="eastAsia" w:ascii="宋体" w:hAnsi="宋体" w:cs="宋体"/>
          <w:b/>
          <w:bCs/>
          <w:sz w:val="24"/>
        </w:rPr>
        <w:t>1.8 计量单位</w:t>
      </w:r>
    </w:p>
    <w:p>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spacing w:line="360" w:lineRule="auto"/>
        <w:ind w:firstLine="482" w:firstLineChars="200"/>
        <w:outlineLvl w:val="2"/>
        <w:rPr>
          <w:rFonts w:ascii="宋体" w:hAnsi="宋体" w:cs="宋体"/>
          <w:b/>
          <w:bCs/>
          <w:sz w:val="24"/>
        </w:rPr>
      </w:pPr>
      <w:r>
        <w:rPr>
          <w:rFonts w:hint="eastAsia" w:ascii="宋体" w:hAnsi="宋体" w:cs="宋体"/>
          <w:b/>
          <w:bCs/>
          <w:sz w:val="24"/>
        </w:rPr>
        <w:t>1.9 踏勘现场</w:t>
      </w:r>
    </w:p>
    <w:p>
      <w:pPr>
        <w:spacing w:line="360" w:lineRule="auto"/>
        <w:ind w:firstLine="480" w:firstLineChars="200"/>
        <w:rPr>
          <w:rFonts w:ascii="宋体" w:hAnsi="宋体" w:cs="宋体"/>
          <w:sz w:val="24"/>
        </w:rPr>
      </w:pPr>
      <w:r>
        <w:rPr>
          <w:rFonts w:hint="eastAsia" w:ascii="宋体" w:hAnsi="宋体" w:cs="宋体"/>
          <w:sz w:val="24"/>
        </w:rPr>
        <w:t>1.9.1采购代理机构不组织统一踏勘现场，由投标人自行安排。</w:t>
      </w:r>
    </w:p>
    <w:p>
      <w:pPr>
        <w:spacing w:line="360" w:lineRule="auto"/>
        <w:ind w:firstLine="480" w:firstLineChars="200"/>
        <w:rPr>
          <w:rFonts w:ascii="宋体" w:hAnsi="宋体" w:cs="宋体"/>
          <w:sz w:val="24"/>
        </w:rPr>
      </w:pPr>
      <w:r>
        <w:rPr>
          <w:rFonts w:hint="eastAsia" w:ascii="宋体" w:hAnsi="宋体" w:cs="宋体"/>
          <w:sz w:val="24"/>
        </w:rPr>
        <w:t>1.9.2 投标人踏勘现场发生的一切费用自理，并自行负责在踏勘现场中所发生的人员伤亡和财产损失。</w:t>
      </w:r>
    </w:p>
    <w:p>
      <w:pPr>
        <w:spacing w:line="360" w:lineRule="auto"/>
        <w:ind w:firstLine="480" w:firstLineChars="200"/>
        <w:rPr>
          <w:rFonts w:ascii="宋体" w:hAnsi="宋体" w:cs="宋体"/>
          <w:sz w:val="24"/>
        </w:rPr>
      </w:pPr>
      <w:r>
        <w:rPr>
          <w:rFonts w:hint="eastAsia" w:ascii="宋体" w:hAnsi="宋体" w:cs="宋体"/>
          <w:sz w:val="24"/>
        </w:rPr>
        <w:t>1.9.3 投标人应对项目现场及周围环境进行踏勘，充分了解现场环境、总体布置情况、地形地貌、现场道路、场内运输、装卸等限制条件及其它任何足以影响投标报价的情况，以便各投标人获取须自主考虑的有关投标文件编制和合同签署所需的相关资料和数据，任何因忽视或误解项目实施地点情况而导致的索赔申请将不获批准。</w:t>
      </w:r>
    </w:p>
    <w:p>
      <w:pPr>
        <w:spacing w:line="360" w:lineRule="auto"/>
        <w:ind w:firstLine="480" w:firstLineChars="200"/>
        <w:rPr>
          <w:rFonts w:ascii="宋体" w:hAnsi="宋体" w:cs="宋体"/>
          <w:sz w:val="24"/>
        </w:rPr>
      </w:pPr>
      <w:r>
        <w:rPr>
          <w:rFonts w:hint="eastAsia" w:ascii="宋体" w:hAnsi="宋体" w:cs="宋体"/>
          <w:sz w:val="24"/>
        </w:rPr>
        <w:t>1.9.4 采购人在踏勘现场中介绍的工程场地和相关的周边环境情况，供投标人在编制投标文件时参考，采购人不对投标人据此作出的判断和决策负责。</w:t>
      </w:r>
    </w:p>
    <w:p>
      <w:pPr>
        <w:spacing w:line="360" w:lineRule="auto"/>
        <w:ind w:firstLine="482" w:firstLineChars="200"/>
        <w:outlineLvl w:val="2"/>
        <w:rPr>
          <w:rFonts w:ascii="宋体" w:hAnsi="宋体" w:cs="宋体"/>
          <w:b/>
          <w:bCs/>
          <w:sz w:val="24"/>
        </w:rPr>
      </w:pPr>
      <w:r>
        <w:rPr>
          <w:rFonts w:hint="eastAsia" w:ascii="宋体" w:hAnsi="宋体" w:cs="宋体"/>
          <w:b/>
          <w:bCs/>
          <w:sz w:val="24"/>
        </w:rPr>
        <w:t>1.10 投标答疑会</w:t>
      </w:r>
    </w:p>
    <w:p>
      <w:pPr>
        <w:spacing w:line="360" w:lineRule="auto"/>
        <w:ind w:firstLine="480" w:firstLineChars="200"/>
        <w:rPr>
          <w:rFonts w:ascii="宋体" w:hAnsi="宋体" w:cs="宋体"/>
          <w:sz w:val="24"/>
        </w:rPr>
      </w:pPr>
      <w:r>
        <w:rPr>
          <w:rFonts w:hint="eastAsia" w:ascii="宋体" w:hAnsi="宋体" w:cs="宋体"/>
          <w:sz w:val="24"/>
        </w:rPr>
        <w:t>不召开；若有疑问，均应在有效期内以书面形式向采购代理机构提出。</w:t>
      </w:r>
    </w:p>
    <w:p>
      <w:pPr>
        <w:spacing w:line="360" w:lineRule="auto"/>
        <w:ind w:firstLine="482" w:firstLineChars="200"/>
        <w:outlineLvl w:val="2"/>
        <w:rPr>
          <w:rFonts w:ascii="宋体" w:hAnsi="宋体" w:cs="宋体"/>
          <w:b/>
          <w:bCs/>
          <w:sz w:val="24"/>
        </w:rPr>
      </w:pPr>
      <w:r>
        <w:rPr>
          <w:rFonts w:hint="eastAsia" w:ascii="宋体" w:hAnsi="宋体" w:cs="宋体"/>
          <w:b/>
          <w:bCs/>
          <w:sz w:val="24"/>
        </w:rPr>
        <w:t>1.11 分包</w:t>
      </w:r>
    </w:p>
    <w:p>
      <w:pPr>
        <w:spacing w:line="360" w:lineRule="auto"/>
        <w:ind w:firstLine="480" w:firstLineChars="200"/>
        <w:rPr>
          <w:rFonts w:ascii="宋体" w:hAnsi="宋体" w:cs="宋体"/>
          <w:sz w:val="24"/>
        </w:rPr>
      </w:pPr>
      <w:r>
        <w:rPr>
          <w:rFonts w:hint="eastAsia" w:ascii="宋体" w:hAnsi="宋体" w:cs="宋体"/>
          <w:sz w:val="24"/>
        </w:rPr>
        <w:t>不允许。</w:t>
      </w:r>
    </w:p>
    <w:p>
      <w:pPr>
        <w:spacing w:line="360" w:lineRule="auto"/>
        <w:ind w:firstLine="482" w:firstLineChars="200"/>
        <w:outlineLvl w:val="2"/>
        <w:rPr>
          <w:rFonts w:ascii="宋体" w:hAnsi="宋体" w:cs="宋体"/>
          <w:b/>
          <w:bCs/>
          <w:sz w:val="24"/>
        </w:rPr>
      </w:pPr>
      <w:r>
        <w:rPr>
          <w:rFonts w:hint="eastAsia" w:ascii="宋体" w:hAnsi="宋体" w:cs="宋体"/>
          <w:b/>
          <w:bCs/>
          <w:sz w:val="24"/>
        </w:rPr>
        <w:t>1.12 偏离</w:t>
      </w:r>
    </w:p>
    <w:p>
      <w:pPr>
        <w:spacing w:line="360" w:lineRule="auto"/>
        <w:ind w:firstLine="480" w:firstLineChars="200"/>
        <w:rPr>
          <w:rFonts w:ascii="宋体" w:hAnsi="宋体" w:cs="宋体"/>
          <w:sz w:val="24"/>
        </w:rPr>
      </w:pPr>
      <w:bookmarkStart w:id="31" w:name="_Toc420591644"/>
      <w:bookmarkStart w:id="32" w:name="_Toc425240465"/>
      <w:bookmarkStart w:id="33" w:name="_Toc421778366"/>
      <w:r>
        <w:rPr>
          <w:rFonts w:hint="eastAsia" w:ascii="宋体" w:hAnsi="宋体" w:cs="宋体"/>
          <w:sz w:val="24"/>
        </w:rPr>
        <w:t>不满足评标办法中初步评审标准的，视为发生重大偏离，其投标被否决。其余偏离视为细微偏离，评标委员会将通过澄清方式对细微偏离进行澄清或修改。</w:t>
      </w:r>
    </w:p>
    <w:p>
      <w:pPr>
        <w:spacing w:line="360" w:lineRule="auto"/>
        <w:outlineLvl w:val="1"/>
        <w:rPr>
          <w:rFonts w:ascii="宋体" w:hAnsi="宋体" w:cs="宋体"/>
          <w:b/>
          <w:bCs/>
          <w:sz w:val="24"/>
        </w:rPr>
      </w:pPr>
      <w:r>
        <w:rPr>
          <w:rFonts w:hint="eastAsia" w:ascii="宋体" w:hAnsi="宋体" w:cs="宋体"/>
          <w:b/>
          <w:bCs/>
          <w:sz w:val="24"/>
        </w:rPr>
        <w:t>2．招标文件</w:t>
      </w:r>
      <w:bookmarkEnd w:id="31"/>
      <w:bookmarkEnd w:id="32"/>
      <w:bookmarkEnd w:id="33"/>
    </w:p>
    <w:p>
      <w:pPr>
        <w:spacing w:line="360" w:lineRule="auto"/>
        <w:ind w:firstLine="482" w:firstLineChars="200"/>
        <w:outlineLvl w:val="2"/>
        <w:rPr>
          <w:rFonts w:ascii="宋体" w:hAnsi="宋体" w:cs="宋体"/>
          <w:b/>
          <w:bCs/>
          <w:sz w:val="24"/>
        </w:rPr>
      </w:pPr>
      <w:r>
        <w:rPr>
          <w:rFonts w:hint="eastAsia" w:ascii="宋体" w:hAnsi="宋体" w:cs="宋体"/>
          <w:b/>
          <w:bCs/>
          <w:sz w:val="24"/>
        </w:rPr>
        <w:t>2.1 招标文件的组成</w:t>
      </w:r>
    </w:p>
    <w:p>
      <w:pPr>
        <w:spacing w:line="360" w:lineRule="auto"/>
        <w:ind w:firstLine="480" w:firstLineChars="200"/>
        <w:rPr>
          <w:rFonts w:ascii="宋体" w:hAnsi="宋体" w:cs="宋体"/>
          <w:sz w:val="24"/>
        </w:rPr>
      </w:pPr>
      <w:r>
        <w:rPr>
          <w:rFonts w:hint="eastAsia" w:ascii="宋体" w:hAnsi="宋体" w:cs="宋体"/>
          <w:sz w:val="24"/>
        </w:rPr>
        <w:t>本招标文件包括：</w:t>
      </w:r>
    </w:p>
    <w:p>
      <w:pPr>
        <w:spacing w:line="360" w:lineRule="auto"/>
        <w:ind w:firstLine="480" w:firstLineChars="200"/>
        <w:rPr>
          <w:rFonts w:ascii="宋体" w:hAnsi="宋体" w:cs="宋体"/>
          <w:sz w:val="24"/>
        </w:rPr>
      </w:pPr>
      <w:r>
        <w:rPr>
          <w:rFonts w:hint="eastAsia" w:ascii="宋体" w:hAnsi="宋体" w:cs="宋体"/>
          <w:sz w:val="24"/>
        </w:rPr>
        <w:t>(1）招标公告；</w:t>
      </w:r>
    </w:p>
    <w:p>
      <w:pPr>
        <w:spacing w:line="360" w:lineRule="auto"/>
        <w:ind w:firstLine="480" w:firstLineChars="200"/>
        <w:rPr>
          <w:rFonts w:ascii="宋体" w:hAnsi="宋体" w:cs="宋体"/>
          <w:sz w:val="24"/>
        </w:rPr>
      </w:pPr>
      <w:r>
        <w:rPr>
          <w:rFonts w:hint="eastAsia" w:ascii="宋体" w:hAnsi="宋体" w:cs="宋体"/>
          <w:sz w:val="24"/>
        </w:rPr>
        <w:t>(2）投标人须知；</w:t>
      </w:r>
    </w:p>
    <w:p>
      <w:pPr>
        <w:spacing w:line="360" w:lineRule="auto"/>
        <w:ind w:firstLine="480" w:firstLineChars="200"/>
        <w:rPr>
          <w:rFonts w:ascii="宋体" w:hAnsi="宋体" w:cs="宋体"/>
          <w:sz w:val="24"/>
        </w:rPr>
      </w:pPr>
      <w:r>
        <w:rPr>
          <w:rFonts w:hint="eastAsia" w:ascii="宋体" w:hAnsi="宋体" w:cs="宋体"/>
          <w:sz w:val="24"/>
        </w:rPr>
        <w:t>(3）评标办法；</w:t>
      </w:r>
    </w:p>
    <w:p>
      <w:pPr>
        <w:spacing w:line="360" w:lineRule="auto"/>
        <w:ind w:firstLine="480" w:firstLineChars="200"/>
        <w:rPr>
          <w:rFonts w:ascii="宋体" w:hAnsi="宋体" w:cs="宋体"/>
          <w:sz w:val="24"/>
        </w:rPr>
      </w:pPr>
      <w:r>
        <w:rPr>
          <w:rFonts w:hint="eastAsia" w:ascii="宋体" w:hAnsi="宋体" w:cs="宋体"/>
          <w:sz w:val="24"/>
        </w:rPr>
        <w:t>(4）采购内容及要求；</w:t>
      </w:r>
    </w:p>
    <w:p>
      <w:pPr>
        <w:spacing w:line="360" w:lineRule="auto"/>
        <w:ind w:firstLine="480" w:firstLineChars="200"/>
        <w:rPr>
          <w:rFonts w:ascii="宋体" w:hAnsi="宋体" w:cs="宋体"/>
          <w:sz w:val="24"/>
        </w:rPr>
      </w:pPr>
      <w:r>
        <w:rPr>
          <w:rFonts w:hint="eastAsia" w:ascii="宋体" w:hAnsi="宋体" w:cs="宋体"/>
          <w:sz w:val="24"/>
        </w:rPr>
        <w:t>(5）合同条款及格式；</w:t>
      </w:r>
    </w:p>
    <w:p>
      <w:pPr>
        <w:spacing w:line="360" w:lineRule="auto"/>
        <w:ind w:firstLine="480" w:firstLineChars="200"/>
        <w:rPr>
          <w:rFonts w:ascii="宋体" w:hAnsi="宋体" w:cs="宋体"/>
          <w:sz w:val="24"/>
        </w:rPr>
      </w:pPr>
      <w:r>
        <w:rPr>
          <w:rFonts w:hint="eastAsia" w:ascii="宋体" w:hAnsi="宋体" w:cs="宋体"/>
          <w:sz w:val="24"/>
        </w:rPr>
        <w:t>(6）投标文件格式。</w:t>
      </w:r>
    </w:p>
    <w:p>
      <w:pPr>
        <w:spacing w:line="360" w:lineRule="auto"/>
        <w:ind w:firstLine="480" w:firstLineChars="200"/>
        <w:rPr>
          <w:rFonts w:ascii="宋体" w:hAnsi="宋体" w:cs="宋体"/>
          <w:sz w:val="24"/>
        </w:rPr>
      </w:pPr>
      <w:r>
        <w:rPr>
          <w:rFonts w:hint="eastAsia" w:ascii="宋体" w:hAnsi="宋体" w:cs="宋体"/>
          <w:sz w:val="24"/>
        </w:rPr>
        <w:t>根据本章第1.10款和第2.2款对招标文件所作的澄清、修改，构成招标文件的组成部分。</w:t>
      </w:r>
    </w:p>
    <w:p>
      <w:pPr>
        <w:spacing w:line="360" w:lineRule="auto"/>
        <w:ind w:firstLine="482" w:firstLineChars="200"/>
        <w:outlineLvl w:val="2"/>
        <w:rPr>
          <w:rFonts w:ascii="宋体" w:hAnsi="宋体" w:cs="宋体"/>
          <w:b/>
          <w:bCs/>
          <w:sz w:val="24"/>
        </w:rPr>
      </w:pPr>
      <w:r>
        <w:rPr>
          <w:rFonts w:hint="eastAsia" w:ascii="宋体" w:hAnsi="宋体" w:cs="宋体"/>
          <w:b/>
          <w:bCs/>
          <w:sz w:val="24"/>
        </w:rPr>
        <w:t>2.2 招标文件的澄清及修改</w:t>
      </w:r>
    </w:p>
    <w:p>
      <w:pPr>
        <w:spacing w:line="360" w:lineRule="auto"/>
        <w:ind w:firstLine="480" w:firstLineChars="200"/>
        <w:rPr>
          <w:rFonts w:ascii="宋体" w:hAnsi="宋体" w:cs="宋体"/>
          <w:sz w:val="24"/>
        </w:rPr>
      </w:pPr>
      <w:r>
        <w:rPr>
          <w:rFonts w:hint="eastAsia" w:ascii="宋体" w:hAnsi="宋体" w:cs="宋体"/>
          <w:sz w:val="24"/>
        </w:rPr>
        <w:t>2.2.1在投标文件递交截止前，采购代理机构可以视采购具体情况，延长投标截止时间和开标时间并在财政部门指定的媒体上发布变更公告，同时将变更时间书面通知所有获取招标文件的潜在投标人。</w:t>
      </w:r>
    </w:p>
    <w:p>
      <w:pPr>
        <w:spacing w:line="360" w:lineRule="auto"/>
        <w:ind w:firstLine="480" w:firstLineChars="200"/>
        <w:rPr>
          <w:rFonts w:ascii="宋体" w:hAnsi="宋体" w:cs="宋体"/>
          <w:sz w:val="24"/>
        </w:rPr>
      </w:pPr>
      <w:r>
        <w:rPr>
          <w:rFonts w:hint="eastAsia" w:ascii="宋体" w:hAnsi="宋体" w:cs="宋体"/>
          <w:sz w:val="24"/>
        </w:rPr>
        <w:t xml:space="preserve">2.2.2采购代理机构如果对已发出的招标文件进行修改，将在招标文件要求提交投标文件截止时间15日前，在发布招标公告的媒体上发布变更公告，并以书面形式通知所有获取招标文件的潜在投标人。该澄清或者修改的内容为招标文件的组成部分。 </w:t>
      </w:r>
    </w:p>
    <w:p>
      <w:pPr>
        <w:spacing w:line="360" w:lineRule="auto"/>
        <w:ind w:firstLine="480" w:firstLineChars="200"/>
        <w:rPr>
          <w:rFonts w:ascii="宋体" w:hAnsi="宋体" w:cs="宋体"/>
          <w:sz w:val="24"/>
        </w:rPr>
      </w:pPr>
      <w:r>
        <w:rPr>
          <w:rFonts w:hint="eastAsia" w:ascii="宋体" w:hAnsi="宋体" w:cs="宋体"/>
          <w:sz w:val="24"/>
        </w:rPr>
        <w:t>2.2.3已经购买招标文件的投标人对招标文件有疑问的，均应在知道或应当知道之日起7个工作日内日以书面形式向采购人、采购代理机构提出。采购代理机构将书面答复传送给所有获取招标文件的潜在投标人。</w:t>
      </w:r>
    </w:p>
    <w:p>
      <w:pPr>
        <w:spacing w:line="360" w:lineRule="auto"/>
        <w:ind w:firstLine="480" w:firstLineChars="200"/>
        <w:rPr>
          <w:rFonts w:ascii="宋体" w:hAnsi="宋体" w:cs="宋体"/>
          <w:b/>
          <w:bCs/>
          <w:sz w:val="24"/>
        </w:rPr>
      </w:pPr>
      <w:r>
        <w:rPr>
          <w:rFonts w:hint="eastAsia" w:ascii="宋体" w:hAnsi="宋体" w:cs="宋体"/>
          <w:sz w:val="24"/>
        </w:rPr>
        <w:t>2.2.4投标人在收到上述通知后，应立即向采购代理机构回函确认。</w:t>
      </w:r>
    </w:p>
    <w:p>
      <w:pPr>
        <w:spacing w:line="360" w:lineRule="auto"/>
        <w:outlineLvl w:val="1"/>
        <w:rPr>
          <w:rFonts w:ascii="宋体" w:hAnsi="宋体" w:cs="宋体"/>
          <w:b/>
          <w:bCs/>
          <w:sz w:val="24"/>
        </w:rPr>
      </w:pPr>
      <w:bookmarkStart w:id="34" w:name="_Toc420591645"/>
      <w:bookmarkStart w:id="35" w:name="_Toc425240466"/>
      <w:bookmarkStart w:id="36" w:name="_Toc421778367"/>
      <w:r>
        <w:rPr>
          <w:rFonts w:hint="eastAsia" w:ascii="宋体" w:hAnsi="宋体" w:cs="宋体"/>
          <w:b/>
          <w:bCs/>
          <w:sz w:val="24"/>
        </w:rPr>
        <w:t>3．投标文件</w:t>
      </w:r>
      <w:bookmarkEnd w:id="34"/>
      <w:bookmarkEnd w:id="35"/>
      <w:bookmarkEnd w:id="36"/>
    </w:p>
    <w:p>
      <w:pPr>
        <w:spacing w:line="360" w:lineRule="auto"/>
        <w:ind w:firstLine="482" w:firstLineChars="200"/>
        <w:outlineLvl w:val="2"/>
        <w:rPr>
          <w:rFonts w:ascii="宋体" w:hAnsi="宋体" w:cs="宋体"/>
          <w:b/>
          <w:bCs/>
          <w:sz w:val="24"/>
        </w:rPr>
      </w:pPr>
      <w:r>
        <w:rPr>
          <w:rFonts w:hint="eastAsia" w:ascii="宋体" w:hAnsi="宋体" w:cs="宋体"/>
          <w:b/>
          <w:bCs/>
          <w:sz w:val="24"/>
        </w:rPr>
        <w:t>3.1 投标文件应包括下列内容：</w:t>
      </w:r>
    </w:p>
    <w:p>
      <w:pPr>
        <w:spacing w:line="360" w:lineRule="auto"/>
        <w:ind w:firstLine="480" w:firstLineChars="200"/>
        <w:jc w:val="left"/>
        <w:rPr>
          <w:rFonts w:ascii="宋体" w:hAnsi="宋体" w:cs="宋体"/>
          <w:sz w:val="24"/>
        </w:rPr>
      </w:pPr>
      <w:r>
        <w:rPr>
          <w:rFonts w:hint="eastAsia" w:ascii="宋体" w:hAnsi="宋体" w:cs="宋体"/>
          <w:sz w:val="24"/>
        </w:rPr>
        <w:t>第一部分    资格标</w:t>
      </w:r>
    </w:p>
    <w:p>
      <w:pPr>
        <w:widowControl/>
        <w:shd w:val="clear" w:color="auto" w:fill="FFFFFF"/>
        <w:spacing w:line="360" w:lineRule="auto"/>
        <w:ind w:firstLine="480"/>
        <w:jc w:val="left"/>
        <w:rPr>
          <w:rFonts w:ascii="宋体" w:hAnsi="宋体" w:cs="宋体"/>
          <w:color w:val="000000"/>
          <w:sz w:val="24"/>
        </w:rPr>
      </w:pPr>
      <w:r>
        <w:rPr>
          <w:rFonts w:hint="eastAsia" w:ascii="宋体" w:hAnsi="宋体" w:cs="宋体"/>
          <w:color w:val="000000"/>
          <w:sz w:val="24"/>
        </w:rPr>
        <w:t>一、投标人基本情况表</w:t>
      </w:r>
    </w:p>
    <w:p>
      <w:pPr>
        <w:widowControl/>
        <w:shd w:val="clear" w:color="auto" w:fill="FFFFFF"/>
        <w:spacing w:line="360" w:lineRule="auto"/>
        <w:ind w:firstLine="480"/>
        <w:jc w:val="left"/>
        <w:rPr>
          <w:rFonts w:ascii="宋体" w:hAnsi="宋体" w:cs="宋体"/>
          <w:color w:val="000000"/>
          <w:sz w:val="24"/>
        </w:rPr>
      </w:pPr>
      <w:r>
        <w:rPr>
          <w:rFonts w:hint="eastAsia" w:ascii="宋体" w:hAnsi="宋体" w:cs="宋体"/>
          <w:color w:val="000000"/>
          <w:sz w:val="24"/>
        </w:rPr>
        <w:t>二、投标人认为需要的其他证明材料</w:t>
      </w:r>
    </w:p>
    <w:p>
      <w:pPr>
        <w:spacing w:line="360" w:lineRule="auto"/>
        <w:ind w:firstLine="480" w:firstLineChars="200"/>
        <w:jc w:val="left"/>
        <w:rPr>
          <w:rFonts w:ascii="宋体" w:hAnsi="宋体" w:cs="宋体"/>
          <w:sz w:val="24"/>
        </w:rPr>
      </w:pPr>
      <w:r>
        <w:rPr>
          <w:rFonts w:hint="eastAsia" w:ascii="宋体" w:hAnsi="宋体" w:cs="宋体"/>
          <w:sz w:val="24"/>
        </w:rPr>
        <w:t>第二部分    技术标</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一、现状分析，需求理解与分析，计算、存储、网络扩容及对接方案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二、同步分区负载平台、数据交换共享平台建设方案及软硬件实施部署方案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三、项目团队配置 </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四、技术指标满足度 </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五、业绩</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六、企业综合实力</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七、售后服务方案及培训方案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八、履约承诺</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九、合理化建议</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十、投标人认为需要说明的其他内容</w:t>
      </w:r>
    </w:p>
    <w:p>
      <w:pPr>
        <w:spacing w:line="360" w:lineRule="auto"/>
        <w:ind w:firstLine="480" w:firstLineChars="200"/>
        <w:jc w:val="left"/>
        <w:rPr>
          <w:rFonts w:ascii="宋体" w:hAnsi="宋体" w:cs="宋体"/>
          <w:sz w:val="24"/>
        </w:rPr>
      </w:pPr>
      <w:r>
        <w:rPr>
          <w:rFonts w:hint="eastAsia" w:ascii="宋体" w:hAnsi="宋体" w:cs="宋体"/>
          <w:sz w:val="24"/>
        </w:rPr>
        <w:t>第三部分    商务标</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一、投标函</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二、开标一览表</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三、分项报价表</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四、法定代表人身份证明</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五、法定代表人授权委托书</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六、陕西省政府采购供应商拒绝政府采购领域商业贿赂承诺书</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七、供应商概况及其性质</w:t>
      </w:r>
    </w:p>
    <w:p>
      <w:pPr>
        <w:pStyle w:val="7"/>
        <w:widowControl/>
        <w:spacing w:line="360" w:lineRule="auto"/>
        <w:ind w:firstLine="420"/>
        <w:jc w:val="both"/>
        <w:rPr>
          <w:rFonts w:ascii="宋体" w:hAnsi="宋体" w:cs="宋体"/>
          <w:bCs/>
          <w:sz w:val="24"/>
        </w:rPr>
      </w:pPr>
      <w:r>
        <w:rPr>
          <w:rFonts w:hint="eastAsia" w:ascii="宋体" w:hAnsi="宋体" w:cs="宋体"/>
          <w:bCs/>
          <w:sz w:val="24"/>
        </w:rPr>
        <w:t>八、其他说明事项</w:t>
      </w:r>
    </w:p>
    <w:p>
      <w:pPr>
        <w:spacing w:line="360" w:lineRule="auto"/>
        <w:ind w:firstLine="482" w:firstLineChars="200"/>
        <w:outlineLvl w:val="2"/>
        <w:rPr>
          <w:rFonts w:ascii="宋体" w:hAnsi="宋体" w:cs="宋体"/>
          <w:b/>
          <w:bCs/>
          <w:sz w:val="24"/>
        </w:rPr>
      </w:pPr>
      <w:r>
        <w:rPr>
          <w:rFonts w:hint="eastAsia" w:ascii="宋体" w:hAnsi="宋体" w:cs="宋体"/>
          <w:b/>
          <w:bCs/>
          <w:sz w:val="24"/>
        </w:rPr>
        <w:t>3.2 投标报价</w:t>
      </w:r>
    </w:p>
    <w:p>
      <w:pPr>
        <w:spacing w:line="360" w:lineRule="auto"/>
        <w:ind w:firstLine="494" w:firstLineChars="206"/>
        <w:rPr>
          <w:rFonts w:ascii="宋体" w:hAnsi="宋体" w:cs="宋体"/>
          <w:sz w:val="24"/>
        </w:rPr>
      </w:pPr>
      <w:r>
        <w:rPr>
          <w:rFonts w:hint="eastAsia" w:ascii="宋体" w:hAnsi="宋体" w:cs="宋体"/>
          <w:sz w:val="24"/>
        </w:rPr>
        <w:t>3.2.1 投标人应按第四章“采购内容及要求”的报价要求进行报价。</w:t>
      </w:r>
    </w:p>
    <w:p>
      <w:pPr>
        <w:spacing w:line="360" w:lineRule="auto"/>
        <w:ind w:firstLine="494" w:firstLineChars="206"/>
        <w:rPr>
          <w:rFonts w:ascii="宋体" w:hAnsi="宋体" w:cs="宋体"/>
          <w:sz w:val="24"/>
        </w:rPr>
      </w:pPr>
      <w:r>
        <w:rPr>
          <w:rFonts w:hint="eastAsia" w:ascii="宋体" w:hAnsi="宋体" w:cs="宋体"/>
          <w:sz w:val="24"/>
        </w:rPr>
        <w:t>3.2.2 投标人在投标截止时间前修改“开标一览表”中的投标总报价，应同时修改“分项报价表”中的相应报价。此修改须符合本章第4.3 款的有关要求。</w:t>
      </w:r>
    </w:p>
    <w:p>
      <w:pPr>
        <w:spacing w:line="360" w:lineRule="auto"/>
        <w:ind w:firstLine="482" w:firstLineChars="200"/>
        <w:rPr>
          <w:rFonts w:ascii="宋体" w:hAnsi="宋体" w:cs="宋体"/>
          <w:b/>
          <w:bCs/>
          <w:sz w:val="24"/>
        </w:rPr>
      </w:pPr>
      <w:r>
        <w:rPr>
          <w:rFonts w:hint="eastAsia" w:ascii="宋体" w:hAnsi="宋体" w:cs="宋体"/>
          <w:b/>
          <w:bCs/>
          <w:sz w:val="24"/>
        </w:rPr>
        <w:t>3.2.3凡投标总报价高于最高限价的将被视为无效投标处理，不再参与后续评标。</w:t>
      </w:r>
    </w:p>
    <w:p>
      <w:pPr>
        <w:spacing w:line="360" w:lineRule="auto"/>
        <w:ind w:firstLine="482" w:firstLineChars="200"/>
        <w:outlineLvl w:val="2"/>
        <w:rPr>
          <w:rFonts w:ascii="宋体" w:hAnsi="宋体" w:cs="宋体"/>
          <w:b/>
          <w:bCs/>
          <w:sz w:val="24"/>
        </w:rPr>
      </w:pPr>
      <w:r>
        <w:rPr>
          <w:rFonts w:hint="eastAsia" w:ascii="宋体" w:hAnsi="宋体" w:cs="宋体"/>
          <w:b/>
          <w:bCs/>
          <w:sz w:val="24"/>
        </w:rPr>
        <w:t>3.3 投标有效期</w:t>
      </w:r>
    </w:p>
    <w:p>
      <w:pPr>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spacing w:line="360" w:lineRule="auto"/>
        <w:ind w:firstLine="482" w:firstLineChars="200"/>
        <w:outlineLvl w:val="2"/>
        <w:rPr>
          <w:rFonts w:ascii="宋体" w:hAnsi="宋体" w:cs="宋体"/>
          <w:b/>
          <w:bCs/>
          <w:sz w:val="24"/>
        </w:rPr>
      </w:pPr>
      <w:r>
        <w:rPr>
          <w:rFonts w:hint="eastAsia" w:ascii="宋体" w:hAnsi="宋体" w:cs="宋体"/>
          <w:b/>
          <w:bCs/>
          <w:sz w:val="24"/>
        </w:rPr>
        <w:t>3.4 投标保证金</w:t>
      </w:r>
    </w:p>
    <w:p>
      <w:pPr>
        <w:spacing w:line="360" w:lineRule="auto"/>
        <w:ind w:firstLine="480" w:firstLineChars="200"/>
        <w:rPr>
          <w:rFonts w:ascii="宋体" w:hAnsi="宋体" w:cs="宋体"/>
          <w:sz w:val="24"/>
        </w:rPr>
      </w:pPr>
      <w:r>
        <w:rPr>
          <w:rFonts w:hint="eastAsia" w:ascii="宋体" w:hAnsi="宋体" w:cs="宋体"/>
          <w:sz w:val="24"/>
        </w:rPr>
        <w:t>本项目无须提交投标保证金。</w:t>
      </w:r>
    </w:p>
    <w:p>
      <w:pPr>
        <w:spacing w:line="360" w:lineRule="auto"/>
        <w:ind w:firstLine="482" w:firstLineChars="200"/>
        <w:outlineLvl w:val="2"/>
        <w:rPr>
          <w:rFonts w:ascii="宋体" w:hAnsi="宋体" w:cs="宋体"/>
          <w:b/>
          <w:bCs/>
          <w:sz w:val="24"/>
        </w:rPr>
      </w:pPr>
      <w:r>
        <w:rPr>
          <w:rFonts w:hint="eastAsia" w:ascii="宋体" w:hAnsi="宋体" w:cs="宋体"/>
          <w:b/>
          <w:bCs/>
          <w:sz w:val="24"/>
        </w:rPr>
        <w:t>3.5备选投标方案</w:t>
      </w:r>
    </w:p>
    <w:p>
      <w:pPr>
        <w:spacing w:line="360" w:lineRule="auto"/>
        <w:ind w:firstLine="480" w:firstLineChars="200"/>
        <w:rPr>
          <w:rFonts w:ascii="宋体" w:hAnsi="宋体" w:cs="宋体"/>
          <w:sz w:val="24"/>
        </w:rPr>
      </w:pPr>
      <w:r>
        <w:rPr>
          <w:rFonts w:hint="eastAsia" w:ascii="宋体" w:hAnsi="宋体" w:cs="宋体"/>
          <w:sz w:val="24"/>
        </w:rPr>
        <w:t>除投标人须知前附表另有规定外，投标人不得递交备选投标方案。</w:t>
      </w:r>
    </w:p>
    <w:p>
      <w:pPr>
        <w:spacing w:line="360" w:lineRule="auto"/>
        <w:ind w:firstLine="482" w:firstLineChars="200"/>
        <w:outlineLvl w:val="2"/>
        <w:rPr>
          <w:rFonts w:ascii="宋体" w:hAnsi="宋体" w:cs="宋体"/>
          <w:b/>
          <w:bCs/>
          <w:sz w:val="24"/>
        </w:rPr>
      </w:pPr>
      <w:r>
        <w:rPr>
          <w:rFonts w:hint="eastAsia" w:ascii="宋体" w:hAnsi="宋体" w:cs="宋体"/>
          <w:b/>
          <w:bCs/>
          <w:sz w:val="24"/>
        </w:rPr>
        <w:t>3.6投标文件的编制</w:t>
      </w:r>
    </w:p>
    <w:p>
      <w:pPr>
        <w:spacing w:line="360" w:lineRule="auto"/>
        <w:ind w:firstLine="480" w:firstLineChars="200"/>
        <w:rPr>
          <w:rFonts w:ascii="宋体" w:hAnsi="宋体" w:cs="宋体"/>
          <w:sz w:val="24"/>
        </w:rPr>
      </w:pPr>
      <w:r>
        <w:rPr>
          <w:rFonts w:hint="eastAsia" w:ascii="宋体" w:hAnsi="宋体" w:cs="宋体"/>
          <w:sz w:val="24"/>
        </w:rPr>
        <w:t>3.6.1 投标文件应按“投标文件格式”进行编写，如有必要，可以增加附页，作为投标文件的组成部分。</w:t>
      </w:r>
    </w:p>
    <w:p>
      <w:pPr>
        <w:spacing w:line="360" w:lineRule="auto"/>
        <w:ind w:firstLine="480" w:firstLineChars="200"/>
        <w:rPr>
          <w:rFonts w:ascii="宋体" w:hAnsi="宋体" w:cs="宋体"/>
          <w:sz w:val="24"/>
        </w:rPr>
      </w:pPr>
      <w:r>
        <w:rPr>
          <w:rFonts w:hint="eastAsia" w:ascii="宋体" w:hAnsi="宋体" w:cs="宋体"/>
          <w:sz w:val="24"/>
        </w:rPr>
        <w:t>3.6.2 投标文件应当对招标文件有关服务期、投标有效期、质量要求、采购内容及要求等实质性内容作出响应。</w:t>
      </w:r>
    </w:p>
    <w:p>
      <w:pPr>
        <w:spacing w:line="360" w:lineRule="auto"/>
        <w:ind w:firstLine="480" w:firstLineChars="200"/>
        <w:rPr>
          <w:rFonts w:ascii="宋体" w:hAnsi="宋体" w:cs="宋体"/>
          <w:sz w:val="24"/>
        </w:rPr>
      </w:pPr>
      <w:r>
        <w:rPr>
          <w:rFonts w:hint="eastAsia" w:ascii="宋体" w:hAnsi="宋体" w:cs="宋体"/>
          <w:sz w:val="24"/>
        </w:rPr>
        <w:t>3.6.3 投标文件应用不褪色的材料书写或打印，并由投标人的法定代表人或其委托代理人签字或盖章。委托代理人签字的，投标文件应附法定代表人签署的授权委托书。投标文件应尽量避免涂改、行间插字或删除。如果出现上述情况，改动之处应加盖投标人公章或由投标人的法定代表人或其授权的代理人签字确认。所有要求签字（名）处，均须由签字（名）者本人用不褪色的蓝(黑)色墨水(汁)书写，不得用任何形式的图章代替。</w:t>
      </w:r>
    </w:p>
    <w:p>
      <w:pPr>
        <w:pStyle w:val="7"/>
        <w:widowControl/>
        <w:spacing w:line="360" w:lineRule="auto"/>
        <w:ind w:firstLine="480" w:firstLineChars="200"/>
        <w:jc w:val="left"/>
        <w:rPr>
          <w:rFonts w:ascii="宋体" w:hAnsi="宋体" w:cs="宋体"/>
          <w:sz w:val="24"/>
          <w:szCs w:val="24"/>
        </w:rPr>
      </w:pPr>
      <w:r>
        <w:rPr>
          <w:rFonts w:hint="eastAsia" w:ascii="宋体" w:hAnsi="宋体" w:cs="宋体"/>
          <w:sz w:val="24"/>
          <w:szCs w:val="24"/>
        </w:rPr>
        <w:t>3.6.4 投标文件正本、副本份数见投标人须知前附表。正本和副本的封面上应清楚地标记“正本”或“副本”的字样。当副本和正本不一致时，以正本为准。</w:t>
      </w:r>
    </w:p>
    <w:p>
      <w:pPr>
        <w:spacing w:line="360" w:lineRule="auto"/>
        <w:ind w:firstLine="482" w:firstLineChars="200"/>
        <w:rPr>
          <w:rFonts w:ascii="宋体" w:hAnsi="宋体" w:cs="宋体"/>
          <w:sz w:val="24"/>
        </w:rPr>
      </w:pPr>
      <w:r>
        <w:rPr>
          <w:rFonts w:hint="eastAsia" w:ascii="宋体" w:hAnsi="宋体" w:cs="宋体"/>
          <w:b/>
          <w:bCs/>
          <w:sz w:val="24"/>
        </w:rPr>
        <w:t>3.6.5 所有投标文件正本和副本须编制对应目录、投标文件正文须标注连续页码。投标文件为资格标、技术标、商务标的合订本，投标文件正副本须分别胶装成册</w:t>
      </w:r>
      <w:r>
        <w:rPr>
          <w:rFonts w:hint="eastAsia" w:ascii="宋体" w:hAnsi="宋体" w:cs="宋体"/>
          <w:sz w:val="24"/>
        </w:rPr>
        <w:t>。</w:t>
      </w:r>
    </w:p>
    <w:p>
      <w:pPr>
        <w:spacing w:line="360" w:lineRule="auto"/>
        <w:outlineLvl w:val="1"/>
        <w:rPr>
          <w:rFonts w:ascii="宋体" w:hAnsi="宋体" w:cs="宋体"/>
          <w:b/>
          <w:bCs/>
          <w:sz w:val="24"/>
        </w:rPr>
      </w:pPr>
      <w:bookmarkStart w:id="37" w:name="_Toc420591646"/>
      <w:bookmarkStart w:id="38" w:name="_Toc421778368"/>
      <w:bookmarkStart w:id="39" w:name="_Toc425240467"/>
      <w:r>
        <w:rPr>
          <w:rFonts w:hint="eastAsia" w:ascii="宋体" w:hAnsi="宋体" w:cs="宋体"/>
          <w:b/>
          <w:bCs/>
          <w:sz w:val="24"/>
        </w:rPr>
        <w:t>4．投标</w:t>
      </w:r>
      <w:bookmarkEnd w:id="37"/>
      <w:bookmarkEnd w:id="38"/>
      <w:bookmarkEnd w:id="39"/>
    </w:p>
    <w:p>
      <w:pPr>
        <w:spacing w:line="360" w:lineRule="auto"/>
        <w:ind w:firstLine="482" w:firstLineChars="200"/>
        <w:outlineLvl w:val="2"/>
        <w:rPr>
          <w:rFonts w:ascii="宋体" w:hAnsi="宋体" w:cs="宋体"/>
          <w:b/>
          <w:bCs/>
          <w:sz w:val="24"/>
        </w:rPr>
      </w:pPr>
      <w:r>
        <w:rPr>
          <w:rFonts w:hint="eastAsia" w:ascii="宋体" w:hAnsi="宋体" w:cs="宋体"/>
          <w:b/>
          <w:bCs/>
          <w:sz w:val="24"/>
        </w:rPr>
        <w:t>4.1 投标文件的密封和标记</w:t>
      </w:r>
    </w:p>
    <w:p>
      <w:pPr>
        <w:spacing w:line="360" w:lineRule="auto"/>
        <w:ind w:firstLine="360" w:firstLineChars="150"/>
        <w:rPr>
          <w:rFonts w:ascii="宋体" w:hAnsi="宋体" w:cs="宋体"/>
          <w:sz w:val="24"/>
        </w:rPr>
      </w:pPr>
      <w:r>
        <w:rPr>
          <w:rFonts w:hint="eastAsia" w:ascii="宋体" w:hAnsi="宋体" w:cs="宋体"/>
          <w:sz w:val="24"/>
        </w:rPr>
        <w:t xml:space="preserve"> 4.1.1投标文件的密封：投标文件须胶装成套且须用密封袋密封，包括投标文件正本、副本、投标文件电子版。</w:t>
      </w:r>
    </w:p>
    <w:p>
      <w:pPr>
        <w:spacing w:line="360" w:lineRule="auto"/>
        <w:ind w:firstLine="480" w:firstLineChars="200"/>
        <w:rPr>
          <w:rFonts w:ascii="宋体" w:hAnsi="宋体" w:cs="宋体"/>
          <w:sz w:val="24"/>
        </w:rPr>
      </w:pPr>
      <w:r>
        <w:rPr>
          <w:rFonts w:hint="eastAsia" w:ascii="宋体" w:hAnsi="宋体" w:cs="宋体"/>
          <w:sz w:val="24"/>
        </w:rPr>
        <w:t>4.1.2投标文件的正本须单独包装，电子版放在正本包装袋内，副本可以包装在一个封套内或分别包装，所有封套均应加贴封条，并在封套的封口处加盖投标人公章及法定代表人或其委托代理人签字或盖章。</w:t>
      </w:r>
    </w:p>
    <w:p>
      <w:pPr>
        <w:spacing w:line="360" w:lineRule="auto"/>
        <w:ind w:firstLine="480" w:firstLineChars="200"/>
        <w:rPr>
          <w:rFonts w:ascii="宋体" w:hAnsi="宋体" w:cs="宋体"/>
          <w:sz w:val="24"/>
        </w:rPr>
      </w:pPr>
      <w:r>
        <w:rPr>
          <w:rFonts w:hint="eastAsia" w:ascii="宋体" w:hAnsi="宋体" w:cs="宋体"/>
          <w:sz w:val="24"/>
        </w:rPr>
        <w:t>4.1.3 投标文件的封套上应清楚地标记“正本”、“副本”、“电子版”字样，封套上应写明的其他内容见投标人须知前附表。</w:t>
      </w:r>
    </w:p>
    <w:p>
      <w:pPr>
        <w:spacing w:line="360" w:lineRule="auto"/>
        <w:ind w:firstLine="480" w:firstLineChars="200"/>
        <w:rPr>
          <w:rFonts w:ascii="宋体" w:hAnsi="宋体" w:cs="宋体"/>
          <w:sz w:val="24"/>
        </w:rPr>
      </w:pPr>
      <w:r>
        <w:rPr>
          <w:rFonts w:hint="eastAsia" w:ascii="宋体" w:hAnsi="宋体" w:cs="宋体"/>
          <w:sz w:val="24"/>
        </w:rPr>
        <w:t>4.1.4未按本章第3.6.4、第3.6.5项和第4.1.2 、第4.1.3项要求密封和加写标记的投标文件，采购代理机构不予受理。</w:t>
      </w:r>
    </w:p>
    <w:p>
      <w:pPr>
        <w:spacing w:line="360" w:lineRule="auto"/>
        <w:ind w:firstLine="482" w:firstLineChars="200"/>
        <w:outlineLvl w:val="2"/>
        <w:rPr>
          <w:rFonts w:ascii="宋体" w:hAnsi="宋体" w:cs="宋体"/>
          <w:b/>
          <w:bCs/>
          <w:sz w:val="24"/>
        </w:rPr>
      </w:pPr>
      <w:r>
        <w:rPr>
          <w:rFonts w:hint="eastAsia" w:ascii="宋体" w:hAnsi="宋体" w:cs="宋体"/>
          <w:b/>
          <w:bCs/>
          <w:sz w:val="24"/>
        </w:rPr>
        <w:t>4.2 投标文件的递交</w:t>
      </w:r>
    </w:p>
    <w:p>
      <w:pPr>
        <w:spacing w:line="360" w:lineRule="auto"/>
        <w:ind w:firstLine="480" w:firstLineChars="200"/>
        <w:rPr>
          <w:rFonts w:ascii="宋体" w:hAnsi="宋体" w:cs="宋体"/>
          <w:sz w:val="24"/>
        </w:rPr>
      </w:pPr>
      <w:r>
        <w:rPr>
          <w:rFonts w:hint="eastAsia" w:ascii="宋体" w:hAnsi="宋体" w:cs="宋体"/>
          <w:sz w:val="24"/>
        </w:rPr>
        <w:t>4.2.1 投标人应在投标人须知前附表第4.2.2 项规定的投标截止时间前递交投标文件。</w:t>
      </w:r>
    </w:p>
    <w:p>
      <w:pPr>
        <w:spacing w:line="360" w:lineRule="auto"/>
        <w:ind w:firstLine="480" w:firstLineChars="200"/>
        <w:rPr>
          <w:rFonts w:ascii="宋体" w:hAnsi="宋体" w:cs="宋体"/>
          <w:sz w:val="24"/>
        </w:rPr>
      </w:pPr>
      <w:r>
        <w:rPr>
          <w:rFonts w:hint="eastAsia" w:ascii="宋体" w:hAnsi="宋体" w:cs="宋体"/>
          <w:sz w:val="24"/>
        </w:rPr>
        <w:t>4.2.2 投标人递交投标文件的地点：见投标人须知前附表。</w:t>
      </w:r>
    </w:p>
    <w:p>
      <w:pPr>
        <w:spacing w:line="360" w:lineRule="auto"/>
        <w:ind w:firstLine="480" w:firstLineChars="200"/>
        <w:rPr>
          <w:rFonts w:ascii="宋体" w:hAnsi="宋体" w:cs="宋体"/>
          <w:sz w:val="24"/>
        </w:rPr>
      </w:pPr>
      <w:r>
        <w:rPr>
          <w:rFonts w:hint="eastAsia" w:ascii="宋体" w:hAnsi="宋体" w:cs="宋体"/>
          <w:sz w:val="24"/>
        </w:rPr>
        <w:t>4.2.3 投标人所递交的投标文件不予退还。</w:t>
      </w:r>
    </w:p>
    <w:p>
      <w:pPr>
        <w:spacing w:line="360" w:lineRule="auto"/>
        <w:ind w:firstLine="480" w:firstLineChars="200"/>
        <w:rPr>
          <w:rFonts w:ascii="宋体" w:hAnsi="宋体" w:cs="宋体"/>
          <w:sz w:val="24"/>
        </w:rPr>
      </w:pPr>
      <w:r>
        <w:rPr>
          <w:rFonts w:hint="eastAsia" w:ascii="宋体" w:hAnsi="宋体" w:cs="宋体"/>
          <w:sz w:val="24"/>
        </w:rPr>
        <w:t>4.2.4逾期送达的或者未送达指定地点的投标文件，采购代理机构不予受理。</w:t>
      </w:r>
    </w:p>
    <w:p>
      <w:pPr>
        <w:spacing w:line="360" w:lineRule="auto"/>
        <w:ind w:firstLine="482" w:firstLineChars="200"/>
        <w:outlineLvl w:val="2"/>
        <w:rPr>
          <w:rFonts w:ascii="宋体" w:hAnsi="宋体" w:cs="宋体"/>
          <w:b/>
          <w:bCs/>
          <w:sz w:val="24"/>
        </w:rPr>
      </w:pPr>
      <w:r>
        <w:rPr>
          <w:rFonts w:hint="eastAsia" w:ascii="宋体" w:hAnsi="宋体" w:cs="宋体"/>
          <w:b/>
          <w:bCs/>
          <w:sz w:val="24"/>
        </w:rPr>
        <w:t>4.3 投标文件的修改与撤回</w:t>
      </w:r>
    </w:p>
    <w:p>
      <w:pPr>
        <w:spacing w:line="360" w:lineRule="auto"/>
        <w:ind w:firstLine="480" w:firstLineChars="200"/>
        <w:rPr>
          <w:rFonts w:ascii="宋体" w:hAnsi="宋体" w:cs="宋体"/>
          <w:sz w:val="24"/>
        </w:rPr>
      </w:pPr>
      <w:r>
        <w:rPr>
          <w:rFonts w:hint="eastAsia" w:ascii="宋体" w:hAnsi="宋体" w:cs="宋体"/>
          <w:sz w:val="24"/>
        </w:rPr>
        <w:t>4.3.1 在投标人须知前附表第4.2.2 项规定的投标截止时间前，投标人可以修改或撤回已递交的投标文件，但应以书面形式通知采购人。</w:t>
      </w:r>
    </w:p>
    <w:p>
      <w:pPr>
        <w:spacing w:line="360" w:lineRule="auto"/>
        <w:ind w:firstLine="480" w:firstLineChars="200"/>
        <w:rPr>
          <w:rFonts w:ascii="宋体" w:hAnsi="宋体" w:cs="宋体"/>
          <w:sz w:val="24"/>
        </w:rPr>
      </w:pPr>
      <w:r>
        <w:rPr>
          <w:rFonts w:hint="eastAsia" w:ascii="宋体" w:hAnsi="宋体" w:cs="宋体"/>
          <w:sz w:val="24"/>
        </w:rPr>
        <w:t>4.3.2 投标人修改或撤回已递交投标文件的书面通知应按照本章第3.6.3项的要求签字和盖章。</w:t>
      </w:r>
    </w:p>
    <w:p>
      <w:pPr>
        <w:spacing w:line="360" w:lineRule="auto"/>
        <w:ind w:firstLine="480" w:firstLineChars="200"/>
        <w:rPr>
          <w:rFonts w:ascii="宋体" w:hAnsi="宋体" w:cs="宋体"/>
          <w:sz w:val="24"/>
        </w:rPr>
      </w:pPr>
      <w:r>
        <w:rPr>
          <w:rFonts w:hint="eastAsia" w:ascii="宋体" w:hAnsi="宋体" w:cs="宋体"/>
          <w:sz w:val="24"/>
        </w:rPr>
        <w:t>4.3.3 修改的内容为投标文件的组成部分。修改的投标文件应按照本章第3 条、第4 条规定进行编制、密封、标记和递交，并标明“修改”字样。</w:t>
      </w:r>
    </w:p>
    <w:p>
      <w:pPr>
        <w:spacing w:line="360" w:lineRule="auto"/>
        <w:outlineLvl w:val="1"/>
        <w:rPr>
          <w:rFonts w:ascii="宋体" w:hAnsi="宋体" w:cs="宋体"/>
          <w:b/>
          <w:bCs/>
          <w:sz w:val="24"/>
        </w:rPr>
      </w:pPr>
      <w:bookmarkStart w:id="40" w:name="_Toc420591647"/>
      <w:bookmarkStart w:id="41" w:name="_Toc425240468"/>
      <w:bookmarkStart w:id="42" w:name="_Toc421778369"/>
      <w:r>
        <w:rPr>
          <w:rFonts w:hint="eastAsia" w:ascii="宋体" w:hAnsi="宋体" w:cs="宋体"/>
          <w:b/>
          <w:bCs/>
          <w:sz w:val="24"/>
        </w:rPr>
        <w:t>5．开标</w:t>
      </w:r>
      <w:bookmarkEnd w:id="40"/>
      <w:bookmarkEnd w:id="41"/>
      <w:bookmarkEnd w:id="42"/>
    </w:p>
    <w:p>
      <w:pPr>
        <w:spacing w:line="360" w:lineRule="auto"/>
        <w:ind w:firstLine="482" w:firstLineChars="200"/>
        <w:outlineLvl w:val="2"/>
        <w:rPr>
          <w:rFonts w:ascii="宋体" w:hAnsi="宋体" w:cs="宋体"/>
          <w:b/>
          <w:bCs/>
          <w:sz w:val="24"/>
        </w:rPr>
      </w:pPr>
      <w:r>
        <w:rPr>
          <w:rFonts w:hint="eastAsia" w:ascii="宋体" w:hAnsi="宋体" w:cs="宋体"/>
          <w:b/>
          <w:bCs/>
          <w:sz w:val="24"/>
        </w:rPr>
        <w:t>5.1 开标时间和地点</w:t>
      </w:r>
    </w:p>
    <w:p>
      <w:pPr>
        <w:spacing w:line="360" w:lineRule="auto"/>
        <w:ind w:firstLine="480" w:firstLineChars="200"/>
        <w:rPr>
          <w:rFonts w:ascii="宋体" w:hAnsi="宋体" w:cs="宋体"/>
          <w:sz w:val="24"/>
        </w:rPr>
      </w:pPr>
      <w:r>
        <w:rPr>
          <w:rFonts w:hint="eastAsia" w:ascii="宋体" w:hAnsi="宋体" w:cs="宋体"/>
          <w:sz w:val="24"/>
        </w:rPr>
        <w:t>见投标人须知前附表。</w:t>
      </w:r>
    </w:p>
    <w:p>
      <w:pPr>
        <w:spacing w:line="360" w:lineRule="auto"/>
        <w:ind w:firstLine="482" w:firstLineChars="200"/>
        <w:outlineLvl w:val="2"/>
        <w:rPr>
          <w:rFonts w:ascii="宋体" w:hAnsi="宋体" w:cs="宋体"/>
          <w:b/>
          <w:bCs/>
          <w:sz w:val="24"/>
        </w:rPr>
      </w:pPr>
      <w:r>
        <w:rPr>
          <w:rFonts w:hint="eastAsia" w:ascii="宋体" w:hAnsi="宋体" w:cs="宋体"/>
          <w:b/>
          <w:bCs/>
          <w:sz w:val="24"/>
        </w:rPr>
        <w:t>5.2开标程序</w:t>
      </w:r>
    </w:p>
    <w:p>
      <w:pPr>
        <w:spacing w:line="360" w:lineRule="auto"/>
        <w:ind w:firstLine="480" w:firstLineChars="200"/>
        <w:rPr>
          <w:rFonts w:ascii="宋体" w:hAnsi="宋体" w:cs="宋体"/>
          <w:sz w:val="24"/>
        </w:rPr>
      </w:pPr>
      <w:r>
        <w:rPr>
          <w:rFonts w:hint="eastAsia" w:ascii="宋体" w:hAnsi="宋体" w:cs="宋体"/>
          <w:sz w:val="24"/>
        </w:rPr>
        <w:t>主持人按下列程序进行开标：</w:t>
      </w:r>
    </w:p>
    <w:p>
      <w:pPr>
        <w:spacing w:line="360" w:lineRule="auto"/>
        <w:ind w:firstLine="480" w:firstLineChars="200"/>
        <w:rPr>
          <w:rFonts w:ascii="宋体" w:hAnsi="宋体" w:cs="宋体"/>
          <w:sz w:val="24"/>
        </w:rPr>
      </w:pPr>
      <w:r>
        <w:rPr>
          <w:rFonts w:hint="eastAsia" w:ascii="宋体" w:hAnsi="宋体" w:cs="宋体"/>
          <w:sz w:val="24"/>
        </w:rPr>
        <w:t>（1）宣布招标项目名称及投标文件接收截止时间，终止一切投标文件的接收工作，并宣布开标会开始；</w:t>
      </w:r>
    </w:p>
    <w:p>
      <w:pPr>
        <w:spacing w:line="360" w:lineRule="auto"/>
        <w:ind w:firstLine="480" w:firstLineChars="200"/>
        <w:rPr>
          <w:rFonts w:ascii="宋体" w:hAnsi="宋体" w:cs="宋体"/>
          <w:sz w:val="24"/>
        </w:rPr>
      </w:pPr>
      <w:r>
        <w:rPr>
          <w:rFonts w:hint="eastAsia" w:ascii="宋体" w:hAnsi="宋体" w:cs="宋体"/>
          <w:sz w:val="24"/>
        </w:rPr>
        <w:t>（2）宣布开标会议纪律；</w:t>
      </w:r>
    </w:p>
    <w:p>
      <w:pPr>
        <w:spacing w:line="360" w:lineRule="auto"/>
        <w:ind w:firstLine="480" w:firstLineChars="200"/>
        <w:rPr>
          <w:rFonts w:ascii="宋体" w:hAnsi="宋体" w:cs="宋体"/>
          <w:sz w:val="24"/>
        </w:rPr>
      </w:pPr>
      <w:r>
        <w:rPr>
          <w:rFonts w:hint="eastAsia" w:ascii="宋体" w:hAnsi="宋体" w:cs="宋体"/>
          <w:sz w:val="24"/>
        </w:rPr>
        <w:t>（3）介绍采购人、采购代理机构、招标监督管理部门和采购代理工作人员；</w:t>
      </w:r>
    </w:p>
    <w:p>
      <w:pPr>
        <w:spacing w:line="360" w:lineRule="auto"/>
        <w:ind w:firstLine="480" w:firstLineChars="200"/>
        <w:rPr>
          <w:rFonts w:ascii="宋体" w:hAnsi="宋体" w:cs="宋体"/>
          <w:sz w:val="24"/>
        </w:rPr>
      </w:pPr>
      <w:r>
        <w:rPr>
          <w:rFonts w:hint="eastAsia" w:ascii="宋体" w:hAnsi="宋体" w:cs="宋体"/>
          <w:sz w:val="24"/>
        </w:rPr>
        <w:t>（4）宣布本项目投标人签到名单；</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szCs w:val="21"/>
        </w:rPr>
        <w:t>监标人查验有关证书证件（具体要求详见投标人须知前附表），</w:t>
      </w:r>
    </w:p>
    <w:p>
      <w:pPr>
        <w:spacing w:line="360" w:lineRule="auto"/>
        <w:ind w:firstLine="480" w:firstLineChars="200"/>
        <w:rPr>
          <w:rFonts w:ascii="宋体" w:hAnsi="宋体" w:cs="宋体"/>
          <w:sz w:val="24"/>
        </w:rPr>
      </w:pPr>
      <w:r>
        <w:rPr>
          <w:rFonts w:hint="eastAsia" w:ascii="宋体" w:hAnsi="宋体" w:cs="宋体"/>
          <w:sz w:val="24"/>
        </w:rPr>
        <w:t>（6）按照投标人须知前附表规定检查投标文件的密封情况；</w:t>
      </w:r>
    </w:p>
    <w:p>
      <w:pPr>
        <w:spacing w:line="360" w:lineRule="auto"/>
        <w:ind w:firstLine="480" w:firstLineChars="200"/>
        <w:rPr>
          <w:rFonts w:ascii="宋体" w:hAnsi="宋体" w:cs="宋体"/>
          <w:sz w:val="24"/>
        </w:rPr>
      </w:pPr>
      <w:r>
        <w:rPr>
          <w:rFonts w:hint="eastAsia" w:ascii="宋体" w:hAnsi="宋体" w:cs="宋体"/>
          <w:sz w:val="24"/>
        </w:rPr>
        <w:t>（7）开启密封符合要求的投标文件，宣读开标一览表中规定的内容；</w:t>
      </w:r>
    </w:p>
    <w:p>
      <w:pPr>
        <w:spacing w:line="360" w:lineRule="auto"/>
        <w:ind w:firstLine="480" w:firstLineChars="200"/>
        <w:rPr>
          <w:rFonts w:ascii="宋体" w:hAnsi="宋体" w:cs="宋体"/>
          <w:sz w:val="24"/>
        </w:rPr>
      </w:pPr>
      <w:r>
        <w:rPr>
          <w:rFonts w:hint="eastAsia" w:ascii="宋体" w:hAnsi="宋体" w:cs="宋体"/>
          <w:sz w:val="24"/>
        </w:rPr>
        <w:t>（8）设有招标最高限价的，公布或重申招标最高限价；</w:t>
      </w:r>
    </w:p>
    <w:p>
      <w:pPr>
        <w:spacing w:line="360" w:lineRule="auto"/>
        <w:ind w:firstLine="480" w:firstLineChars="200"/>
        <w:rPr>
          <w:rFonts w:ascii="宋体" w:hAnsi="宋体" w:cs="宋体"/>
          <w:sz w:val="24"/>
        </w:rPr>
      </w:pPr>
      <w:bookmarkStart w:id="43" w:name="OLE_LINK61"/>
      <w:r>
        <w:rPr>
          <w:rFonts w:hint="eastAsia" w:ascii="宋体" w:hAnsi="宋体" w:cs="宋体"/>
          <w:sz w:val="24"/>
        </w:rPr>
        <w:t>（9）</w:t>
      </w:r>
      <w:bookmarkEnd w:id="43"/>
      <w:r>
        <w:rPr>
          <w:rFonts w:hint="eastAsia" w:ascii="宋体" w:hAnsi="宋体" w:cs="宋体"/>
          <w:sz w:val="24"/>
        </w:rPr>
        <w:t>投标人代表、监标人在开标记录上签字确认；</w:t>
      </w:r>
    </w:p>
    <w:p>
      <w:pPr>
        <w:spacing w:line="360" w:lineRule="auto"/>
        <w:ind w:firstLine="480" w:firstLineChars="200"/>
        <w:rPr>
          <w:rFonts w:ascii="宋体" w:hAnsi="宋体" w:cs="宋体"/>
          <w:sz w:val="24"/>
        </w:rPr>
      </w:pPr>
      <w:r>
        <w:rPr>
          <w:rFonts w:hint="eastAsia" w:ascii="宋体" w:hAnsi="宋体" w:cs="宋体"/>
          <w:sz w:val="24"/>
        </w:rPr>
        <w:t>（10）将有效的投标文件送交评标委员会评审；</w:t>
      </w:r>
    </w:p>
    <w:p>
      <w:pPr>
        <w:spacing w:line="360" w:lineRule="auto"/>
        <w:ind w:firstLine="480" w:firstLineChars="200"/>
        <w:rPr>
          <w:rFonts w:ascii="宋体" w:hAnsi="宋体" w:cs="宋体"/>
          <w:sz w:val="24"/>
        </w:rPr>
      </w:pPr>
      <w:r>
        <w:rPr>
          <w:rFonts w:hint="eastAsia" w:ascii="宋体" w:hAnsi="宋体" w:cs="宋体"/>
          <w:sz w:val="24"/>
        </w:rPr>
        <w:t>（11）开标结束。</w:t>
      </w:r>
    </w:p>
    <w:p>
      <w:pPr>
        <w:spacing w:line="360" w:lineRule="auto"/>
        <w:outlineLvl w:val="1"/>
        <w:rPr>
          <w:rFonts w:ascii="宋体" w:hAnsi="宋体" w:cs="宋体"/>
          <w:b/>
          <w:bCs/>
          <w:sz w:val="24"/>
        </w:rPr>
      </w:pPr>
      <w:bookmarkStart w:id="44" w:name="_Toc421778370"/>
      <w:bookmarkStart w:id="45" w:name="_Toc420591648"/>
      <w:bookmarkStart w:id="46" w:name="_Toc425240469"/>
      <w:r>
        <w:rPr>
          <w:rFonts w:hint="eastAsia" w:ascii="宋体" w:hAnsi="宋体" w:cs="宋体"/>
          <w:b/>
          <w:bCs/>
          <w:sz w:val="24"/>
        </w:rPr>
        <w:t>6．评标</w:t>
      </w:r>
      <w:bookmarkEnd w:id="44"/>
      <w:bookmarkEnd w:id="45"/>
      <w:bookmarkEnd w:id="46"/>
    </w:p>
    <w:p>
      <w:pPr>
        <w:spacing w:line="360" w:lineRule="auto"/>
        <w:ind w:firstLine="482" w:firstLineChars="200"/>
        <w:outlineLvl w:val="2"/>
        <w:rPr>
          <w:rFonts w:ascii="宋体" w:hAnsi="宋体" w:cs="宋体"/>
          <w:sz w:val="24"/>
        </w:rPr>
      </w:pPr>
      <w:r>
        <w:rPr>
          <w:rFonts w:hint="eastAsia" w:ascii="宋体" w:hAnsi="宋体" w:cs="宋体"/>
          <w:b/>
          <w:bCs/>
          <w:sz w:val="24"/>
        </w:rPr>
        <w:t>6.1 评标委员会</w:t>
      </w:r>
    </w:p>
    <w:p>
      <w:pPr>
        <w:spacing w:line="360" w:lineRule="auto"/>
        <w:ind w:firstLine="480" w:firstLineChars="200"/>
        <w:rPr>
          <w:rFonts w:ascii="宋体" w:hAnsi="宋体" w:cs="宋体"/>
          <w:sz w:val="24"/>
        </w:rPr>
      </w:pPr>
      <w:r>
        <w:rPr>
          <w:rFonts w:hint="eastAsia" w:ascii="宋体" w:hAnsi="宋体" w:cs="宋体"/>
          <w:sz w:val="24"/>
        </w:rPr>
        <w:t>6.1.1 评标由采购人依法组建的评标委员会负责。评标委员会由采购人代表和评审专家等5人以上单数组成评标委员会，其中采购人代表须持有授权书。评标委员会按照招标文件规定的评审方法独立进行评审工作。</w:t>
      </w:r>
    </w:p>
    <w:p>
      <w:pPr>
        <w:spacing w:line="360" w:lineRule="auto"/>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360" w:lineRule="auto"/>
        <w:ind w:firstLine="480" w:firstLineChars="200"/>
        <w:rPr>
          <w:rFonts w:ascii="宋体" w:hAnsi="宋体" w:cs="宋体"/>
          <w:sz w:val="24"/>
        </w:rPr>
      </w:pPr>
      <w:r>
        <w:rPr>
          <w:rFonts w:hint="eastAsia" w:ascii="宋体" w:hAnsi="宋体" w:cs="宋体"/>
          <w:sz w:val="24"/>
        </w:rPr>
        <w:t>(1）投标人或投标人的主要负责人的近亲属；</w:t>
      </w:r>
    </w:p>
    <w:p>
      <w:pPr>
        <w:spacing w:line="360" w:lineRule="auto"/>
        <w:ind w:firstLine="480" w:firstLineChars="200"/>
        <w:rPr>
          <w:rFonts w:ascii="宋体" w:hAnsi="宋体" w:cs="宋体"/>
          <w:sz w:val="24"/>
        </w:rPr>
      </w:pPr>
      <w:r>
        <w:rPr>
          <w:rFonts w:hint="eastAsia" w:ascii="宋体" w:hAnsi="宋体" w:cs="宋体"/>
          <w:sz w:val="24"/>
        </w:rPr>
        <w:t>(2）与投标人有经济利益关系，可能影响对投标公正评审的；</w:t>
      </w:r>
    </w:p>
    <w:p>
      <w:pPr>
        <w:spacing w:line="360" w:lineRule="auto"/>
        <w:ind w:firstLine="480" w:firstLineChars="200"/>
        <w:rPr>
          <w:rFonts w:ascii="宋体" w:hAnsi="宋体" w:cs="宋体"/>
          <w:sz w:val="24"/>
        </w:rPr>
      </w:pPr>
      <w:r>
        <w:rPr>
          <w:rFonts w:hint="eastAsia" w:ascii="宋体" w:hAnsi="宋体" w:cs="宋体"/>
          <w:sz w:val="24"/>
        </w:rPr>
        <w:t>(3）曾因在招标、评标以及其他与招标投标有关活动中从事违法行为而受过行政处罚或刑事处罚的。</w:t>
      </w:r>
    </w:p>
    <w:p>
      <w:pPr>
        <w:spacing w:line="360" w:lineRule="auto"/>
        <w:ind w:firstLine="482" w:firstLineChars="200"/>
        <w:outlineLvl w:val="2"/>
        <w:rPr>
          <w:rFonts w:ascii="宋体" w:hAnsi="宋体" w:cs="宋体"/>
          <w:b/>
          <w:bCs/>
          <w:sz w:val="24"/>
        </w:rPr>
      </w:pPr>
      <w:r>
        <w:rPr>
          <w:rFonts w:hint="eastAsia" w:ascii="宋体" w:hAnsi="宋体" w:cs="宋体"/>
          <w:b/>
          <w:bCs/>
          <w:sz w:val="24"/>
        </w:rPr>
        <w:t>6.2 评标原则</w:t>
      </w:r>
    </w:p>
    <w:p>
      <w:pPr>
        <w:spacing w:line="360" w:lineRule="auto"/>
        <w:ind w:firstLine="480" w:firstLineChars="200"/>
        <w:rPr>
          <w:rFonts w:ascii="宋体" w:hAnsi="宋体" w:cs="宋体"/>
          <w:sz w:val="24"/>
        </w:rPr>
      </w:pPr>
      <w:r>
        <w:rPr>
          <w:rFonts w:hint="eastAsia" w:ascii="宋体" w:hAnsi="宋体" w:cs="宋体"/>
          <w:sz w:val="24"/>
        </w:rPr>
        <w:t>评标活动遵循公平、公正、科学和择优的原则。</w:t>
      </w:r>
    </w:p>
    <w:p>
      <w:pPr>
        <w:spacing w:line="360" w:lineRule="auto"/>
        <w:ind w:firstLine="482" w:firstLineChars="200"/>
        <w:outlineLvl w:val="2"/>
        <w:rPr>
          <w:rFonts w:ascii="宋体" w:hAnsi="宋体" w:cs="宋体"/>
          <w:b/>
          <w:bCs/>
          <w:sz w:val="24"/>
        </w:rPr>
      </w:pPr>
      <w:r>
        <w:rPr>
          <w:rFonts w:hint="eastAsia" w:ascii="宋体" w:hAnsi="宋体" w:cs="宋体"/>
          <w:b/>
          <w:bCs/>
          <w:sz w:val="24"/>
        </w:rPr>
        <w:t>6.3 评标</w:t>
      </w:r>
    </w:p>
    <w:p>
      <w:pPr>
        <w:spacing w:line="360" w:lineRule="auto"/>
        <w:ind w:firstLine="480" w:firstLineChars="200"/>
        <w:rPr>
          <w:rFonts w:ascii="宋体" w:hAnsi="宋体" w:cs="宋体"/>
          <w:sz w:val="24"/>
        </w:rPr>
      </w:pPr>
      <w:r>
        <w:rPr>
          <w:rFonts w:hint="eastAsia" w:ascii="宋体" w:hAnsi="宋体" w:cs="宋体"/>
          <w:sz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sz w:val="24"/>
        </w:rPr>
      </w:pPr>
      <w:r>
        <w:rPr>
          <w:rFonts w:hint="eastAsia" w:ascii="宋体" w:hAnsi="宋体" w:cs="宋体"/>
          <w:sz w:val="24"/>
        </w:rPr>
        <w:t>6.3.2评标过程的保密</w:t>
      </w:r>
    </w:p>
    <w:p>
      <w:pPr>
        <w:spacing w:line="360" w:lineRule="auto"/>
        <w:ind w:firstLine="480" w:firstLineChars="200"/>
        <w:rPr>
          <w:rFonts w:ascii="宋体" w:hAnsi="宋体" w:cs="宋体"/>
          <w:sz w:val="24"/>
        </w:rPr>
      </w:pPr>
      <w:r>
        <w:rPr>
          <w:rFonts w:hint="eastAsia" w:ascii="宋体" w:hAnsi="宋体" w:cs="宋体"/>
          <w:sz w:val="24"/>
        </w:rPr>
        <w:t>（1）开标后，直至授予中标人合同为止，凡属于对投标文件的审查、补遗、评价和比较的有关资料以及中标候选人的推荐情况等均严格保密。</w:t>
      </w:r>
    </w:p>
    <w:p>
      <w:pPr>
        <w:spacing w:line="360" w:lineRule="auto"/>
        <w:ind w:firstLine="480" w:firstLineChars="200"/>
        <w:rPr>
          <w:rFonts w:ascii="宋体" w:hAnsi="宋体" w:cs="宋体"/>
          <w:sz w:val="24"/>
        </w:rPr>
      </w:pPr>
      <w:r>
        <w:rPr>
          <w:rFonts w:hint="eastAsia" w:ascii="宋体" w:hAnsi="宋体" w:cs="宋体"/>
          <w:sz w:val="24"/>
        </w:rPr>
        <w:t>（2）在投标文件的评审、中标候选人推荐以及授予合同的过程中，投标人向采购人和评标委员会施加影响的任何行为，都将会导致其投标被拒绝直至取消其中标资格。</w:t>
      </w:r>
    </w:p>
    <w:p>
      <w:pPr>
        <w:spacing w:line="360" w:lineRule="auto"/>
        <w:ind w:firstLine="480" w:firstLineChars="200"/>
        <w:rPr>
          <w:rFonts w:ascii="宋体" w:hAnsi="宋体" w:cs="宋体"/>
          <w:sz w:val="24"/>
        </w:rPr>
      </w:pPr>
      <w:r>
        <w:rPr>
          <w:rFonts w:hint="eastAsia" w:ascii="宋体" w:hAnsi="宋体" w:cs="宋体"/>
          <w:sz w:val="24"/>
        </w:rPr>
        <w:t>（3）中标人确定后，采购人不对未中标人就评标过程以及未能中标原因作出任何解释。未中标人不得向评标委员会组成人员或其他有关人员索问评标过程的情况和材料。</w:t>
      </w:r>
    </w:p>
    <w:p>
      <w:pPr>
        <w:spacing w:line="360" w:lineRule="auto"/>
        <w:outlineLvl w:val="1"/>
        <w:rPr>
          <w:rFonts w:ascii="宋体" w:hAnsi="宋体" w:cs="宋体"/>
          <w:b/>
          <w:bCs/>
          <w:sz w:val="24"/>
        </w:rPr>
      </w:pPr>
      <w:bookmarkStart w:id="47" w:name="_Toc425240470"/>
      <w:bookmarkStart w:id="48" w:name="_Toc421778371"/>
      <w:bookmarkStart w:id="49" w:name="_Toc420591649"/>
      <w:r>
        <w:rPr>
          <w:rFonts w:hint="eastAsia" w:ascii="宋体" w:hAnsi="宋体" w:cs="宋体"/>
          <w:b/>
          <w:bCs/>
          <w:sz w:val="24"/>
        </w:rPr>
        <w:t>7．合同授予</w:t>
      </w:r>
      <w:bookmarkEnd w:id="47"/>
      <w:bookmarkEnd w:id="48"/>
      <w:bookmarkEnd w:id="49"/>
    </w:p>
    <w:p>
      <w:pPr>
        <w:spacing w:line="360" w:lineRule="auto"/>
        <w:ind w:firstLine="482" w:firstLineChars="200"/>
        <w:outlineLvl w:val="2"/>
        <w:rPr>
          <w:rFonts w:ascii="宋体" w:hAnsi="宋体" w:cs="宋体"/>
          <w:b/>
          <w:bCs/>
          <w:sz w:val="24"/>
        </w:rPr>
      </w:pPr>
      <w:r>
        <w:rPr>
          <w:rFonts w:hint="eastAsia" w:ascii="宋体" w:hAnsi="宋体" w:cs="宋体"/>
          <w:b/>
          <w:bCs/>
          <w:sz w:val="24"/>
        </w:rPr>
        <w:t>7.1 定标方式</w:t>
      </w:r>
    </w:p>
    <w:p>
      <w:pPr>
        <w:spacing w:line="360" w:lineRule="auto"/>
        <w:ind w:firstLine="480" w:firstLineChars="200"/>
        <w:rPr>
          <w:rFonts w:ascii="宋体" w:hAnsi="宋体" w:cs="宋体"/>
          <w:sz w:val="24"/>
          <w:szCs w:val="21"/>
        </w:rPr>
      </w:pPr>
      <w:r>
        <w:rPr>
          <w:rFonts w:hint="eastAsia" w:ascii="宋体" w:hAnsi="宋体" w:cs="宋体"/>
          <w:sz w:val="24"/>
          <w:szCs w:val="21"/>
        </w:rPr>
        <w:t>7.1.1评标委员会根据评审方法的规定对投标人进行评审排序，推荐3名中标候选人，作为评审结果。评审结果由评标委员会全体成员签字确认。</w:t>
      </w:r>
    </w:p>
    <w:p>
      <w:pPr>
        <w:spacing w:line="360" w:lineRule="auto"/>
        <w:ind w:firstLine="480" w:firstLineChars="200"/>
        <w:rPr>
          <w:rFonts w:ascii="宋体" w:hAnsi="宋体" w:cs="宋体"/>
          <w:sz w:val="24"/>
          <w:szCs w:val="21"/>
        </w:rPr>
      </w:pPr>
      <w:r>
        <w:rPr>
          <w:rFonts w:hint="eastAsia" w:ascii="宋体" w:hAnsi="宋体" w:cs="宋体"/>
          <w:sz w:val="24"/>
          <w:szCs w:val="21"/>
        </w:rPr>
        <w:t>7.1.2采购人根据评审报告中推荐的中标候选人排列顺序，确定排名第一的为中标人。</w:t>
      </w:r>
    </w:p>
    <w:p>
      <w:pPr>
        <w:spacing w:line="360" w:lineRule="auto"/>
        <w:ind w:firstLine="480" w:firstLineChars="200"/>
        <w:rPr>
          <w:rFonts w:ascii="宋体" w:hAnsi="宋体" w:cs="宋体"/>
          <w:sz w:val="24"/>
        </w:rPr>
      </w:pPr>
      <w:r>
        <w:rPr>
          <w:rFonts w:hint="eastAsia" w:ascii="宋体" w:hAnsi="宋体" w:cs="宋体"/>
          <w:sz w:val="24"/>
          <w:szCs w:val="21"/>
        </w:rPr>
        <w:t>7.1.3</w:t>
      </w:r>
      <w:r>
        <w:rPr>
          <w:rFonts w:hint="eastAsia" w:ascii="宋体" w:hAnsi="宋体" w:cs="宋体"/>
          <w:sz w:val="24"/>
        </w:rPr>
        <w:t>排名第一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组织竞招标。</w:t>
      </w:r>
    </w:p>
    <w:p>
      <w:pPr>
        <w:spacing w:line="360" w:lineRule="auto"/>
        <w:ind w:firstLine="480" w:firstLineChars="200"/>
        <w:rPr>
          <w:rFonts w:ascii="宋体" w:hAnsi="宋体" w:cs="宋体"/>
          <w:sz w:val="24"/>
          <w:szCs w:val="21"/>
        </w:rPr>
      </w:pPr>
      <w:r>
        <w:rPr>
          <w:rFonts w:hint="eastAsia" w:ascii="宋体" w:hAnsi="宋体" w:cs="宋体"/>
          <w:sz w:val="24"/>
          <w:szCs w:val="21"/>
        </w:rPr>
        <w:t>7.1.4中标人确定之后，中标结果将在财政部门指定的政府采购信息发布媒体上公告。</w:t>
      </w:r>
    </w:p>
    <w:p>
      <w:pPr>
        <w:spacing w:line="360" w:lineRule="auto"/>
        <w:ind w:firstLine="480" w:firstLineChars="200"/>
        <w:rPr>
          <w:rFonts w:ascii="宋体" w:hAnsi="宋体" w:cs="宋体"/>
          <w:sz w:val="24"/>
          <w:szCs w:val="21"/>
        </w:rPr>
      </w:pPr>
      <w:r>
        <w:rPr>
          <w:rFonts w:hint="eastAsia" w:ascii="宋体" w:hAnsi="宋体" w:cs="宋体"/>
          <w:sz w:val="24"/>
          <w:szCs w:val="21"/>
        </w:rPr>
        <w:t>7.1.6投标人或者其他利害关系人对评审结果有异议的，应当在法律规定的时间内提出。</w:t>
      </w:r>
    </w:p>
    <w:p>
      <w:pPr>
        <w:spacing w:line="360" w:lineRule="auto"/>
        <w:ind w:firstLine="482" w:firstLineChars="200"/>
        <w:outlineLvl w:val="2"/>
        <w:rPr>
          <w:rFonts w:ascii="宋体" w:hAnsi="宋体" w:cs="宋体"/>
          <w:b/>
          <w:bCs/>
          <w:sz w:val="24"/>
        </w:rPr>
      </w:pPr>
      <w:r>
        <w:rPr>
          <w:rFonts w:hint="eastAsia" w:ascii="宋体" w:hAnsi="宋体" w:cs="宋体"/>
          <w:b/>
          <w:bCs/>
          <w:sz w:val="24"/>
        </w:rPr>
        <w:t>7.2 中标通知</w:t>
      </w:r>
    </w:p>
    <w:p>
      <w:pPr>
        <w:spacing w:line="360" w:lineRule="auto"/>
        <w:ind w:firstLine="480" w:firstLineChars="200"/>
        <w:rPr>
          <w:rFonts w:ascii="宋体" w:hAnsi="宋体" w:cs="宋体"/>
          <w:sz w:val="24"/>
          <w:szCs w:val="21"/>
        </w:rPr>
      </w:pPr>
      <w:r>
        <w:rPr>
          <w:rFonts w:hint="eastAsia" w:ascii="宋体" w:hAnsi="宋体" w:cs="宋体"/>
          <w:sz w:val="24"/>
          <w:szCs w:val="21"/>
        </w:rPr>
        <w:t>采购代理机构向成交供应商发出《中标通知书》。</w:t>
      </w:r>
      <w:r>
        <w:rPr>
          <w:rFonts w:hint="eastAsia" w:ascii="宋体" w:hAnsi="宋体" w:cs="宋体"/>
          <w:b/>
          <w:bCs/>
          <w:sz w:val="24"/>
          <w:szCs w:val="21"/>
        </w:rPr>
        <w:t>中标人在领取中标通知书时须携带法定代表人授权书及加盖单位公章的被授权人身份证复印件。</w:t>
      </w:r>
    </w:p>
    <w:p>
      <w:pPr>
        <w:spacing w:line="360" w:lineRule="auto"/>
        <w:ind w:firstLine="480" w:firstLineChars="200"/>
        <w:rPr>
          <w:rFonts w:ascii="宋体" w:hAnsi="宋体" w:cs="宋体"/>
          <w:sz w:val="24"/>
          <w:szCs w:val="21"/>
        </w:rPr>
      </w:pPr>
      <w:r>
        <w:rPr>
          <w:rFonts w:hint="eastAsia" w:ascii="宋体" w:hAnsi="宋体" w:cs="宋体"/>
          <w:sz w:val="24"/>
          <w:szCs w:val="21"/>
        </w:rPr>
        <w:t>7.2.2中标通知书对采购人和中标人具有同等法律效力。中标通知书发出之后，采购人改变中标结果，或者中标人放弃成交，应当承担相应的法律责任。</w:t>
      </w:r>
    </w:p>
    <w:p>
      <w:pPr>
        <w:spacing w:line="360" w:lineRule="auto"/>
        <w:ind w:firstLine="482" w:firstLineChars="200"/>
        <w:outlineLvl w:val="2"/>
        <w:rPr>
          <w:rFonts w:ascii="宋体" w:hAnsi="宋体" w:cs="宋体"/>
          <w:b/>
          <w:bCs/>
          <w:sz w:val="24"/>
        </w:rPr>
      </w:pPr>
      <w:r>
        <w:rPr>
          <w:rFonts w:hint="eastAsia" w:ascii="宋体" w:hAnsi="宋体" w:cs="宋体"/>
          <w:b/>
          <w:bCs/>
          <w:sz w:val="24"/>
        </w:rPr>
        <w:t>7.3 履约担保</w:t>
      </w:r>
    </w:p>
    <w:p>
      <w:pPr>
        <w:spacing w:line="360" w:lineRule="auto"/>
        <w:ind w:firstLine="480" w:firstLineChars="200"/>
        <w:rPr>
          <w:rFonts w:ascii="宋体" w:hAnsi="宋体" w:cs="宋体"/>
          <w:sz w:val="24"/>
        </w:rPr>
      </w:pPr>
      <w:r>
        <w:rPr>
          <w:rFonts w:hint="eastAsia" w:ascii="宋体" w:hAnsi="宋体" w:cs="宋体"/>
          <w:sz w:val="24"/>
        </w:rPr>
        <w:t>本项目无履约担保。</w:t>
      </w:r>
    </w:p>
    <w:p>
      <w:pPr>
        <w:spacing w:line="360" w:lineRule="auto"/>
        <w:ind w:firstLine="482" w:firstLineChars="200"/>
        <w:outlineLvl w:val="2"/>
        <w:rPr>
          <w:rFonts w:ascii="宋体" w:hAnsi="宋体" w:cs="宋体"/>
          <w:b/>
          <w:bCs/>
          <w:sz w:val="24"/>
        </w:rPr>
      </w:pPr>
      <w:r>
        <w:rPr>
          <w:rFonts w:hint="eastAsia" w:ascii="宋体" w:hAnsi="宋体" w:cs="宋体"/>
          <w:b/>
          <w:bCs/>
          <w:sz w:val="24"/>
        </w:rPr>
        <w:t>7.4 签订合同</w:t>
      </w:r>
    </w:p>
    <w:p>
      <w:pPr>
        <w:spacing w:line="360" w:lineRule="auto"/>
        <w:ind w:firstLine="480" w:firstLineChars="200"/>
        <w:rPr>
          <w:rFonts w:ascii="宋体" w:hAnsi="宋体" w:cs="宋体"/>
          <w:sz w:val="24"/>
        </w:rPr>
      </w:pPr>
      <w:r>
        <w:rPr>
          <w:rFonts w:hint="eastAsia" w:ascii="宋体" w:hAnsi="宋体" w:cs="宋体"/>
          <w:sz w:val="24"/>
        </w:rPr>
        <w:t>7.4.1 采购人和中标人应当自中标通知书发出之日起30天内，根据招标文件和中标人的投标文件订立书面合同；中标人应在领取中标通知书时向采购代理机构一次性支付代理服务费。中标人无正当理由拒签合同或拒绝缴纳代理服务费的，采购人取消其中标资格；给采购人和采购代理机构造成的损失的，中标人还应当予以赔偿。</w:t>
      </w:r>
    </w:p>
    <w:p>
      <w:pPr>
        <w:spacing w:line="360" w:lineRule="auto"/>
        <w:outlineLvl w:val="1"/>
        <w:rPr>
          <w:rFonts w:ascii="宋体" w:hAnsi="宋体" w:cs="宋体"/>
          <w:b/>
          <w:bCs/>
          <w:sz w:val="24"/>
        </w:rPr>
      </w:pPr>
      <w:bookmarkStart w:id="50" w:name="_Toc425240471"/>
      <w:bookmarkStart w:id="51" w:name="_Toc420591650"/>
      <w:bookmarkStart w:id="52" w:name="_Toc421778372"/>
      <w:r>
        <w:rPr>
          <w:rFonts w:hint="eastAsia" w:ascii="宋体" w:hAnsi="宋体" w:cs="宋体"/>
          <w:b/>
          <w:bCs/>
          <w:sz w:val="24"/>
        </w:rPr>
        <w:t>8．重新招标和不再招标</w:t>
      </w:r>
      <w:bookmarkEnd w:id="50"/>
      <w:bookmarkEnd w:id="51"/>
      <w:bookmarkEnd w:id="52"/>
    </w:p>
    <w:p>
      <w:pPr>
        <w:spacing w:line="360" w:lineRule="auto"/>
        <w:ind w:firstLine="482" w:firstLineChars="200"/>
        <w:outlineLvl w:val="2"/>
        <w:rPr>
          <w:rFonts w:ascii="宋体" w:hAnsi="宋体" w:cs="宋体"/>
          <w:b/>
          <w:bCs/>
          <w:sz w:val="24"/>
        </w:rPr>
      </w:pPr>
      <w:r>
        <w:rPr>
          <w:rFonts w:hint="eastAsia" w:ascii="宋体" w:hAnsi="宋体" w:cs="宋体"/>
          <w:b/>
          <w:bCs/>
          <w:sz w:val="24"/>
        </w:rPr>
        <w:t>8.1 重新招标</w:t>
      </w:r>
    </w:p>
    <w:p>
      <w:pPr>
        <w:spacing w:line="360" w:lineRule="auto"/>
        <w:ind w:firstLine="480" w:firstLineChars="200"/>
        <w:rPr>
          <w:rFonts w:ascii="宋体" w:hAnsi="宋体" w:cs="宋体"/>
          <w:sz w:val="24"/>
        </w:rPr>
      </w:pPr>
      <w:r>
        <w:rPr>
          <w:rFonts w:hint="eastAsia" w:ascii="宋体" w:hAnsi="宋体" w:cs="宋体"/>
          <w:sz w:val="24"/>
        </w:rPr>
        <w:t>有下列情形之一的，采购人将重新招标：</w:t>
      </w:r>
    </w:p>
    <w:p>
      <w:pPr>
        <w:spacing w:line="360" w:lineRule="auto"/>
        <w:ind w:firstLine="480" w:firstLineChars="200"/>
        <w:rPr>
          <w:rFonts w:ascii="宋体" w:hAnsi="宋体" w:cs="宋体"/>
          <w:sz w:val="24"/>
        </w:rPr>
      </w:pPr>
      <w:r>
        <w:rPr>
          <w:rFonts w:hint="eastAsia" w:ascii="宋体" w:hAnsi="宋体" w:cs="宋体"/>
          <w:sz w:val="24"/>
        </w:rPr>
        <w:t>（l）投标截止时间止，投标人少于3个的；</w:t>
      </w:r>
    </w:p>
    <w:p>
      <w:pPr>
        <w:spacing w:line="360" w:lineRule="auto"/>
        <w:ind w:firstLine="480" w:firstLineChars="200"/>
        <w:rPr>
          <w:rFonts w:ascii="宋体" w:hAnsi="宋体" w:cs="宋体"/>
          <w:sz w:val="24"/>
        </w:rPr>
      </w:pPr>
      <w:r>
        <w:rPr>
          <w:rFonts w:hint="eastAsia" w:ascii="宋体" w:hAnsi="宋体" w:cs="宋体"/>
          <w:sz w:val="24"/>
        </w:rPr>
        <w:t>（2）经评标委员会评审后否决所有投标的；</w:t>
      </w:r>
    </w:p>
    <w:p>
      <w:pPr>
        <w:spacing w:line="360" w:lineRule="auto"/>
        <w:ind w:firstLine="480" w:firstLineChars="200"/>
        <w:rPr>
          <w:rFonts w:ascii="宋体" w:hAnsi="宋体" w:cs="宋体"/>
          <w:sz w:val="24"/>
        </w:rPr>
      </w:pPr>
      <w:r>
        <w:rPr>
          <w:rFonts w:hint="eastAsia" w:ascii="宋体" w:hAnsi="宋体" w:cs="宋体"/>
          <w:sz w:val="24"/>
        </w:rPr>
        <w:t>（3）符合专业条件的供应商或者对招标文件作实质响应的供应商不足三家的；</w:t>
      </w:r>
    </w:p>
    <w:p>
      <w:pPr>
        <w:pStyle w:val="15"/>
        <w:widowControl/>
        <w:spacing w:line="360" w:lineRule="auto"/>
        <w:ind w:firstLine="480" w:firstLineChars="200"/>
        <w:jc w:val="both"/>
        <w:rPr>
          <w:sz w:val="24"/>
        </w:rPr>
      </w:pPr>
      <w:r>
        <w:rPr>
          <w:rFonts w:hint="eastAsia" w:cs="宋体"/>
          <w:sz w:val="24"/>
        </w:rPr>
        <w:t>（</w:t>
      </w:r>
      <w:r>
        <w:rPr>
          <w:sz w:val="24"/>
        </w:rPr>
        <w:t>4</w:t>
      </w:r>
      <w:r>
        <w:rPr>
          <w:rFonts w:hint="eastAsia" w:cs="宋体"/>
          <w:sz w:val="24"/>
        </w:rPr>
        <w:t>）投标人的报价均超过了采购预算，采购人不能支付的；</w:t>
      </w:r>
    </w:p>
    <w:p>
      <w:pPr>
        <w:pStyle w:val="15"/>
        <w:widowControl/>
        <w:spacing w:line="360" w:lineRule="auto"/>
        <w:ind w:firstLine="480" w:firstLineChars="200"/>
        <w:jc w:val="both"/>
        <w:rPr>
          <w:sz w:val="24"/>
        </w:rPr>
      </w:pPr>
      <w:r>
        <w:rPr>
          <w:rFonts w:hint="eastAsia" w:cs="宋体"/>
          <w:sz w:val="24"/>
        </w:rPr>
        <w:t>（</w:t>
      </w:r>
      <w:r>
        <w:rPr>
          <w:sz w:val="24"/>
        </w:rPr>
        <w:t>5</w:t>
      </w:r>
      <w:r>
        <w:rPr>
          <w:rFonts w:hint="eastAsia" w:cs="宋体"/>
          <w:sz w:val="24"/>
        </w:rPr>
        <w:t>）出现影响采购公正的违法、违规行为的。</w:t>
      </w:r>
    </w:p>
    <w:p>
      <w:pPr>
        <w:spacing w:line="360" w:lineRule="auto"/>
        <w:ind w:firstLine="482" w:firstLineChars="200"/>
        <w:outlineLvl w:val="2"/>
        <w:rPr>
          <w:rFonts w:ascii="宋体" w:hAnsi="宋体" w:cs="宋体"/>
          <w:b/>
          <w:bCs/>
          <w:sz w:val="24"/>
        </w:rPr>
      </w:pPr>
      <w:r>
        <w:rPr>
          <w:rFonts w:hint="eastAsia" w:ascii="宋体" w:hAnsi="宋体" w:cs="宋体"/>
          <w:b/>
          <w:bCs/>
          <w:sz w:val="24"/>
        </w:rPr>
        <w:t>8.2 不再招标</w:t>
      </w:r>
    </w:p>
    <w:p>
      <w:pPr>
        <w:spacing w:line="360" w:lineRule="auto"/>
        <w:ind w:firstLine="480" w:firstLineChars="200"/>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spacing w:line="360" w:lineRule="auto"/>
        <w:outlineLvl w:val="1"/>
        <w:rPr>
          <w:rFonts w:ascii="宋体" w:hAnsi="宋体" w:cs="宋体"/>
          <w:b/>
          <w:bCs/>
          <w:sz w:val="24"/>
        </w:rPr>
      </w:pPr>
      <w:bookmarkStart w:id="53" w:name="_Toc420591651"/>
      <w:bookmarkStart w:id="54" w:name="_Toc425240472"/>
      <w:bookmarkStart w:id="55" w:name="_Toc421778373"/>
      <w:r>
        <w:rPr>
          <w:rFonts w:hint="eastAsia" w:ascii="宋体" w:hAnsi="宋体" w:cs="宋体"/>
          <w:b/>
          <w:bCs/>
          <w:sz w:val="24"/>
        </w:rPr>
        <w:t>9．纪律和监督</w:t>
      </w:r>
      <w:bookmarkEnd w:id="53"/>
      <w:bookmarkEnd w:id="54"/>
      <w:bookmarkEnd w:id="55"/>
    </w:p>
    <w:p>
      <w:pPr>
        <w:spacing w:line="360" w:lineRule="auto"/>
        <w:ind w:firstLine="482" w:firstLineChars="200"/>
        <w:outlineLvl w:val="2"/>
        <w:rPr>
          <w:rFonts w:ascii="宋体" w:hAnsi="宋体" w:cs="宋体"/>
          <w:b/>
          <w:bCs/>
          <w:sz w:val="24"/>
        </w:rPr>
      </w:pPr>
      <w:r>
        <w:rPr>
          <w:rFonts w:hint="eastAsia" w:ascii="宋体" w:hAnsi="宋体" w:cs="宋体"/>
          <w:b/>
          <w:bCs/>
          <w:sz w:val="24"/>
        </w:rPr>
        <w:t>9.1 对采购人的纪律要求</w:t>
      </w:r>
    </w:p>
    <w:p>
      <w:pPr>
        <w:spacing w:line="360" w:lineRule="auto"/>
        <w:ind w:firstLine="480" w:firstLineChars="200"/>
        <w:rPr>
          <w:rFonts w:ascii="宋体" w:hAnsi="宋体" w:cs="宋体"/>
          <w:sz w:val="24"/>
        </w:rPr>
      </w:pPr>
      <w:r>
        <w:rPr>
          <w:rFonts w:hint="eastAsia" w:ascii="宋体" w:hAnsi="宋体" w:cs="宋体"/>
          <w:sz w:val="24"/>
        </w:rPr>
        <w:t>采购人不得泄漏招标投标活动中应当保密的情况和资料，不得与投标人串通损害国家利益、社会公共利益或者他人合法权益。</w:t>
      </w:r>
    </w:p>
    <w:p>
      <w:pPr>
        <w:spacing w:line="360" w:lineRule="auto"/>
        <w:ind w:firstLine="482" w:firstLineChars="200"/>
        <w:outlineLvl w:val="2"/>
        <w:rPr>
          <w:rFonts w:ascii="宋体" w:hAnsi="宋体" w:cs="宋体"/>
          <w:b/>
          <w:bCs/>
          <w:sz w:val="24"/>
        </w:rPr>
      </w:pPr>
      <w:r>
        <w:rPr>
          <w:rFonts w:hint="eastAsia" w:ascii="宋体" w:hAnsi="宋体" w:cs="宋体"/>
          <w:b/>
          <w:bCs/>
          <w:sz w:val="24"/>
        </w:rPr>
        <w:t>9.2 对投标人的纪律要求</w:t>
      </w:r>
    </w:p>
    <w:p>
      <w:pPr>
        <w:spacing w:line="360" w:lineRule="auto"/>
        <w:ind w:firstLine="480" w:firstLineChars="200"/>
        <w:rPr>
          <w:rFonts w:ascii="宋体" w:hAnsi="宋体" w:cs="宋体"/>
          <w:sz w:val="24"/>
        </w:rPr>
      </w:pPr>
      <w:r>
        <w:rPr>
          <w:rFonts w:hint="eastAsia" w:ascii="宋体" w:hAnsi="宋体" w:cs="宋体"/>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ind w:firstLine="482" w:firstLineChars="200"/>
        <w:outlineLvl w:val="2"/>
        <w:rPr>
          <w:rFonts w:ascii="宋体" w:hAnsi="宋体" w:cs="宋体"/>
          <w:b/>
          <w:bCs/>
          <w:sz w:val="24"/>
        </w:rPr>
      </w:pPr>
      <w:r>
        <w:rPr>
          <w:rFonts w:hint="eastAsia" w:ascii="宋体" w:hAnsi="宋体" w:cs="宋体"/>
          <w:b/>
          <w:bCs/>
          <w:sz w:val="24"/>
        </w:rPr>
        <w:t>9.3 对评标委员会成员的纪律要求</w:t>
      </w:r>
    </w:p>
    <w:p>
      <w:pPr>
        <w:spacing w:line="360" w:lineRule="auto"/>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outlineLvl w:val="2"/>
        <w:rPr>
          <w:rFonts w:ascii="宋体" w:hAnsi="宋体" w:cs="宋体"/>
          <w:b/>
          <w:bCs/>
          <w:sz w:val="24"/>
        </w:rPr>
      </w:pPr>
      <w:r>
        <w:rPr>
          <w:rFonts w:hint="eastAsia" w:ascii="宋体" w:hAnsi="宋体" w:cs="宋体"/>
          <w:b/>
          <w:bCs/>
          <w:sz w:val="24"/>
        </w:rPr>
        <w:t>9.4 对与评标活动有关的工作人员的纪律要求</w:t>
      </w:r>
    </w:p>
    <w:p>
      <w:pPr>
        <w:spacing w:line="360" w:lineRule="auto"/>
        <w:ind w:firstLine="480" w:firstLineChars="200"/>
        <w:rPr>
          <w:rFonts w:ascii="宋体" w:hAnsi="宋体" w:cs="宋体"/>
          <w:sz w:val="24"/>
        </w:rPr>
      </w:pPr>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outlineLvl w:val="2"/>
        <w:rPr>
          <w:rFonts w:ascii="宋体" w:hAnsi="宋体" w:cs="宋体"/>
          <w:b/>
          <w:bCs/>
          <w:sz w:val="24"/>
        </w:rPr>
      </w:pPr>
      <w:r>
        <w:rPr>
          <w:rFonts w:hint="eastAsia" w:ascii="宋体" w:hAnsi="宋体" w:cs="宋体"/>
          <w:b/>
          <w:bCs/>
          <w:sz w:val="24"/>
        </w:rPr>
        <w:t>9.5 投诉</w:t>
      </w:r>
    </w:p>
    <w:p>
      <w:pPr>
        <w:spacing w:line="360" w:lineRule="auto"/>
        <w:ind w:firstLine="480" w:firstLineChars="200"/>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spacing w:line="360" w:lineRule="auto"/>
        <w:ind w:firstLine="482" w:firstLineChars="200"/>
        <w:outlineLvl w:val="1"/>
        <w:rPr>
          <w:rFonts w:ascii="宋体" w:hAnsi="宋体" w:cs="宋体"/>
          <w:b/>
          <w:bCs/>
          <w:sz w:val="24"/>
        </w:rPr>
      </w:pPr>
      <w:r>
        <w:rPr>
          <w:rFonts w:hint="eastAsia" w:ascii="宋体" w:hAnsi="宋体" w:cs="宋体"/>
          <w:b/>
          <w:bCs/>
          <w:sz w:val="24"/>
        </w:rPr>
        <w:t>10.质疑</w:t>
      </w:r>
    </w:p>
    <w:p>
      <w:pPr>
        <w:spacing w:line="360" w:lineRule="auto"/>
        <w:ind w:firstLine="480" w:firstLineChars="200"/>
        <w:rPr>
          <w:rFonts w:ascii="宋体" w:hAnsi="宋体" w:cs="宋体"/>
          <w:sz w:val="24"/>
        </w:rPr>
      </w:pPr>
      <w:r>
        <w:rPr>
          <w:rFonts w:hint="eastAsia" w:ascii="宋体" w:hAnsi="宋体" w:cs="宋体"/>
          <w:sz w:val="24"/>
        </w:rPr>
        <w:t>10.1投标人认为招标文件、采购过程、中标结果使自己的权益受到损害的，可以在知道或者应知其权益受到损害之日起7个工作日内，以书面形式向采购人、采购代理机构提出质疑。</w:t>
      </w:r>
    </w:p>
    <w:p>
      <w:pPr>
        <w:spacing w:line="360" w:lineRule="auto"/>
        <w:ind w:firstLine="480" w:firstLineChars="200"/>
        <w:rPr>
          <w:rFonts w:ascii="宋体" w:hAnsi="宋体" w:cs="宋体"/>
          <w:sz w:val="24"/>
        </w:rPr>
      </w:pPr>
      <w:r>
        <w:rPr>
          <w:rFonts w:hint="eastAsia" w:ascii="宋体" w:hAnsi="宋体" w:cs="宋体"/>
          <w:sz w:val="24"/>
        </w:rPr>
        <w:t>10.2投标人必须在法定质疑期内一次性提出针对同一采购程序环节的质疑。</w:t>
      </w:r>
    </w:p>
    <w:p>
      <w:pPr>
        <w:spacing w:line="360" w:lineRule="auto"/>
        <w:ind w:firstLine="480" w:firstLineChars="200"/>
        <w:rPr>
          <w:rFonts w:ascii="宋体" w:hAnsi="宋体" w:cs="宋体"/>
          <w:sz w:val="24"/>
        </w:rPr>
      </w:pPr>
      <w:r>
        <w:rPr>
          <w:rFonts w:hint="eastAsia" w:ascii="宋体" w:hAnsi="宋体" w:cs="宋体"/>
          <w:sz w:val="24"/>
        </w:rPr>
        <w:t>10.3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360" w:lineRule="auto"/>
        <w:ind w:firstLine="480" w:firstLineChars="200"/>
        <w:rPr>
          <w:rFonts w:ascii="宋体" w:hAnsi="宋体" w:cs="宋体"/>
          <w:sz w:val="24"/>
        </w:rPr>
      </w:pPr>
      <w:r>
        <w:rPr>
          <w:rFonts w:hint="eastAsia" w:ascii="宋体" w:hAnsi="宋体" w:cs="宋体"/>
          <w:sz w:val="24"/>
        </w:rPr>
        <w:t>10.4以联合体形式参加政府采购活动的，其质疑应当由组成联合体的所有投标人共同提出。</w:t>
      </w:r>
    </w:p>
    <w:p>
      <w:pPr>
        <w:spacing w:line="360" w:lineRule="auto"/>
        <w:ind w:firstLine="480" w:firstLineChars="200"/>
        <w:rPr>
          <w:rFonts w:ascii="宋体" w:hAnsi="宋体" w:cs="宋体"/>
          <w:sz w:val="24"/>
        </w:rPr>
      </w:pPr>
      <w:r>
        <w:rPr>
          <w:rFonts w:hint="eastAsia" w:ascii="宋体" w:hAnsi="宋体" w:cs="宋体"/>
          <w:sz w:val="24"/>
        </w:rPr>
        <w:t>10.5投标人提出质疑应当提交质疑函和必要的证明材料。质疑函应当包括下列内容：</w:t>
      </w:r>
    </w:p>
    <w:p>
      <w:pPr>
        <w:spacing w:line="360" w:lineRule="auto"/>
        <w:ind w:firstLine="480" w:firstLineChars="200"/>
        <w:rPr>
          <w:rFonts w:ascii="宋体" w:hAnsi="宋体" w:cs="宋体"/>
          <w:sz w:val="24"/>
        </w:rPr>
      </w:pPr>
      <w:r>
        <w:rPr>
          <w:rFonts w:hint="eastAsia" w:ascii="宋体" w:hAnsi="宋体" w:cs="宋体"/>
          <w:sz w:val="24"/>
        </w:rPr>
        <w:t>10.5.1投标人的姓名或者名称、地址、邮编、联系人及联系电话；</w:t>
      </w:r>
    </w:p>
    <w:p>
      <w:pPr>
        <w:spacing w:line="360" w:lineRule="auto"/>
        <w:ind w:firstLine="480" w:firstLineChars="200"/>
        <w:rPr>
          <w:rFonts w:ascii="宋体" w:hAnsi="宋体" w:cs="宋体"/>
          <w:sz w:val="24"/>
        </w:rPr>
      </w:pPr>
      <w:r>
        <w:rPr>
          <w:rFonts w:hint="eastAsia" w:ascii="宋体" w:hAnsi="宋体" w:cs="宋体"/>
          <w:sz w:val="24"/>
        </w:rPr>
        <w:t>10.5.2质疑项目的名称、编号；</w:t>
      </w:r>
    </w:p>
    <w:p>
      <w:pPr>
        <w:spacing w:line="360" w:lineRule="auto"/>
        <w:ind w:firstLine="480" w:firstLineChars="200"/>
        <w:rPr>
          <w:rFonts w:ascii="宋体" w:hAnsi="宋体" w:cs="宋体"/>
          <w:sz w:val="24"/>
        </w:rPr>
      </w:pPr>
      <w:r>
        <w:rPr>
          <w:rFonts w:hint="eastAsia" w:ascii="宋体" w:hAnsi="宋体" w:cs="宋体"/>
          <w:sz w:val="24"/>
        </w:rPr>
        <w:t>10.5.3具体、明确的质疑事项和与质疑事项相关的请求；</w:t>
      </w:r>
    </w:p>
    <w:p>
      <w:pPr>
        <w:spacing w:line="360" w:lineRule="auto"/>
        <w:ind w:firstLine="480" w:firstLineChars="200"/>
        <w:rPr>
          <w:rFonts w:ascii="宋体" w:hAnsi="宋体" w:cs="宋体"/>
          <w:sz w:val="24"/>
        </w:rPr>
      </w:pPr>
      <w:r>
        <w:rPr>
          <w:rFonts w:hint="eastAsia" w:ascii="宋体" w:hAnsi="宋体" w:cs="宋体"/>
          <w:sz w:val="24"/>
        </w:rPr>
        <w:t>10.5.4事实依据；</w:t>
      </w:r>
    </w:p>
    <w:p>
      <w:pPr>
        <w:spacing w:line="360" w:lineRule="auto"/>
        <w:ind w:firstLine="480" w:firstLineChars="200"/>
        <w:rPr>
          <w:rFonts w:ascii="宋体" w:hAnsi="宋体" w:cs="宋体"/>
          <w:sz w:val="24"/>
        </w:rPr>
      </w:pPr>
      <w:r>
        <w:rPr>
          <w:rFonts w:hint="eastAsia" w:ascii="宋体" w:hAnsi="宋体" w:cs="宋体"/>
          <w:sz w:val="24"/>
        </w:rPr>
        <w:t>10.5.5必要的法律依据；</w:t>
      </w:r>
    </w:p>
    <w:p>
      <w:pPr>
        <w:spacing w:line="360" w:lineRule="auto"/>
        <w:ind w:firstLine="480" w:firstLineChars="200"/>
        <w:rPr>
          <w:rFonts w:ascii="宋体" w:hAnsi="宋体" w:cs="宋体"/>
          <w:sz w:val="24"/>
        </w:rPr>
      </w:pPr>
      <w:r>
        <w:rPr>
          <w:rFonts w:hint="eastAsia" w:ascii="宋体" w:hAnsi="宋体" w:cs="宋体"/>
          <w:sz w:val="24"/>
        </w:rPr>
        <w:t>10.5.6提出质疑的日期。</w:t>
      </w:r>
    </w:p>
    <w:p>
      <w:pPr>
        <w:spacing w:line="360" w:lineRule="auto"/>
        <w:ind w:firstLine="480" w:firstLineChars="200"/>
        <w:rPr>
          <w:rFonts w:ascii="宋体" w:hAnsi="宋体" w:cs="宋体"/>
          <w:sz w:val="24"/>
        </w:rPr>
      </w:pPr>
      <w:r>
        <w:rPr>
          <w:rFonts w:hint="eastAsia" w:ascii="宋体" w:hAnsi="宋体" w:cs="宋体"/>
          <w:sz w:val="24"/>
        </w:rPr>
        <w:t>10.6有下列情形之一的，属于无效质疑，采购代理机构和采购人不予受理：</w:t>
      </w:r>
    </w:p>
    <w:p>
      <w:pPr>
        <w:spacing w:line="360" w:lineRule="auto"/>
        <w:ind w:firstLine="480" w:firstLineChars="200"/>
        <w:rPr>
          <w:rFonts w:ascii="宋体" w:hAnsi="宋体" w:cs="宋体"/>
          <w:sz w:val="24"/>
        </w:rPr>
      </w:pPr>
      <w:r>
        <w:rPr>
          <w:rFonts w:hint="eastAsia" w:ascii="宋体" w:hAnsi="宋体" w:cs="宋体"/>
          <w:sz w:val="24"/>
        </w:rPr>
        <w:t>10.6.1质疑投标人不是参与本次政府采购项目的投标人；</w:t>
      </w:r>
    </w:p>
    <w:p>
      <w:pPr>
        <w:spacing w:line="360" w:lineRule="auto"/>
        <w:ind w:firstLine="480" w:firstLineChars="200"/>
        <w:rPr>
          <w:rFonts w:ascii="宋体" w:hAnsi="宋体" w:cs="宋体"/>
          <w:sz w:val="24"/>
        </w:rPr>
      </w:pPr>
      <w:r>
        <w:rPr>
          <w:rFonts w:hint="eastAsia" w:ascii="宋体" w:hAnsi="宋体" w:cs="宋体"/>
          <w:sz w:val="24"/>
        </w:rPr>
        <w:t>10.6.2质疑投标人与质疑事项不存在利害关系的；</w:t>
      </w:r>
    </w:p>
    <w:p>
      <w:pPr>
        <w:spacing w:line="360" w:lineRule="auto"/>
        <w:ind w:firstLine="480" w:firstLineChars="200"/>
        <w:rPr>
          <w:rFonts w:ascii="宋体" w:hAnsi="宋体" w:cs="宋体"/>
          <w:sz w:val="24"/>
        </w:rPr>
      </w:pPr>
      <w:r>
        <w:rPr>
          <w:rFonts w:hint="eastAsia" w:ascii="宋体" w:hAnsi="宋体" w:cs="宋体"/>
          <w:sz w:val="24"/>
        </w:rPr>
        <w:t>10.6.3未在法定期限内提出质疑的；</w:t>
      </w:r>
    </w:p>
    <w:p>
      <w:pPr>
        <w:spacing w:line="360" w:lineRule="auto"/>
        <w:ind w:firstLine="480" w:firstLineChars="200"/>
        <w:rPr>
          <w:rFonts w:ascii="宋体" w:hAnsi="宋体" w:cs="宋体"/>
          <w:sz w:val="24"/>
        </w:rPr>
      </w:pPr>
      <w:r>
        <w:rPr>
          <w:rFonts w:hint="eastAsia" w:ascii="宋体" w:hAnsi="宋体" w:cs="宋体"/>
          <w:sz w:val="24"/>
        </w:rPr>
        <w:t>10.6.4质疑未以书面形式提出，或质疑函主要内容构成不完整的；</w:t>
      </w:r>
    </w:p>
    <w:p>
      <w:pPr>
        <w:spacing w:line="360" w:lineRule="auto"/>
        <w:ind w:firstLine="480" w:firstLineChars="200"/>
        <w:rPr>
          <w:rFonts w:ascii="宋体" w:hAnsi="宋体" w:cs="宋体"/>
          <w:sz w:val="24"/>
        </w:rPr>
      </w:pPr>
      <w:r>
        <w:rPr>
          <w:rFonts w:hint="eastAsia" w:ascii="宋体" w:hAnsi="宋体" w:cs="宋体"/>
          <w:sz w:val="24"/>
        </w:rPr>
        <w:t>10.6.5应当提交授权书而未提交的；</w:t>
      </w:r>
    </w:p>
    <w:p>
      <w:pPr>
        <w:spacing w:line="360" w:lineRule="auto"/>
        <w:ind w:firstLine="480" w:firstLineChars="200"/>
        <w:rPr>
          <w:rFonts w:ascii="宋体" w:hAnsi="宋体" w:cs="宋体"/>
          <w:sz w:val="24"/>
        </w:rPr>
      </w:pPr>
      <w:r>
        <w:rPr>
          <w:rFonts w:hint="eastAsia" w:ascii="宋体" w:hAnsi="宋体" w:cs="宋体"/>
          <w:sz w:val="24"/>
        </w:rPr>
        <w:t>10.6.6以非法手段取得证据、材料的；</w:t>
      </w:r>
    </w:p>
    <w:p>
      <w:pPr>
        <w:spacing w:line="360" w:lineRule="auto"/>
        <w:ind w:firstLine="480" w:firstLineChars="200"/>
        <w:rPr>
          <w:rFonts w:ascii="宋体" w:hAnsi="宋体" w:cs="宋体"/>
          <w:sz w:val="24"/>
        </w:rPr>
      </w:pPr>
      <w:r>
        <w:rPr>
          <w:rFonts w:hint="eastAsia" w:ascii="宋体" w:hAnsi="宋体" w:cs="宋体"/>
          <w:sz w:val="24"/>
        </w:rPr>
        <w:t>10.6.7质疑答复后，同一质疑人就同一事项或同一采购程序环节再次提出质疑的；</w:t>
      </w:r>
    </w:p>
    <w:p>
      <w:pPr>
        <w:spacing w:line="360" w:lineRule="auto"/>
        <w:ind w:firstLine="480" w:firstLineChars="200"/>
        <w:rPr>
          <w:rFonts w:ascii="宋体" w:hAnsi="宋体" w:cs="宋体"/>
          <w:sz w:val="24"/>
        </w:rPr>
      </w:pPr>
      <w:r>
        <w:rPr>
          <w:rFonts w:hint="eastAsia" w:ascii="宋体" w:hAnsi="宋体" w:cs="宋体"/>
          <w:sz w:val="24"/>
        </w:rPr>
        <w:t>10.6.8不符合法律、法规、规章和政府采购监管机构规定的其他条件的。</w:t>
      </w:r>
    </w:p>
    <w:p>
      <w:pPr>
        <w:spacing w:line="360" w:lineRule="auto"/>
        <w:ind w:firstLine="480" w:firstLineChars="200"/>
        <w:rPr>
          <w:rFonts w:ascii="宋体" w:hAnsi="宋体" w:cs="宋体"/>
          <w:sz w:val="24"/>
        </w:rPr>
      </w:pPr>
      <w:r>
        <w:rPr>
          <w:rFonts w:hint="eastAsia" w:ascii="宋体" w:hAnsi="宋体" w:cs="宋体"/>
          <w:sz w:val="24"/>
        </w:rPr>
        <w:t>10.7质疑答复</w:t>
      </w:r>
    </w:p>
    <w:p>
      <w:pPr>
        <w:spacing w:line="360" w:lineRule="auto"/>
        <w:ind w:firstLine="480" w:firstLineChars="200"/>
        <w:rPr>
          <w:rFonts w:ascii="宋体" w:hAnsi="宋体" w:cs="宋体"/>
          <w:sz w:val="24"/>
        </w:rPr>
      </w:pPr>
      <w:r>
        <w:rPr>
          <w:rFonts w:hint="eastAsia" w:ascii="宋体" w:hAnsi="宋体" w:cs="宋体"/>
          <w:sz w:val="24"/>
        </w:rPr>
        <w:t>10.7.1采购人或采购代理机构在收到质疑函后7个工作日内作出答复，并以书面形式通知质疑投标人和其他有关投标人。</w:t>
      </w:r>
    </w:p>
    <w:p>
      <w:pPr>
        <w:spacing w:line="360" w:lineRule="auto"/>
        <w:ind w:firstLine="480" w:firstLineChars="200"/>
        <w:rPr>
          <w:rFonts w:ascii="宋体" w:hAnsi="宋体" w:cs="宋体"/>
          <w:sz w:val="24"/>
        </w:rPr>
      </w:pPr>
      <w:r>
        <w:rPr>
          <w:rFonts w:hint="eastAsia" w:ascii="宋体" w:hAnsi="宋体" w:cs="宋体"/>
          <w:sz w:val="24"/>
        </w:rPr>
        <w:t>10.7.2质疑投标人对采购人、采购代理机构的答复不满意，或者采购人、采购代理机构未在规定时间内作出答复的，可以在答复期满后15个工作日内向西安市经济技术开发财政局提起投诉。</w:t>
      </w:r>
    </w:p>
    <w:p>
      <w:pPr>
        <w:spacing w:line="360" w:lineRule="auto"/>
        <w:ind w:firstLine="480" w:firstLineChars="200"/>
        <w:rPr>
          <w:rFonts w:ascii="宋体" w:hAnsi="宋体" w:cs="宋体"/>
          <w:sz w:val="24"/>
        </w:rPr>
      </w:pPr>
      <w:r>
        <w:rPr>
          <w:rFonts w:hint="eastAsia" w:ascii="宋体" w:hAnsi="宋体" w:cs="宋体"/>
          <w:sz w:val="24"/>
        </w:rPr>
        <w:t>10.8其他需要说明的事项</w:t>
      </w:r>
    </w:p>
    <w:p>
      <w:pPr>
        <w:pStyle w:val="50"/>
        <w:widowControl/>
        <w:spacing w:line="360" w:lineRule="auto"/>
        <w:ind w:firstLine="482" w:firstLineChars="0"/>
        <w:jc w:val="left"/>
        <w:rPr>
          <w:rFonts w:ascii="宋体" w:hAnsi="宋体" w:cs="宋体"/>
          <w:sz w:val="24"/>
          <w:szCs w:val="24"/>
        </w:rPr>
      </w:pPr>
      <w:bookmarkStart w:id="56" w:name="_Toc420591652"/>
      <w:bookmarkStart w:id="57" w:name="_Toc425240473"/>
      <w:bookmarkStart w:id="58" w:name="_Toc421778374"/>
      <w:r>
        <w:rPr>
          <w:rFonts w:hint="eastAsia" w:ascii="宋体" w:hAnsi="宋体" w:cs="宋体"/>
          <w:sz w:val="24"/>
          <w:szCs w:val="24"/>
        </w:rPr>
        <w:t>10.8.1质疑函须按财政部《质疑函范本》给定的格式进行填写，范本下载详见【财政部国库司（gks.mof.gov.cn）】网站〖首页·政府采购管理〗栏目中的《政府采购供应商质疑函范本》。《政府采购供应商质疑函范本》链接地址：http://gks.mof.gov.cn/zhengfucaigouguanli/201802/t20180201_2804589.html</w:t>
      </w:r>
    </w:p>
    <w:p>
      <w:pPr>
        <w:pStyle w:val="50"/>
        <w:widowControl/>
        <w:spacing w:line="360" w:lineRule="auto"/>
        <w:ind w:firstLine="480" w:firstLineChars="0"/>
        <w:jc w:val="left"/>
        <w:rPr>
          <w:rFonts w:ascii="宋体" w:hAnsi="宋体" w:cs="宋体"/>
          <w:sz w:val="24"/>
          <w:szCs w:val="24"/>
        </w:rPr>
      </w:pPr>
      <w:r>
        <w:rPr>
          <w:rFonts w:hint="eastAsia" w:ascii="宋体" w:hAnsi="宋体" w:cs="宋体"/>
          <w:sz w:val="24"/>
          <w:szCs w:val="24"/>
        </w:rPr>
        <w:t>10.8.2接收质疑函的方式：书面形式</w:t>
      </w:r>
    </w:p>
    <w:p>
      <w:pPr>
        <w:pStyle w:val="50"/>
        <w:widowControl/>
        <w:spacing w:line="360" w:lineRule="auto"/>
        <w:ind w:firstLine="480" w:firstLineChars="0"/>
        <w:jc w:val="left"/>
        <w:rPr>
          <w:rFonts w:ascii="宋体" w:hAnsi="宋体" w:cs="宋体"/>
          <w:sz w:val="24"/>
          <w:szCs w:val="24"/>
        </w:rPr>
      </w:pPr>
      <w:r>
        <w:rPr>
          <w:rFonts w:hint="eastAsia" w:ascii="宋体" w:hAnsi="宋体" w:cs="宋体"/>
          <w:sz w:val="24"/>
          <w:szCs w:val="24"/>
        </w:rPr>
        <w:t>10.8.3联系部门：腾德工程咨询有限公司招标部</w:t>
      </w:r>
    </w:p>
    <w:p>
      <w:pPr>
        <w:pStyle w:val="50"/>
        <w:widowControl/>
        <w:spacing w:line="360" w:lineRule="auto"/>
        <w:ind w:firstLine="480" w:firstLineChars="0"/>
        <w:jc w:val="left"/>
        <w:rPr>
          <w:rFonts w:ascii="宋体" w:hAnsi="宋体" w:cs="宋体"/>
          <w:sz w:val="24"/>
          <w:szCs w:val="24"/>
        </w:rPr>
      </w:pPr>
      <w:r>
        <w:rPr>
          <w:rFonts w:hint="eastAsia" w:ascii="宋体" w:hAnsi="宋体" w:cs="宋体"/>
          <w:sz w:val="24"/>
          <w:szCs w:val="24"/>
        </w:rPr>
        <w:t>10.8.4联系人：张经理</w:t>
      </w:r>
    </w:p>
    <w:p>
      <w:pPr>
        <w:pStyle w:val="50"/>
        <w:widowControl/>
        <w:spacing w:line="360" w:lineRule="auto"/>
        <w:ind w:firstLine="480" w:firstLineChars="0"/>
        <w:jc w:val="left"/>
        <w:rPr>
          <w:rFonts w:ascii="宋体" w:hAnsi="宋体" w:cs="宋体"/>
          <w:sz w:val="24"/>
          <w:szCs w:val="24"/>
        </w:rPr>
      </w:pPr>
      <w:r>
        <w:rPr>
          <w:rFonts w:hint="eastAsia" w:ascii="宋体" w:hAnsi="宋体" w:cs="宋体"/>
          <w:sz w:val="24"/>
          <w:szCs w:val="24"/>
        </w:rPr>
        <w:t>10.8.5联系电话：029-89293166</w:t>
      </w:r>
    </w:p>
    <w:p>
      <w:pPr>
        <w:pStyle w:val="50"/>
        <w:widowControl/>
        <w:spacing w:line="360" w:lineRule="auto"/>
        <w:ind w:firstLine="480" w:firstLineChars="0"/>
        <w:jc w:val="left"/>
        <w:rPr>
          <w:rFonts w:ascii="宋体" w:hAnsi="宋体" w:cs="宋体"/>
          <w:sz w:val="24"/>
          <w:szCs w:val="24"/>
        </w:rPr>
      </w:pPr>
      <w:r>
        <w:rPr>
          <w:rFonts w:hint="eastAsia" w:ascii="宋体" w:hAnsi="宋体" w:cs="宋体"/>
          <w:sz w:val="24"/>
          <w:szCs w:val="24"/>
        </w:rPr>
        <w:t>10.8.6通讯地址：西安市明光路166号凯瑞E座803室</w:t>
      </w:r>
    </w:p>
    <w:p>
      <w:pPr>
        <w:spacing w:line="500" w:lineRule="exact"/>
        <w:rPr>
          <w:rFonts w:ascii="宋体" w:hAnsi="宋体" w:cs="宋体"/>
          <w:b/>
          <w:bCs/>
          <w:sz w:val="24"/>
          <w:szCs w:val="21"/>
        </w:rPr>
      </w:pPr>
      <w:r>
        <w:rPr>
          <w:rFonts w:hint="eastAsia" w:ascii="宋体" w:hAnsi="宋体" w:cs="宋体"/>
          <w:b/>
          <w:bCs/>
          <w:sz w:val="24"/>
          <w:szCs w:val="21"/>
        </w:rPr>
        <w:t>11.需要落实的政府采购政策</w:t>
      </w:r>
    </w:p>
    <w:p>
      <w:pPr>
        <w:rPr>
          <w:rFonts w:ascii="宋体" w:hAnsi="宋体" w:cs="宋体"/>
        </w:rPr>
      </w:pPr>
    </w:p>
    <w:p>
      <w:pPr>
        <w:spacing w:line="360" w:lineRule="auto"/>
        <w:ind w:firstLine="480" w:firstLineChars="200"/>
        <w:rPr>
          <w:rFonts w:ascii="宋体" w:hAnsi="宋体" w:cs="宋体"/>
          <w:sz w:val="24"/>
          <w:szCs w:val="21"/>
        </w:rPr>
      </w:pPr>
      <w:r>
        <w:rPr>
          <w:rFonts w:hint="eastAsia" w:ascii="宋体" w:hAnsi="宋体" w:cs="宋体"/>
          <w:sz w:val="24"/>
          <w:szCs w:val="21"/>
        </w:rPr>
        <w:t>根据《陕西省财政厅关于政府采购有关问题的通知》（陕财办采资（2016）53号）、《西安市政府采购信用担保及信用融资工作实施方案（试行）》（市财发〔2014〕167）的规定，对政府采购相关政策落实如下：</w:t>
      </w:r>
    </w:p>
    <w:p>
      <w:pPr>
        <w:spacing w:line="360" w:lineRule="auto"/>
        <w:rPr>
          <w:rFonts w:ascii="宋体" w:hAnsi="宋体" w:cs="宋体"/>
          <w:sz w:val="24"/>
          <w:szCs w:val="21"/>
        </w:rPr>
      </w:pPr>
      <w:r>
        <w:rPr>
          <w:rFonts w:hint="eastAsia" w:ascii="宋体" w:hAnsi="宋体" w:cs="宋体"/>
          <w:b/>
          <w:sz w:val="24"/>
          <w:szCs w:val="21"/>
        </w:rPr>
        <w:t xml:space="preserve">   11.1关于印发《政府采购促进中小企业发展管理办法》的通知--财库〔2020〕46号</w:t>
      </w:r>
    </w:p>
    <w:p>
      <w:pPr>
        <w:spacing w:line="360" w:lineRule="auto"/>
        <w:ind w:firstLine="480" w:firstLineChars="200"/>
        <w:rPr>
          <w:rFonts w:ascii="宋体" w:hAnsi="宋体" w:cs="宋体"/>
          <w:sz w:val="24"/>
          <w:szCs w:val="21"/>
        </w:rPr>
      </w:pPr>
      <w:r>
        <w:rPr>
          <w:rFonts w:hint="eastAsia" w:ascii="宋体" w:hAnsi="宋体" w:cs="宋体"/>
          <w:sz w:val="24"/>
          <w:szCs w:val="21"/>
        </w:rPr>
        <w:t xml:space="preserve">   在政府采购活动中，供应商提供的货物、工程或者服务符合下列情形的，享受《办法》规定的中小企业扶持政策:</w:t>
      </w:r>
    </w:p>
    <w:p>
      <w:pPr>
        <w:spacing w:line="360" w:lineRule="auto"/>
        <w:ind w:firstLine="480" w:firstLineChars="200"/>
        <w:rPr>
          <w:rFonts w:ascii="宋体" w:hAnsi="宋体" w:cs="宋体"/>
          <w:sz w:val="24"/>
          <w:szCs w:val="21"/>
        </w:rPr>
      </w:pPr>
      <w:r>
        <w:rPr>
          <w:rFonts w:hint="eastAsia" w:ascii="宋体" w:hAnsi="宋体" w:cs="宋体"/>
          <w:sz w:val="24"/>
          <w:szCs w:val="21"/>
        </w:rPr>
        <w:t>(一)在货物采购项目中，货物由中小企业制造，即货物由中小企业生产且使用该中小企业商号或者注册商标；</w:t>
      </w:r>
    </w:p>
    <w:p>
      <w:pPr>
        <w:spacing w:line="360" w:lineRule="auto"/>
        <w:ind w:firstLine="480" w:firstLineChars="200"/>
        <w:rPr>
          <w:rFonts w:ascii="宋体" w:hAnsi="宋体" w:cs="宋体"/>
          <w:sz w:val="24"/>
          <w:szCs w:val="21"/>
        </w:rPr>
      </w:pPr>
      <w:r>
        <w:rPr>
          <w:rFonts w:hint="eastAsia" w:ascii="宋体" w:hAnsi="宋体" w:cs="宋体"/>
          <w:sz w:val="24"/>
          <w:szCs w:val="21"/>
        </w:rPr>
        <w:t>(二)在工程采购项目中，工程由中小企业承建，即工程施工单位为中小企业；</w:t>
      </w:r>
    </w:p>
    <w:p>
      <w:pPr>
        <w:spacing w:line="360" w:lineRule="auto"/>
        <w:ind w:firstLine="480" w:firstLineChars="200"/>
        <w:rPr>
          <w:rFonts w:ascii="宋体" w:hAnsi="宋体" w:cs="宋体"/>
          <w:sz w:val="24"/>
          <w:szCs w:val="21"/>
        </w:rPr>
      </w:pPr>
      <w:r>
        <w:rPr>
          <w:rFonts w:hint="eastAsia" w:ascii="宋体" w:hAnsi="宋体" w:cs="宋体"/>
          <w:sz w:val="24"/>
          <w:szCs w:val="21"/>
        </w:rPr>
        <w:t>(三)在服务采购项目中，服务由中小企业承接，即提供服务的人员为中小企业依照《中华人民共和国民法典》订立劳动合同的从业人员。</w:t>
      </w:r>
    </w:p>
    <w:p>
      <w:pPr>
        <w:spacing w:line="360" w:lineRule="auto"/>
        <w:ind w:firstLine="480" w:firstLineChars="200"/>
        <w:rPr>
          <w:rFonts w:ascii="宋体" w:hAnsi="宋体" w:cs="宋体"/>
          <w:sz w:val="24"/>
          <w:szCs w:val="21"/>
        </w:rPr>
      </w:pPr>
      <w:r>
        <w:rPr>
          <w:rFonts w:hint="eastAsia" w:ascii="宋体" w:hAnsi="宋体" w:cs="宋体"/>
          <w:sz w:val="24"/>
          <w:szCs w:val="21"/>
        </w:rPr>
        <w:t>在货物采购项目中，供应商提供的货物既有中小企业制造货物，也有大型企业制造货物的，不享受《办法》规定的中小企业扶持政策。</w:t>
      </w:r>
    </w:p>
    <w:p>
      <w:pPr>
        <w:spacing w:line="360" w:lineRule="auto"/>
        <w:ind w:firstLine="480" w:firstLineChars="200"/>
        <w:rPr>
          <w:rFonts w:ascii="宋体" w:hAnsi="宋体" w:cs="宋体"/>
          <w:sz w:val="24"/>
          <w:szCs w:val="21"/>
        </w:rPr>
      </w:pPr>
      <w:r>
        <w:rPr>
          <w:rFonts w:hint="eastAsia" w:ascii="宋体" w:hAnsi="宋体" w:cs="宋体"/>
          <w:sz w:val="24"/>
          <w:szCs w:val="21"/>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szCs w:val="21"/>
        </w:rPr>
      </w:pPr>
      <w:r>
        <w:rPr>
          <w:rFonts w:hint="eastAsia" w:ascii="宋体" w:hAnsi="宋体" w:cs="宋体"/>
          <w:sz w:val="24"/>
          <w:szCs w:val="21"/>
        </w:rPr>
        <w:t>依据《办法》规定享受扶持政策获得政府采购合同的，小微企业不得将合同分包给大中型企业，中型企业不得将合同分包给大型企业。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szCs w:val="21"/>
        </w:rPr>
      </w:pPr>
      <w:r>
        <w:rPr>
          <w:rFonts w:hint="eastAsia" w:ascii="宋体" w:hAnsi="宋体" w:cs="宋体"/>
          <w:sz w:val="24"/>
          <w:szCs w:val="21"/>
        </w:rPr>
        <w:t>根据《政府采购促进中小企业发展管理办法》的通知（财库〔2020〕46号）规定，参加政府采购活动的中小企业应当提供《中小企业声明函》（见附件）。供应商提供的《中小企业声明函》资料必须真实，否则，按照有关规定予以处理。</w:t>
      </w:r>
    </w:p>
    <w:p>
      <w:pPr>
        <w:spacing w:line="360" w:lineRule="auto"/>
        <w:ind w:firstLine="480" w:firstLineChars="200"/>
        <w:rPr>
          <w:rFonts w:ascii="宋体" w:hAnsi="宋体" w:cs="宋体"/>
          <w:sz w:val="24"/>
          <w:szCs w:val="21"/>
        </w:rPr>
      </w:pPr>
      <w:r>
        <w:rPr>
          <w:rFonts w:hint="eastAsia" w:ascii="宋体" w:hAnsi="宋体" w:cs="宋体"/>
          <w:sz w:val="24"/>
          <w:szCs w:val="21"/>
        </w:rPr>
        <w:t>评标委员会根据《政府采购促进中小企业发展管理办法》的相关规定，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rPr>
          <w:rFonts w:ascii="宋体" w:hAnsi="宋体" w:cs="宋体"/>
          <w:sz w:val="24"/>
          <w:szCs w:val="21"/>
        </w:rPr>
      </w:pPr>
      <w:r>
        <w:rPr>
          <w:rFonts w:hint="eastAsia" w:ascii="宋体" w:hAnsi="宋体" w:cs="宋体"/>
          <w:sz w:val="24"/>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sz w:val="24"/>
          <w:szCs w:val="21"/>
        </w:rPr>
      </w:pPr>
      <w:r>
        <w:rPr>
          <w:rFonts w:hint="eastAsia" w:ascii="宋体" w:hAnsi="宋体" w:cs="宋体"/>
          <w:b/>
          <w:sz w:val="24"/>
          <w:szCs w:val="21"/>
        </w:rPr>
        <w:t xml:space="preserve">11.2财政部司法部关于政府采购支持监狱企业发展有关问题的通知--财库〔2014〕68号 </w:t>
      </w:r>
    </w:p>
    <w:p>
      <w:pPr>
        <w:spacing w:line="360" w:lineRule="auto"/>
        <w:rPr>
          <w:rFonts w:ascii="宋体" w:hAnsi="宋体" w:cs="宋体"/>
          <w:sz w:val="24"/>
          <w:szCs w:val="21"/>
        </w:rPr>
      </w:pPr>
      <w:r>
        <w:rPr>
          <w:rFonts w:hint="eastAsia" w:ascii="宋体" w:hAnsi="宋体" w:cs="宋体"/>
          <w:sz w:val="24"/>
          <w:szCs w:val="21"/>
        </w:rPr>
        <w:t xml:space="preserve">    根据《关于政府采购支持监狱企业发展有关问题的通知》（财库（2014）68号）规定，在政府采购活动中，监狱企业视同小型、微型企业，享受政府采购促进中小企业发展的政府采购政策。监狱企业参加政府采购活动时。</w:t>
      </w:r>
    </w:p>
    <w:p>
      <w:pPr>
        <w:spacing w:line="360" w:lineRule="auto"/>
        <w:ind w:firstLine="480" w:firstLineChars="200"/>
        <w:rPr>
          <w:rFonts w:ascii="宋体" w:hAnsi="宋体" w:cs="宋体"/>
          <w:sz w:val="24"/>
          <w:szCs w:val="21"/>
        </w:rPr>
      </w:pPr>
      <w:r>
        <w:rPr>
          <w:rFonts w:hint="eastAsia" w:ascii="宋体" w:hAnsi="宋体" w:cs="宋体"/>
          <w:sz w:val="24"/>
          <w:szCs w:val="21"/>
        </w:rPr>
        <w:t>评标小组对监狱企业的价格给予6%的扣除，用扣除后的价格参与评审。</w:t>
      </w:r>
    </w:p>
    <w:p>
      <w:pPr>
        <w:spacing w:line="360" w:lineRule="auto"/>
        <w:ind w:firstLine="236" w:firstLineChars="98"/>
        <w:rPr>
          <w:rFonts w:ascii="宋体" w:hAnsi="宋体" w:cs="宋体"/>
          <w:b/>
          <w:sz w:val="24"/>
          <w:szCs w:val="21"/>
        </w:rPr>
      </w:pPr>
      <w:r>
        <w:rPr>
          <w:rFonts w:hint="eastAsia" w:ascii="宋体" w:hAnsi="宋体" w:cs="宋体"/>
          <w:b/>
          <w:sz w:val="24"/>
          <w:szCs w:val="21"/>
        </w:rPr>
        <w:t xml:space="preserve"> 11.3《关于政府采购优先购买福利性企业产品和服务的意见》（陕民发（2015）1号）</w:t>
      </w:r>
    </w:p>
    <w:p>
      <w:pPr>
        <w:spacing w:line="360" w:lineRule="auto"/>
        <w:ind w:firstLine="480" w:firstLineChars="200"/>
        <w:rPr>
          <w:rFonts w:ascii="宋体" w:hAnsi="宋体" w:cs="宋体"/>
          <w:sz w:val="24"/>
          <w:szCs w:val="21"/>
        </w:rPr>
      </w:pPr>
      <w:r>
        <w:rPr>
          <w:rFonts w:hint="eastAsia" w:ascii="宋体" w:hAnsi="宋体" w:cs="宋体"/>
          <w:sz w:val="24"/>
          <w:szCs w:val="21"/>
        </w:rPr>
        <w:t>根据《关于政府采购优先购买福利性企业产品和服务的意见》（陕民发（2015）1号）规定，在政府采购活动中，本省福利性企业享受我省规定的采购扶持政策。</w:t>
      </w:r>
    </w:p>
    <w:p>
      <w:pPr>
        <w:spacing w:line="360" w:lineRule="auto"/>
        <w:ind w:firstLine="480" w:firstLineChars="200"/>
        <w:rPr>
          <w:rFonts w:ascii="宋体" w:hAnsi="宋体" w:cs="宋体"/>
          <w:sz w:val="24"/>
          <w:szCs w:val="21"/>
        </w:rPr>
      </w:pPr>
      <w:r>
        <w:rPr>
          <w:rFonts w:hint="eastAsia" w:ascii="宋体" w:hAnsi="宋体" w:cs="宋体"/>
          <w:sz w:val="24"/>
          <w:szCs w:val="21"/>
        </w:rPr>
        <w:t>根据相关规定，对福利企业的价格给予6%的扣除，用扣除后的价格参与评审。</w:t>
      </w:r>
    </w:p>
    <w:p>
      <w:pPr>
        <w:spacing w:line="360" w:lineRule="auto"/>
        <w:ind w:firstLine="241" w:firstLineChars="100"/>
        <w:rPr>
          <w:rFonts w:ascii="宋体" w:hAnsi="宋体" w:cs="宋体"/>
          <w:b/>
          <w:sz w:val="24"/>
          <w:szCs w:val="21"/>
        </w:rPr>
      </w:pPr>
      <w:r>
        <w:rPr>
          <w:rFonts w:hint="eastAsia" w:ascii="宋体" w:hAnsi="宋体" w:cs="宋体"/>
          <w:b/>
          <w:sz w:val="24"/>
          <w:szCs w:val="21"/>
        </w:rPr>
        <w:t xml:space="preserve"> 11.4《关于调整优化节能产品、环境标志产品政府采购执行机制的通知》--（财库[2019]9号） </w:t>
      </w:r>
    </w:p>
    <w:p>
      <w:pPr>
        <w:spacing w:line="360" w:lineRule="auto"/>
        <w:ind w:firstLine="480" w:firstLineChars="200"/>
        <w:rPr>
          <w:rFonts w:ascii="宋体" w:hAnsi="宋体" w:cs="宋体"/>
          <w:sz w:val="24"/>
          <w:szCs w:val="21"/>
        </w:rPr>
      </w:pPr>
      <w:r>
        <w:rPr>
          <w:rFonts w:hint="eastAsia" w:ascii="宋体" w:hAnsi="宋体" w:cs="宋体"/>
          <w:sz w:val="24"/>
          <w:szCs w:val="21"/>
        </w:rPr>
        <w:t>根据《关于调整优化节能产品、环境标志产品政府采购执行机制的通知》--（财库[2019]9号）规定，政府采购属于品目清单中产品时，在技术、服务等指标同等条件下，应当优先采购品目清单所列的产品。</w:t>
      </w:r>
    </w:p>
    <w:p>
      <w:pPr>
        <w:spacing w:line="360" w:lineRule="auto"/>
        <w:ind w:firstLine="480" w:firstLineChars="200"/>
        <w:rPr>
          <w:rFonts w:ascii="宋体" w:hAnsi="宋体" w:cs="宋体"/>
          <w:sz w:val="24"/>
          <w:szCs w:val="21"/>
        </w:rPr>
      </w:pPr>
      <w:r>
        <w:rPr>
          <w:rFonts w:hint="eastAsia" w:ascii="宋体" w:hAnsi="宋体" w:cs="宋体"/>
          <w:sz w:val="24"/>
          <w:szCs w:val="21"/>
        </w:rPr>
        <w:t>在招标时供应商应提供有效证明材料（证明材料须加盖供应商红色公章）。（注：节能产品、环境标志产品是指</w:t>
      </w:r>
      <w:r>
        <w:rPr>
          <w:rFonts w:hint="eastAsia" w:ascii="宋体" w:hAnsi="宋体" w:cs="宋体"/>
          <w:color w:val="000000"/>
          <w:sz w:val="24"/>
          <w:szCs w:val="21"/>
          <w:shd w:val="clear" w:color="auto" w:fill="FFFFFF"/>
        </w:rPr>
        <w:t>政府优先采购和强制采购的产品类别及所依据的相关标准规范</w:t>
      </w:r>
      <w:r>
        <w:rPr>
          <w:rFonts w:hint="eastAsia" w:ascii="宋体" w:hAnsi="宋体" w:cs="宋体"/>
          <w:sz w:val="24"/>
          <w:szCs w:val="21"/>
        </w:rPr>
        <w:t>的“品目清单”中的有效期内的产品）。</w:t>
      </w:r>
    </w:p>
    <w:p>
      <w:pPr>
        <w:spacing w:line="360" w:lineRule="auto"/>
        <w:ind w:firstLine="482" w:firstLineChars="200"/>
        <w:rPr>
          <w:rFonts w:ascii="宋体" w:hAnsi="宋体" w:cs="宋体"/>
          <w:b/>
          <w:sz w:val="24"/>
          <w:szCs w:val="21"/>
        </w:rPr>
      </w:pPr>
      <w:r>
        <w:rPr>
          <w:rFonts w:hint="eastAsia" w:ascii="宋体" w:hAnsi="宋体" w:cs="宋体"/>
          <w:b/>
          <w:sz w:val="24"/>
          <w:szCs w:val="21"/>
        </w:rPr>
        <w:t>11.5《环境标志产品政府采购实施的意见》--财库[2006]90号</w:t>
      </w:r>
    </w:p>
    <w:p>
      <w:pPr>
        <w:spacing w:line="360" w:lineRule="auto"/>
        <w:ind w:firstLine="480" w:firstLineChars="200"/>
        <w:rPr>
          <w:rFonts w:ascii="宋体" w:hAnsi="宋体" w:cs="宋体"/>
          <w:sz w:val="24"/>
          <w:szCs w:val="21"/>
        </w:rPr>
      </w:pPr>
      <w:r>
        <w:rPr>
          <w:rFonts w:hint="eastAsia" w:ascii="宋体" w:hAnsi="宋体" w:cs="宋体"/>
          <w:sz w:val="24"/>
          <w:szCs w:val="21"/>
        </w:rPr>
        <w:t>根据《环境标志产品政府采购实施的意见》--财库[2006]90号规定，采购人采购的产品在品目清单中并具有认证证书的，在性能、技术、服务等指标同等条件下，应当优先采购清单中的产品。</w:t>
      </w:r>
    </w:p>
    <w:p>
      <w:pPr>
        <w:spacing w:line="360" w:lineRule="auto"/>
        <w:ind w:firstLine="480" w:firstLineChars="200"/>
        <w:rPr>
          <w:rFonts w:ascii="宋体" w:hAnsi="宋体" w:cs="宋体"/>
          <w:sz w:val="24"/>
          <w:szCs w:val="21"/>
        </w:rPr>
      </w:pPr>
      <w:r>
        <w:rPr>
          <w:rFonts w:hint="eastAsia" w:ascii="宋体" w:hAnsi="宋体" w:cs="宋体"/>
          <w:sz w:val="24"/>
          <w:szCs w:val="21"/>
        </w:rPr>
        <w:t>产品属于品目清单范围中实施政府强制采购的，需提供依据国家确定的认证机构出具的、处于有效期之内的节能产品、环境标志产品认证证书，属于品目清单范围中实施政府优先采购的，依据提供的品目清单和认证证书实施政府优先采购。</w:t>
      </w:r>
    </w:p>
    <w:p>
      <w:pPr>
        <w:spacing w:line="360" w:lineRule="auto"/>
        <w:ind w:firstLine="482" w:firstLineChars="200"/>
        <w:rPr>
          <w:rFonts w:ascii="宋体" w:hAnsi="宋体" w:cs="宋体"/>
          <w:b/>
          <w:sz w:val="24"/>
          <w:szCs w:val="21"/>
        </w:rPr>
      </w:pPr>
      <w:r>
        <w:rPr>
          <w:rFonts w:hint="eastAsia" w:ascii="宋体" w:hAnsi="宋体" w:cs="宋体"/>
          <w:b/>
          <w:sz w:val="24"/>
          <w:szCs w:val="21"/>
        </w:rPr>
        <w:t>11.6《关于促进残疾人就业政府采购政策的通知》--财库〔2017〕141号</w:t>
      </w:r>
    </w:p>
    <w:p>
      <w:pPr>
        <w:spacing w:line="360" w:lineRule="auto"/>
        <w:ind w:firstLine="480"/>
        <w:rPr>
          <w:rFonts w:ascii="宋体" w:hAnsi="宋体" w:cs="宋体"/>
          <w:sz w:val="24"/>
          <w:szCs w:val="21"/>
        </w:rPr>
      </w:pPr>
      <w:r>
        <w:rPr>
          <w:rFonts w:hint="eastAsia" w:ascii="宋体" w:hAnsi="宋体" w:cs="宋体"/>
          <w:sz w:val="24"/>
          <w:szCs w:val="21"/>
        </w:rPr>
        <w:t>符合条件的残疾人福利性单位在参加政府采购活动时，应提供本通知规定的《残疾人福利性单位声明函》，并对声明的真实性负责。</w:t>
      </w:r>
    </w:p>
    <w:p>
      <w:pPr>
        <w:spacing w:line="360" w:lineRule="auto"/>
        <w:ind w:firstLine="480"/>
        <w:rPr>
          <w:rFonts w:ascii="宋体" w:hAnsi="宋体" w:cs="宋体"/>
          <w:sz w:val="24"/>
          <w:szCs w:val="21"/>
        </w:rPr>
      </w:pPr>
      <w:r>
        <w:rPr>
          <w:rFonts w:hint="eastAsia" w:ascii="宋体" w:hAnsi="宋体" w:cs="宋体"/>
          <w:sz w:val="24"/>
          <w:szCs w:val="21"/>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2" w:firstLineChars="200"/>
        <w:rPr>
          <w:rFonts w:ascii="宋体" w:hAnsi="宋体" w:cs="宋体"/>
          <w:sz w:val="24"/>
          <w:szCs w:val="21"/>
          <w:lang w:val="zh-CN"/>
        </w:rPr>
      </w:pPr>
      <w:r>
        <w:rPr>
          <w:rFonts w:hint="eastAsia" w:ascii="宋体" w:hAnsi="宋体" w:cs="宋体"/>
          <w:b/>
          <w:sz w:val="24"/>
          <w:szCs w:val="21"/>
        </w:rPr>
        <w:t>11.7</w:t>
      </w:r>
      <w:r>
        <w:rPr>
          <w:rFonts w:hint="eastAsia" w:ascii="宋体" w:hAnsi="宋体" w:cs="宋体"/>
          <w:b/>
          <w:bCs/>
          <w:sz w:val="24"/>
          <w:szCs w:val="21"/>
          <w:lang w:val="zh-CN"/>
        </w:rPr>
        <w:t>根据《财政部国务院扶贫办关于运用政府采购政策支持脱贫攻坚的通知》--财库〔2019〕27号规定，</w:t>
      </w:r>
      <w:r>
        <w:rPr>
          <w:rFonts w:hint="eastAsia" w:ascii="宋体" w:hAnsi="宋体" w:cs="宋体"/>
          <w:sz w:val="24"/>
          <w:szCs w:val="21"/>
          <w:lang w:val="zh-CN"/>
        </w:rPr>
        <w:t>在政府采购活动中应落实以下政策：</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1、各级预算单位要充分认识运用好政府采购政策支持打赢脱贫攻坚战的重要性，运用好政府采购这一财政调控手段支持打赢脱贫攻坚战，优先采购贫困地区农副产品和物业服务。</w:t>
      </w:r>
    </w:p>
    <w:p>
      <w:pPr>
        <w:spacing w:line="360" w:lineRule="auto"/>
        <w:ind w:firstLine="480"/>
        <w:rPr>
          <w:rFonts w:ascii="宋体" w:hAnsi="宋体" w:cs="宋体"/>
          <w:sz w:val="24"/>
          <w:szCs w:val="21"/>
          <w:lang w:val="zh-CN"/>
        </w:rPr>
      </w:pPr>
      <w:r>
        <w:rPr>
          <w:rFonts w:hint="eastAsia" w:ascii="宋体" w:hAnsi="宋体" w:cs="宋体"/>
          <w:sz w:val="24"/>
          <w:szCs w:val="21"/>
          <w:lang w:val="zh-CN"/>
        </w:rPr>
        <w:t>2、各预算单位采购农副产品的，同等条件下应优先采购贫困地区农副产品。使用财政资金采购物业服务的，有条件的应当优先采购注册地在832个国家级贫困县域内，且聘用建档立卡贫困县人员物业公司提供的物业服务。</w:t>
      </w:r>
    </w:p>
    <w:p>
      <w:pPr>
        <w:pStyle w:val="7"/>
        <w:spacing w:line="360" w:lineRule="auto"/>
        <w:ind w:firstLine="480"/>
        <w:jc w:val="both"/>
        <w:rPr>
          <w:rFonts w:ascii="宋体" w:hAnsi="宋体" w:cs="宋体"/>
          <w:b/>
          <w:sz w:val="24"/>
        </w:rPr>
      </w:pPr>
      <w:r>
        <w:rPr>
          <w:rFonts w:hint="eastAsia" w:ascii="宋体" w:hAnsi="宋体" w:cs="宋体"/>
          <w:b/>
          <w:sz w:val="24"/>
        </w:rPr>
        <w:t>11.8《《陕西省财政厅关于加快推进我省中小企业政府采购信用融资工作的通知》--（陕财办采〔2020〕15号文件）》</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认真贯彻落实支持中小企业发展的各项政策措施，充分认识政府采购信用融资对缓解中小企业融资难、融资贵问题的重要性，。要准确把握政策，发挥自身优势，积极主动作为，加强沟通协调，借助政府采购融资平台创新工作，为中小企业提供更好的服务。</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各政府采购代理机构要加强沟通协调、主动服务，对有融资需求的政府采购供应商，帮助对接金融机构，及时提供政府采购中标（成交）、合同、融资等信息，实现企业和金融机构融资信息互联互通。</w:t>
      </w:r>
    </w:p>
    <w:p/>
    <w:p>
      <w:pPr>
        <w:numPr>
          <w:ilvl w:val="0"/>
          <w:numId w:val="2"/>
        </w:numPr>
        <w:suppressAutoHyphens/>
        <w:spacing w:line="360" w:lineRule="auto"/>
        <w:rPr>
          <w:rFonts w:ascii="宋体" w:hAnsi="宋体" w:cs="宋体"/>
          <w:spacing w:val="6"/>
          <w:sz w:val="30"/>
          <w:szCs w:val="30"/>
        </w:rPr>
      </w:pPr>
      <w:r>
        <w:rPr>
          <w:rFonts w:hint="eastAsia" w:ascii="宋体" w:hAnsi="宋体" w:cs="宋体"/>
          <w:b/>
          <w:kern w:val="0"/>
          <w:sz w:val="24"/>
          <w:szCs w:val="21"/>
        </w:rPr>
        <w:br w:type="page"/>
      </w:r>
      <w:r>
        <w:rPr>
          <w:rFonts w:hint="eastAsia" w:ascii="宋体" w:hAnsi="宋体" w:cs="宋体"/>
          <w:b/>
          <w:kern w:val="0"/>
          <w:sz w:val="24"/>
          <w:szCs w:val="21"/>
        </w:rPr>
        <w:t>附件一：</w:t>
      </w:r>
    </w:p>
    <w:p>
      <w:pPr>
        <w:numPr>
          <w:ilvl w:val="0"/>
          <w:numId w:val="2"/>
        </w:numPr>
        <w:suppressAutoHyphens/>
        <w:spacing w:line="360" w:lineRule="auto"/>
        <w:jc w:val="center"/>
        <w:rPr>
          <w:rFonts w:ascii="宋体" w:hAnsi="宋体" w:cs="宋体"/>
          <w:b/>
          <w:spacing w:val="6"/>
          <w:sz w:val="24"/>
          <w:szCs w:val="21"/>
        </w:rPr>
      </w:pPr>
    </w:p>
    <w:p>
      <w:pPr>
        <w:numPr>
          <w:ilvl w:val="0"/>
          <w:numId w:val="2"/>
        </w:numPr>
        <w:suppressAutoHyphens/>
        <w:spacing w:line="360" w:lineRule="auto"/>
        <w:jc w:val="center"/>
        <w:rPr>
          <w:rFonts w:ascii="宋体" w:hAnsi="宋体" w:cs="宋体"/>
          <w:b/>
          <w:spacing w:val="6"/>
          <w:sz w:val="24"/>
          <w:szCs w:val="21"/>
        </w:rPr>
      </w:pPr>
      <w:r>
        <w:rPr>
          <w:rFonts w:hint="eastAsia" w:ascii="宋体" w:hAnsi="宋体" w:cs="宋体"/>
          <w:b/>
          <w:spacing w:val="6"/>
          <w:sz w:val="24"/>
          <w:szCs w:val="21"/>
        </w:rPr>
        <w:t>残疾人福利性单位声明函</w:t>
      </w:r>
    </w:p>
    <w:p>
      <w:pPr>
        <w:numPr>
          <w:ilvl w:val="0"/>
          <w:numId w:val="2"/>
        </w:numPr>
        <w:suppressAutoHyphens/>
        <w:spacing w:line="360" w:lineRule="auto"/>
        <w:rPr>
          <w:rFonts w:ascii="宋体" w:hAnsi="宋体" w:cs="宋体"/>
          <w:b/>
          <w:spacing w:val="6"/>
          <w:sz w:val="24"/>
          <w:szCs w:val="21"/>
        </w:rPr>
      </w:pPr>
    </w:p>
    <w:p>
      <w:pPr>
        <w:numPr>
          <w:ilvl w:val="0"/>
          <w:numId w:val="2"/>
        </w:numPr>
        <w:suppressAutoHyphens/>
        <w:spacing w:line="360" w:lineRule="auto"/>
        <w:rPr>
          <w:rFonts w:ascii="宋体" w:hAnsi="宋体" w:cs="宋体"/>
          <w:spacing w:val="6"/>
          <w:sz w:val="24"/>
          <w:szCs w:val="21"/>
        </w:rPr>
      </w:pPr>
      <w:r>
        <w:rPr>
          <w:rFonts w:hint="eastAsia" w:ascii="宋体" w:hAnsi="宋体" w:cs="宋体"/>
          <w:spacing w:val="6"/>
          <w:sz w:val="24"/>
          <w:szCs w:val="21"/>
        </w:rPr>
        <w:t xml:space="preserve">    本单位郑重声明，根据《财政部 民政部 中国残疾人联合会关于促进残疾人就业政府采购政策的通知》（财库</w:t>
      </w:r>
      <w:r>
        <w:rPr>
          <w:rFonts w:hint="eastAsia" w:ascii="宋体" w:hAnsi="宋体" w:cs="宋体"/>
          <w:sz w:val="24"/>
          <w:szCs w:val="21"/>
        </w:rPr>
        <w:t>〔2017〕 141</w:t>
      </w:r>
      <w:r>
        <w:rPr>
          <w:rFonts w:hint="eastAsia" w:ascii="宋体" w:hAnsi="宋体" w:cs="宋体"/>
          <w:spacing w:val="6"/>
          <w:sz w:val="24"/>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numPr>
          <w:ilvl w:val="0"/>
          <w:numId w:val="2"/>
        </w:numPr>
        <w:suppressAutoHyphens/>
        <w:spacing w:line="360" w:lineRule="auto"/>
        <w:rPr>
          <w:rFonts w:ascii="宋体" w:hAnsi="宋体" w:cs="宋体"/>
          <w:spacing w:val="6"/>
          <w:sz w:val="24"/>
          <w:szCs w:val="21"/>
        </w:rPr>
      </w:pPr>
      <w:r>
        <w:rPr>
          <w:rFonts w:hint="eastAsia" w:ascii="宋体" w:hAnsi="宋体" w:cs="宋体"/>
          <w:spacing w:val="6"/>
          <w:sz w:val="24"/>
          <w:szCs w:val="21"/>
        </w:rPr>
        <w:t>本单位对上述声明的真实性负责。如有虚假，将依法承担相应责任。</w:t>
      </w:r>
    </w:p>
    <w:p>
      <w:pPr>
        <w:numPr>
          <w:ilvl w:val="0"/>
          <w:numId w:val="2"/>
        </w:numPr>
        <w:suppressAutoHyphens/>
        <w:spacing w:line="360" w:lineRule="auto"/>
        <w:rPr>
          <w:rFonts w:ascii="宋体" w:hAnsi="宋体" w:cs="宋体"/>
          <w:spacing w:val="6"/>
          <w:sz w:val="24"/>
          <w:szCs w:val="21"/>
        </w:rPr>
      </w:pPr>
    </w:p>
    <w:p>
      <w:pPr>
        <w:numPr>
          <w:ilvl w:val="0"/>
          <w:numId w:val="2"/>
        </w:numPr>
        <w:suppressAutoHyphens/>
        <w:spacing w:line="360" w:lineRule="auto"/>
        <w:rPr>
          <w:rFonts w:ascii="宋体" w:hAnsi="宋体" w:cs="宋体"/>
          <w:kern w:val="0"/>
          <w:sz w:val="24"/>
          <w:szCs w:val="21"/>
        </w:rPr>
      </w:pPr>
      <w:r>
        <w:rPr>
          <w:rFonts w:hint="eastAsia" w:ascii="宋体" w:hAnsi="宋体" w:cs="宋体"/>
          <w:kern w:val="0"/>
          <w:sz w:val="24"/>
          <w:szCs w:val="21"/>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widowControl/>
        <w:tabs>
          <w:tab w:val="left" w:pos="567"/>
        </w:tabs>
        <w:spacing w:line="360" w:lineRule="auto"/>
        <w:rPr>
          <w:rFonts w:ascii="宋体" w:hAnsi="宋体" w:cs="宋体"/>
        </w:rPr>
      </w:pPr>
    </w:p>
    <w:p>
      <w:pPr>
        <w:spacing w:line="360" w:lineRule="auto"/>
        <w:rPr>
          <w:rFonts w:ascii="宋体" w:hAnsi="宋体" w:cs="宋体"/>
        </w:rPr>
      </w:pPr>
    </w:p>
    <w:p>
      <w:pPr>
        <w:numPr>
          <w:ilvl w:val="0"/>
          <w:numId w:val="2"/>
        </w:numPr>
        <w:tabs>
          <w:tab w:val="left" w:pos="4860"/>
        </w:tabs>
        <w:suppressAutoHyphens/>
        <w:spacing w:line="360" w:lineRule="auto"/>
        <w:ind w:right="1560"/>
        <w:jc w:val="center"/>
        <w:rPr>
          <w:rFonts w:ascii="宋体" w:hAnsi="宋体" w:cs="宋体"/>
          <w:spacing w:val="6"/>
          <w:sz w:val="24"/>
          <w:szCs w:val="21"/>
        </w:rPr>
      </w:pPr>
      <w:r>
        <w:rPr>
          <w:rFonts w:hint="eastAsia" w:ascii="宋体" w:hAnsi="宋体" w:cs="宋体"/>
          <w:spacing w:val="6"/>
          <w:sz w:val="24"/>
          <w:szCs w:val="21"/>
        </w:rPr>
        <w:t>单位名称（盖章）：</w:t>
      </w:r>
    </w:p>
    <w:p>
      <w:pPr>
        <w:numPr>
          <w:ilvl w:val="0"/>
          <w:numId w:val="2"/>
        </w:numPr>
        <w:suppressAutoHyphens/>
        <w:spacing w:line="360" w:lineRule="auto"/>
        <w:jc w:val="right"/>
        <w:rPr>
          <w:rFonts w:ascii="宋体" w:hAnsi="宋体" w:cs="宋体"/>
          <w:spacing w:val="6"/>
          <w:sz w:val="24"/>
          <w:szCs w:val="21"/>
        </w:rPr>
      </w:pPr>
      <w:r>
        <w:rPr>
          <w:rFonts w:hint="eastAsia" w:ascii="宋体" w:hAnsi="宋体" w:cs="宋体"/>
          <w:spacing w:val="6"/>
          <w:sz w:val="24"/>
          <w:szCs w:val="21"/>
        </w:rPr>
        <w:t>日  期： 年 月 日</w:t>
      </w:r>
    </w:p>
    <w:p>
      <w:pPr>
        <w:numPr>
          <w:ilvl w:val="0"/>
          <w:numId w:val="2"/>
        </w:numPr>
        <w:suppressAutoHyphens/>
        <w:spacing w:line="360" w:lineRule="auto"/>
        <w:rPr>
          <w:rFonts w:ascii="宋体" w:hAnsi="宋体" w:cs="宋体"/>
          <w:spacing w:val="6"/>
          <w:sz w:val="24"/>
          <w:szCs w:val="21"/>
        </w:rPr>
      </w:pPr>
      <w:r>
        <w:rPr>
          <w:rFonts w:hint="eastAsia" w:ascii="宋体" w:hAnsi="宋体" w:cs="宋体"/>
          <w:spacing w:val="6"/>
          <w:sz w:val="24"/>
          <w:szCs w:val="21"/>
        </w:rPr>
        <w:br w:type="page"/>
      </w:r>
      <w:r>
        <w:rPr>
          <w:rFonts w:hint="eastAsia" w:ascii="宋体" w:hAnsi="宋体" w:cs="宋体"/>
          <w:b/>
          <w:kern w:val="0"/>
          <w:sz w:val="24"/>
          <w:szCs w:val="21"/>
        </w:rPr>
        <w:t>附件二：</w:t>
      </w:r>
    </w:p>
    <w:p>
      <w:pPr>
        <w:pStyle w:val="14"/>
        <w:shd w:val="clear" w:color="auto" w:fill="FFFFFF"/>
        <w:spacing w:line="360" w:lineRule="auto"/>
        <w:ind w:firstLine="506" w:firstLineChars="200"/>
        <w:rPr>
          <w:rFonts w:hint="default"/>
          <w:b/>
          <w:bCs/>
          <w:color w:val="333333"/>
          <w:spacing w:val="8"/>
          <w:shd w:val="clear" w:color="auto" w:fill="FFFFFF"/>
        </w:rPr>
      </w:pPr>
      <w:r>
        <w:rPr>
          <w:b/>
          <w:spacing w:val="6"/>
          <w:shd w:val="clear" w:color="auto" w:fill="FFFFFF"/>
        </w:rPr>
        <w:t xml:space="preserve">                </w:t>
      </w:r>
      <w:r>
        <w:rPr>
          <w:b/>
          <w:bCs/>
          <w:color w:val="333333"/>
          <w:spacing w:val="15"/>
          <w:shd w:val="clear" w:color="auto" w:fill="FFFFFF"/>
        </w:rPr>
        <w:t>中小企业声明函(工程、服务)</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4"/>
        <w:shd w:val="clear" w:color="auto" w:fill="FFFFFF"/>
        <w:spacing w:line="276" w:lineRule="auto"/>
        <w:ind w:firstLine="540" w:firstLineChars="200"/>
        <w:rPr>
          <w:rFonts w:hint="default"/>
          <w:color w:val="333333"/>
          <w:spacing w:val="8"/>
          <w:shd w:val="clear" w:color="auto" w:fill="FFFFFF"/>
        </w:rPr>
      </w:pPr>
      <w:r>
        <w:rPr>
          <w:color w:val="333333"/>
          <w:spacing w:val="15"/>
          <w:shd w:val="clear" w:color="auto" w:fill="FFFFFF"/>
        </w:rPr>
        <w:t>1</w:t>
      </w:r>
      <w:r>
        <w:rPr>
          <w:color w:val="333333"/>
          <w:spacing w:val="15"/>
          <w:u w:val="single"/>
          <w:shd w:val="clear" w:color="auto" w:fill="FFFFFF"/>
        </w:rPr>
        <w:t>. (标的名称)，</w:t>
      </w:r>
      <w:r>
        <w:rPr>
          <w:color w:val="333333"/>
          <w:spacing w:val="15"/>
          <w:shd w:val="clear" w:color="auto" w:fill="FFFFFF"/>
        </w:rPr>
        <w:t>属于</w:t>
      </w:r>
      <w:r>
        <w:rPr>
          <w:color w:val="333333"/>
          <w:spacing w:val="15"/>
          <w:u w:val="single"/>
          <w:shd w:val="clear" w:color="auto" w:fill="FFFFFF"/>
        </w:rPr>
        <w:t>(采购文件中明确的所属行业)</w:t>
      </w:r>
      <w:r>
        <w:rPr>
          <w:color w:val="333333"/>
          <w:spacing w:val="15"/>
          <w:shd w:val="clear" w:color="auto" w:fill="FFFFFF"/>
        </w:rPr>
        <w:t>；承建(承接)企业为</w:t>
      </w:r>
      <w:r>
        <w:rPr>
          <w:color w:val="333333"/>
          <w:spacing w:val="15"/>
          <w:u w:val="single"/>
          <w:shd w:val="clear" w:color="auto" w:fill="FFFFFF"/>
        </w:rPr>
        <w:t>(企业名称)，</w:t>
      </w:r>
      <w:r>
        <w:rPr>
          <w:color w:val="333333"/>
          <w:spacing w:val="15"/>
          <w:shd w:val="clear" w:color="auto" w:fill="FFFFFF"/>
        </w:rPr>
        <w:t>从业人员</w:t>
      </w:r>
      <w:r>
        <w:rPr>
          <w:color w:val="333333"/>
          <w:spacing w:val="15"/>
          <w:u w:val="single"/>
          <w:shd w:val="clear" w:color="auto" w:fill="FFFFFF"/>
        </w:rPr>
        <w:t>  </w:t>
      </w:r>
      <w:r>
        <w:rPr>
          <w:color w:val="333333"/>
          <w:spacing w:val="15"/>
          <w:shd w:val="clear" w:color="auto" w:fill="FFFFFF"/>
        </w:rPr>
        <w:t>人，营业收入为</w:t>
      </w:r>
      <w:r>
        <w:rPr>
          <w:color w:val="333333"/>
          <w:spacing w:val="15"/>
          <w:u w:val="single"/>
          <w:shd w:val="clear" w:color="auto" w:fill="FFFFFF"/>
        </w:rPr>
        <w:t>  </w:t>
      </w:r>
      <w:r>
        <w:rPr>
          <w:color w:val="333333"/>
          <w:spacing w:val="15"/>
          <w:shd w:val="clear" w:color="auto" w:fill="FFFFFF"/>
        </w:rPr>
        <w:t>万元，资产总额为</w:t>
      </w:r>
      <w:r>
        <w:rPr>
          <w:color w:val="333333"/>
          <w:spacing w:val="15"/>
          <w:u w:val="single"/>
          <w:shd w:val="clear" w:color="auto" w:fill="FFFFFF"/>
        </w:rPr>
        <w:t> </w:t>
      </w:r>
      <w:r>
        <w:rPr>
          <w:color w:val="333333"/>
          <w:spacing w:val="15"/>
          <w:shd w:val="clear" w:color="auto" w:fill="FFFFFF"/>
        </w:rPr>
        <w:t>万元，属于</w:t>
      </w:r>
      <w:r>
        <w:rPr>
          <w:color w:val="333333"/>
          <w:spacing w:val="15"/>
          <w:u w:val="single"/>
          <w:shd w:val="clear" w:color="auto" w:fill="FFFFFF"/>
        </w:rPr>
        <w:t>(中型企业、小型企业、微型企业)</w:t>
      </w:r>
      <w:r>
        <w:rPr>
          <w:color w:val="333333"/>
          <w:spacing w:val="15"/>
          <w:shd w:val="clear" w:color="auto" w:fill="FFFFFF"/>
        </w:rPr>
        <w:t xml:space="preserve"> ；</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以上企业，不属于大企业的分支机构，不存在控股股东为大企业的情形，也不存在与大企业的负责人为同一人的情形。</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本企业对上述声明内容的真实性负责。如有虚假，将依法承担相应责任。</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从业人员、营业收入、资产总额填报上一年度数据，无上一年度数据的新成立企业可不填报。</w:t>
      </w:r>
    </w:p>
    <w:p>
      <w:pPr>
        <w:numPr>
          <w:ilvl w:val="0"/>
          <w:numId w:val="2"/>
        </w:numPr>
        <w:suppressAutoHyphens/>
        <w:spacing w:line="360" w:lineRule="auto"/>
        <w:rPr>
          <w:rFonts w:ascii="宋体" w:hAnsi="宋体" w:cs="宋体"/>
          <w:kern w:val="0"/>
          <w:sz w:val="24"/>
          <w:szCs w:val="21"/>
        </w:rPr>
      </w:pPr>
      <w:r>
        <w:rPr>
          <w:rFonts w:hint="eastAsia" w:ascii="宋体" w:hAnsi="宋体" w:cs="宋体"/>
          <w:kern w:val="0"/>
          <w:sz w:val="24"/>
          <w:szCs w:val="21"/>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suppressAutoHyphens/>
        <w:spacing w:line="360" w:lineRule="auto"/>
        <w:jc w:val="center"/>
        <w:rPr>
          <w:rFonts w:ascii="宋体" w:hAnsi="宋体" w:cs="宋体"/>
          <w:spacing w:val="6"/>
          <w:sz w:val="24"/>
          <w:szCs w:val="21"/>
        </w:rPr>
      </w:pPr>
      <w:r>
        <w:rPr>
          <w:rFonts w:hint="eastAsia" w:ascii="宋体" w:hAnsi="宋体" w:cs="宋体"/>
          <w:spacing w:val="6"/>
          <w:sz w:val="24"/>
          <w:szCs w:val="21"/>
        </w:rPr>
        <w:t xml:space="preserve">            </w:t>
      </w:r>
    </w:p>
    <w:p>
      <w:pPr>
        <w:numPr>
          <w:ilvl w:val="0"/>
          <w:numId w:val="2"/>
        </w:numPr>
        <w:suppressAutoHyphens/>
        <w:spacing w:line="360" w:lineRule="auto"/>
        <w:jc w:val="center"/>
        <w:rPr>
          <w:rFonts w:ascii="宋体" w:hAnsi="宋体" w:cs="宋体"/>
          <w:spacing w:val="6"/>
          <w:sz w:val="24"/>
          <w:szCs w:val="21"/>
        </w:rPr>
      </w:pPr>
      <w:r>
        <w:rPr>
          <w:rFonts w:hint="eastAsia" w:ascii="宋体" w:hAnsi="宋体" w:cs="宋体"/>
          <w:spacing w:val="6"/>
          <w:sz w:val="24"/>
          <w:szCs w:val="21"/>
        </w:rPr>
        <w:t xml:space="preserve">                                      企业名称（盖章）：</w:t>
      </w:r>
    </w:p>
    <w:p>
      <w:pPr>
        <w:suppressAutoHyphens/>
        <w:spacing w:line="360" w:lineRule="auto"/>
        <w:ind w:right="504" w:firstLine="6048" w:firstLineChars="2400"/>
        <w:rPr>
          <w:rFonts w:ascii="宋体" w:hAnsi="宋体" w:cs="宋体"/>
          <w:b/>
          <w:sz w:val="32"/>
          <w:szCs w:val="32"/>
        </w:rPr>
      </w:pPr>
      <w:r>
        <w:rPr>
          <w:rFonts w:hint="eastAsia" w:ascii="宋体" w:hAnsi="宋体" w:cs="宋体"/>
          <w:spacing w:val="6"/>
          <w:sz w:val="24"/>
          <w:szCs w:val="21"/>
        </w:rPr>
        <w:t>日  期： 年 月 日</w:t>
      </w:r>
    </w:p>
    <w:p>
      <w:pPr>
        <w:pStyle w:val="14"/>
        <w:numPr>
          <w:ilvl w:val="0"/>
          <w:numId w:val="2"/>
        </w:numPr>
        <w:shd w:val="clear" w:color="auto" w:fill="FFFFFF"/>
        <w:spacing w:beforeLines="100" w:beforeAutospacing="0" w:afterLines="100" w:afterAutospacing="0" w:line="360" w:lineRule="auto"/>
        <w:jc w:val="both"/>
        <w:rPr>
          <w:rFonts w:hint="default"/>
          <w:b/>
          <w:bCs/>
          <w:color w:val="333333"/>
          <w:spacing w:val="8"/>
          <w:shd w:val="clear" w:color="auto" w:fill="FFFFFF"/>
        </w:rPr>
      </w:pPr>
      <w:r>
        <w:rPr>
          <w:rFonts w:cs="宋体"/>
          <w:b/>
        </w:rPr>
        <w:br w:type="page"/>
      </w:r>
      <w:r>
        <w:rPr>
          <w:b/>
          <w:shd w:val="clear" w:color="auto" w:fill="FFFFFF"/>
        </w:rPr>
        <w:t>附件三</w:t>
      </w:r>
      <w:r>
        <w:rPr>
          <w:shd w:val="clear" w:color="auto" w:fill="FFFFFF"/>
        </w:rPr>
        <w:t>：</w:t>
      </w:r>
    </w:p>
    <w:p>
      <w:pPr>
        <w:pStyle w:val="14"/>
        <w:numPr>
          <w:ilvl w:val="0"/>
          <w:numId w:val="2"/>
        </w:numPr>
        <w:shd w:val="clear" w:color="auto" w:fill="FFFFFF"/>
        <w:spacing w:beforeLines="100" w:beforeAutospacing="0" w:afterLines="100" w:afterAutospacing="0" w:line="360" w:lineRule="auto"/>
        <w:jc w:val="center"/>
        <w:rPr>
          <w:rFonts w:hint="default"/>
          <w:b/>
          <w:bCs/>
          <w:color w:val="333333"/>
          <w:spacing w:val="8"/>
          <w:shd w:val="clear" w:color="auto" w:fill="FFFFFF"/>
        </w:rPr>
      </w:pPr>
      <w:r>
        <w:rPr>
          <w:b/>
          <w:bCs/>
          <w:color w:val="333333"/>
          <w:spacing w:val="15"/>
          <w:shd w:val="clear" w:color="auto" w:fill="FFFFFF"/>
        </w:rPr>
        <w:t>中小企业声明函(货物)（不适用于本项目）</w:t>
      </w:r>
    </w:p>
    <w:p>
      <w:pPr>
        <w:pStyle w:val="14"/>
        <w:numPr>
          <w:ilvl w:val="0"/>
          <w:numId w:val="2"/>
        </w:numPr>
        <w:shd w:val="clear" w:color="auto" w:fill="FFFFFF"/>
        <w:spacing w:line="360" w:lineRule="auto"/>
        <w:jc w:val="both"/>
        <w:rPr>
          <w:rFonts w:hint="default"/>
          <w:color w:val="333333"/>
          <w:spacing w:val="8"/>
          <w:shd w:val="clear" w:color="auto" w:fill="FFFFFF"/>
        </w:rPr>
      </w:pPr>
      <w:r>
        <w:rPr>
          <w:bCs/>
          <w:shd w:val="clear" w:color="auto" w:fill="FFFFFF"/>
        </w:rPr>
        <w:t xml:space="preserve">     本公司(联合体)郑重声明，根据《政府采购促进中小企业发展管理办法》(财库〔2020〕46 号)的规定，本公司 (联合体)参加</w:t>
      </w:r>
      <w:r>
        <w:rPr>
          <w:color w:val="333333"/>
          <w:spacing w:val="15"/>
          <w:u w:val="single"/>
          <w:shd w:val="clear" w:color="auto" w:fill="FFFFFF"/>
        </w:rPr>
        <w:t>(单位名称)</w:t>
      </w:r>
      <w:r>
        <w:rPr>
          <w:color w:val="333333"/>
          <w:spacing w:val="15"/>
          <w:shd w:val="clear" w:color="auto" w:fill="FFFFFF"/>
        </w:rPr>
        <w:t>的</w:t>
      </w:r>
      <w:r>
        <w:rPr>
          <w:color w:val="333333"/>
          <w:spacing w:val="15"/>
          <w:u w:val="single"/>
          <w:shd w:val="clear" w:color="auto" w:fill="FFFFFF"/>
        </w:rPr>
        <w:t>(项目名称)</w:t>
      </w:r>
      <w:r>
        <w:rPr>
          <w:color w:val="333333"/>
          <w:spacing w:val="15"/>
          <w:shd w:val="clear" w:color="auto" w:fill="FFFFFF"/>
        </w:rPr>
        <w:t>采购活动，提供的货物全部由符合政策要求的中小企业制造。相关企业 (含联合体中的中小企业、签订分包意向协议的中小企业) 的具体情况如下:</w:t>
      </w:r>
    </w:p>
    <w:p>
      <w:pPr>
        <w:pStyle w:val="14"/>
        <w:numPr>
          <w:ilvl w:val="0"/>
          <w:numId w:val="2"/>
        </w:numPr>
        <w:shd w:val="clear" w:color="auto" w:fill="FFFFFF"/>
        <w:spacing w:line="360" w:lineRule="auto"/>
        <w:jc w:val="both"/>
        <w:rPr>
          <w:rFonts w:hint="default"/>
          <w:color w:val="333333"/>
          <w:spacing w:val="8"/>
          <w:shd w:val="clear" w:color="auto" w:fill="FFFFFF"/>
        </w:rPr>
      </w:pPr>
      <w:r>
        <w:rPr>
          <w:color w:val="333333"/>
          <w:spacing w:val="15"/>
          <w:shd w:val="clear" w:color="auto" w:fill="FFFFFF"/>
        </w:rPr>
        <w:t>1.</w:t>
      </w:r>
      <w:r>
        <w:rPr>
          <w:color w:val="333333"/>
          <w:spacing w:val="15"/>
          <w:u w:val="single"/>
          <w:shd w:val="clear" w:color="auto" w:fill="FFFFFF"/>
        </w:rPr>
        <w:t xml:space="preserve"> (标的名称) ，</w:t>
      </w:r>
      <w:r>
        <w:rPr>
          <w:color w:val="333333"/>
          <w:spacing w:val="15"/>
          <w:shd w:val="clear" w:color="auto" w:fill="FFFFFF"/>
        </w:rPr>
        <w:t>属于</w:t>
      </w:r>
      <w:r>
        <w:rPr>
          <w:color w:val="333333"/>
          <w:spacing w:val="15"/>
          <w:u w:val="single"/>
          <w:shd w:val="clear" w:color="auto" w:fill="FFFFFF"/>
        </w:rPr>
        <w:t>(采购文件中明确的所属行业)行业;</w:t>
      </w:r>
      <w:r>
        <w:rPr>
          <w:color w:val="333333"/>
          <w:spacing w:val="15"/>
          <w:shd w:val="clear" w:color="auto" w:fill="FFFFFF"/>
        </w:rPr>
        <w:t>制造商为</w:t>
      </w:r>
      <w:r>
        <w:rPr>
          <w:color w:val="333333"/>
          <w:spacing w:val="15"/>
          <w:u w:val="single"/>
          <w:shd w:val="clear" w:color="auto" w:fill="FFFFFF"/>
        </w:rPr>
        <w:t>(企业名称)</w:t>
      </w:r>
      <w:r>
        <w:rPr>
          <w:color w:val="333333"/>
          <w:spacing w:val="15"/>
          <w:shd w:val="clear" w:color="auto" w:fill="FFFFFF"/>
        </w:rPr>
        <w:t>，从业人员</w:t>
      </w:r>
      <w:r>
        <w:rPr>
          <w:color w:val="333333"/>
          <w:spacing w:val="15"/>
          <w:u w:val="single"/>
          <w:shd w:val="clear" w:color="auto" w:fill="FFFFFF"/>
        </w:rPr>
        <w:t>   </w:t>
      </w:r>
      <w:r>
        <w:rPr>
          <w:color w:val="333333"/>
          <w:spacing w:val="15"/>
          <w:shd w:val="clear" w:color="auto" w:fill="FFFFFF"/>
        </w:rPr>
        <w:t>人，营业收入为</w:t>
      </w:r>
      <w:r>
        <w:rPr>
          <w:color w:val="333333"/>
          <w:spacing w:val="15"/>
          <w:u w:val="single"/>
          <w:shd w:val="clear" w:color="auto" w:fill="FFFFFF"/>
        </w:rPr>
        <w:t>   </w:t>
      </w:r>
      <w:r>
        <w:rPr>
          <w:color w:val="333333"/>
          <w:spacing w:val="15"/>
          <w:shd w:val="clear" w:color="auto" w:fill="FFFFFF"/>
        </w:rPr>
        <w:t>万元，资产总额为</w:t>
      </w:r>
      <w:r>
        <w:rPr>
          <w:color w:val="333333"/>
          <w:spacing w:val="15"/>
          <w:u w:val="single"/>
          <w:shd w:val="clear" w:color="auto" w:fill="FFFFFF"/>
        </w:rPr>
        <w:t>   </w:t>
      </w:r>
      <w:r>
        <w:rPr>
          <w:color w:val="333333"/>
          <w:spacing w:val="15"/>
          <w:shd w:val="clear" w:color="auto" w:fill="FFFFFF"/>
        </w:rPr>
        <w:t>万元</w:t>
      </w:r>
      <w:r>
        <w:rPr>
          <w:color w:val="333333"/>
          <w:spacing w:val="15"/>
          <w:shd w:val="clear" w:color="auto" w:fill="FFFFFF"/>
          <w:vertAlign w:val="superscript"/>
        </w:rPr>
        <w:t>1</w:t>
      </w:r>
      <w:r>
        <w:rPr>
          <w:color w:val="333333"/>
          <w:spacing w:val="15"/>
          <w:shd w:val="clear" w:color="auto" w:fill="FFFFFF"/>
        </w:rPr>
        <w:t>，属于</w:t>
      </w:r>
      <w:r>
        <w:rPr>
          <w:color w:val="333333"/>
          <w:spacing w:val="15"/>
          <w:u w:val="single"/>
          <w:shd w:val="clear" w:color="auto" w:fill="FFFFFF"/>
        </w:rPr>
        <w:t>(中型企业、小型企业、微型企业)</w:t>
      </w:r>
      <w:r>
        <w:rPr>
          <w:color w:val="333333"/>
          <w:spacing w:val="15"/>
          <w:shd w:val="clear" w:color="auto" w:fill="FFFFFF"/>
        </w:rPr>
        <w:t>;</w:t>
      </w:r>
    </w:p>
    <w:p>
      <w:pPr>
        <w:pStyle w:val="14"/>
        <w:numPr>
          <w:ilvl w:val="0"/>
          <w:numId w:val="2"/>
        </w:numPr>
        <w:shd w:val="clear" w:color="auto" w:fill="FFFFFF"/>
        <w:spacing w:line="360" w:lineRule="auto"/>
        <w:jc w:val="both"/>
        <w:rPr>
          <w:rFonts w:hint="default"/>
          <w:color w:val="333333"/>
          <w:spacing w:val="8"/>
          <w:shd w:val="clear" w:color="auto" w:fill="FFFFFF"/>
        </w:rPr>
      </w:pPr>
      <w:r>
        <w:rPr>
          <w:color w:val="333333"/>
          <w:spacing w:val="15"/>
          <w:shd w:val="clear" w:color="auto" w:fill="FFFFFF"/>
        </w:rPr>
        <w:t>2.</w:t>
      </w:r>
      <w:r>
        <w:rPr>
          <w:color w:val="333333"/>
          <w:spacing w:val="15"/>
          <w:u w:val="single"/>
          <w:shd w:val="clear" w:color="auto" w:fill="FFFFFF"/>
        </w:rPr>
        <w:t xml:space="preserve"> (标的名称) ，</w:t>
      </w:r>
      <w:r>
        <w:rPr>
          <w:color w:val="333333"/>
          <w:spacing w:val="15"/>
          <w:shd w:val="clear" w:color="auto" w:fill="FFFFFF"/>
        </w:rPr>
        <w:t>属于</w:t>
      </w:r>
      <w:r>
        <w:rPr>
          <w:color w:val="333333"/>
          <w:spacing w:val="15"/>
          <w:u w:val="single"/>
          <w:shd w:val="clear" w:color="auto" w:fill="FFFFFF"/>
        </w:rPr>
        <w:t>(采购文件中明确的所属行业)行业</w:t>
      </w:r>
      <w:r>
        <w:rPr>
          <w:color w:val="333333"/>
          <w:spacing w:val="15"/>
          <w:shd w:val="clear" w:color="auto" w:fill="FFFFFF"/>
        </w:rPr>
        <w:t>;制造商为</w:t>
      </w:r>
      <w:r>
        <w:rPr>
          <w:color w:val="333333"/>
          <w:spacing w:val="15"/>
          <w:u w:val="single"/>
          <w:shd w:val="clear" w:color="auto" w:fill="FFFFFF"/>
        </w:rPr>
        <w:t>(企业名称)，</w:t>
      </w:r>
      <w:r>
        <w:rPr>
          <w:color w:val="333333"/>
          <w:spacing w:val="15"/>
          <w:shd w:val="clear" w:color="auto" w:fill="FFFFFF"/>
        </w:rPr>
        <w:t>从业人员</w:t>
      </w:r>
      <w:r>
        <w:rPr>
          <w:color w:val="333333"/>
          <w:spacing w:val="15"/>
          <w:u w:val="single"/>
          <w:shd w:val="clear" w:color="auto" w:fill="FFFFFF"/>
        </w:rPr>
        <w:t>   </w:t>
      </w:r>
      <w:r>
        <w:rPr>
          <w:color w:val="333333"/>
          <w:spacing w:val="15"/>
          <w:shd w:val="clear" w:color="auto" w:fill="FFFFFF"/>
        </w:rPr>
        <w:t>人，营业收入为</w:t>
      </w:r>
      <w:r>
        <w:rPr>
          <w:color w:val="333333"/>
          <w:spacing w:val="15"/>
          <w:u w:val="single"/>
          <w:shd w:val="clear" w:color="auto" w:fill="FFFFFF"/>
        </w:rPr>
        <w:t>   </w:t>
      </w:r>
      <w:r>
        <w:rPr>
          <w:color w:val="333333"/>
          <w:spacing w:val="15"/>
          <w:shd w:val="clear" w:color="auto" w:fill="FFFFFF"/>
        </w:rPr>
        <w:t>万元，资产总额为</w:t>
      </w:r>
      <w:r>
        <w:rPr>
          <w:color w:val="333333"/>
          <w:spacing w:val="15"/>
          <w:u w:val="single"/>
          <w:shd w:val="clear" w:color="auto" w:fill="FFFFFF"/>
        </w:rPr>
        <w:t>   </w:t>
      </w:r>
      <w:r>
        <w:rPr>
          <w:color w:val="333333"/>
          <w:spacing w:val="15"/>
          <w:shd w:val="clear" w:color="auto" w:fill="FFFFFF"/>
        </w:rPr>
        <w:t>万元，属于</w:t>
      </w:r>
      <w:r>
        <w:rPr>
          <w:color w:val="333333"/>
          <w:spacing w:val="15"/>
          <w:u w:val="single"/>
          <w:shd w:val="clear" w:color="auto" w:fill="FFFFFF"/>
        </w:rPr>
        <w:t>(中型企业、小型企业、微型企业)</w:t>
      </w:r>
      <w:r>
        <w:rPr>
          <w:color w:val="333333"/>
          <w:spacing w:val="15"/>
          <w:shd w:val="clear" w:color="auto" w:fill="FFFFFF"/>
        </w:rPr>
        <w:t>;</w:t>
      </w:r>
    </w:p>
    <w:p>
      <w:pPr>
        <w:pStyle w:val="14"/>
        <w:numPr>
          <w:ilvl w:val="0"/>
          <w:numId w:val="2"/>
        </w:numPr>
        <w:shd w:val="clear" w:color="auto" w:fill="FFFFFF"/>
        <w:spacing w:line="360" w:lineRule="auto"/>
        <w:jc w:val="both"/>
        <w:rPr>
          <w:rFonts w:hint="default"/>
          <w:color w:val="333333"/>
          <w:spacing w:val="8"/>
          <w:shd w:val="clear" w:color="auto" w:fill="FFFFFF"/>
        </w:rPr>
      </w:pPr>
      <w:r>
        <w:rPr>
          <w:color w:val="333333"/>
          <w:spacing w:val="15"/>
          <w:shd w:val="clear" w:color="auto" w:fill="FFFFFF"/>
        </w:rPr>
        <w:t>......</w:t>
      </w:r>
    </w:p>
    <w:p>
      <w:pPr>
        <w:pStyle w:val="14"/>
        <w:numPr>
          <w:ilvl w:val="0"/>
          <w:numId w:val="2"/>
        </w:numPr>
        <w:shd w:val="clear" w:color="auto" w:fill="FFFFFF"/>
        <w:spacing w:line="360" w:lineRule="auto"/>
        <w:jc w:val="both"/>
        <w:rPr>
          <w:rFonts w:hint="default"/>
          <w:bCs/>
          <w:shd w:val="clear" w:color="auto" w:fill="FFFFFF"/>
        </w:rPr>
      </w:pPr>
      <w:r>
        <w:rPr>
          <w:color w:val="333333"/>
          <w:spacing w:val="15"/>
          <w:shd w:val="clear" w:color="auto" w:fill="FFFFFF"/>
        </w:rPr>
        <w:t xml:space="preserve">   </w:t>
      </w:r>
      <w:r>
        <w:rPr>
          <w:bCs/>
          <w:shd w:val="clear" w:color="auto" w:fill="FFFFFF"/>
        </w:rPr>
        <w:t>以上企业，不属于大企业的分支机构，不存在控股股东为大企业的情形，也不存在与大企业的负责人为同一人的情形。</w:t>
      </w:r>
    </w:p>
    <w:p>
      <w:pPr>
        <w:pStyle w:val="14"/>
        <w:numPr>
          <w:ilvl w:val="0"/>
          <w:numId w:val="2"/>
        </w:numPr>
        <w:shd w:val="clear" w:color="auto" w:fill="FFFFFF"/>
        <w:spacing w:line="360" w:lineRule="auto"/>
        <w:jc w:val="both"/>
        <w:rPr>
          <w:rFonts w:hint="default"/>
          <w:bCs/>
          <w:shd w:val="clear" w:color="auto" w:fill="FFFFFF"/>
        </w:rPr>
      </w:pPr>
      <w:r>
        <w:rPr>
          <w:bCs/>
          <w:shd w:val="clear" w:color="auto" w:fill="FFFFFF"/>
        </w:rPr>
        <w:t>本企业对上述声明内容的真实性负责。如有虚假，将依法承担相应责任。</w:t>
      </w:r>
    </w:p>
    <w:p>
      <w:pPr>
        <w:pStyle w:val="14"/>
        <w:numPr>
          <w:ilvl w:val="0"/>
          <w:numId w:val="2"/>
        </w:numPr>
        <w:shd w:val="clear" w:color="auto" w:fill="FFFFFF"/>
        <w:spacing w:line="360" w:lineRule="auto"/>
        <w:jc w:val="both"/>
        <w:rPr>
          <w:rFonts w:hint="default"/>
          <w:color w:val="333333"/>
          <w:spacing w:val="15"/>
          <w:shd w:val="clear" w:color="auto" w:fill="FFFFFF"/>
        </w:rPr>
      </w:pPr>
      <w:r>
        <w:rPr>
          <w:bCs/>
          <w:shd w:val="clear" w:color="auto" w:fill="FFFFFF"/>
        </w:rPr>
        <w:t xml:space="preserve">   从业人员、营业收入、资产总额填报上一年度数据，无上一年度数据的新成立企业可不填报。</w:t>
      </w:r>
    </w:p>
    <w:p>
      <w:pPr>
        <w:widowControl/>
        <w:tabs>
          <w:tab w:val="left" w:pos="5674"/>
        </w:tabs>
        <w:spacing w:line="360" w:lineRule="auto"/>
        <w:ind w:firstLine="482" w:firstLineChars="200"/>
        <w:jc w:val="left"/>
        <w:rPr>
          <w:rFonts w:ascii="宋体" w:hAnsi="宋体" w:cs="宋体"/>
          <w:b/>
          <w:bCs/>
          <w:sz w:val="24"/>
        </w:rPr>
      </w:pPr>
      <w:r>
        <w:rPr>
          <w:rFonts w:hint="eastAsia" w:ascii="宋体" w:hAnsi="宋体" w:cs="宋体"/>
          <w:b/>
          <w:bCs/>
          <w:sz w:val="24"/>
        </w:rPr>
        <w:t>备注：</w:t>
      </w:r>
    </w:p>
    <w:p>
      <w:pPr>
        <w:widowControl/>
        <w:tabs>
          <w:tab w:val="left" w:pos="5674"/>
        </w:tabs>
        <w:spacing w:line="360" w:lineRule="auto"/>
        <w:ind w:firstLine="480" w:firstLineChars="200"/>
        <w:jc w:val="left"/>
        <w:rPr>
          <w:rFonts w:ascii="宋体" w:hAnsi="宋体" w:cs="宋体"/>
          <w:b/>
          <w:bCs/>
          <w:sz w:val="24"/>
          <w:szCs w:val="21"/>
        </w:rPr>
      </w:pPr>
      <w:r>
        <w:rPr>
          <w:rFonts w:hint="eastAsia" w:ascii="宋体" w:hAnsi="宋体" w:cs="宋体"/>
          <w:bCs/>
          <w:sz w:val="24"/>
        </w:rPr>
        <w:t>1、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sz w:val="24"/>
        </w:rPr>
        <w:t>。</w:t>
      </w:r>
      <w:r>
        <w:rPr>
          <w:rFonts w:hint="eastAsia" w:ascii="宋体" w:hAnsi="宋体" w:cs="宋体"/>
          <w:b/>
          <w:bCs/>
          <w:sz w:val="24"/>
          <w:szCs w:val="21"/>
        </w:rPr>
        <w:t xml:space="preserve">非中小企业无需提供。       </w:t>
      </w:r>
    </w:p>
    <w:p>
      <w:pPr>
        <w:widowControl/>
        <w:tabs>
          <w:tab w:val="left" w:pos="5674"/>
        </w:tabs>
        <w:spacing w:line="360" w:lineRule="auto"/>
        <w:ind w:firstLine="4315" w:firstLineChars="1791"/>
        <w:jc w:val="left"/>
        <w:rPr>
          <w:rFonts w:ascii="宋体" w:hAnsi="宋体" w:cs="宋体"/>
          <w:b/>
          <w:bCs/>
          <w:sz w:val="24"/>
          <w:szCs w:val="21"/>
        </w:rPr>
      </w:pPr>
    </w:p>
    <w:p>
      <w:pPr>
        <w:widowControl/>
        <w:tabs>
          <w:tab w:val="left" w:pos="5674"/>
        </w:tabs>
        <w:spacing w:line="360" w:lineRule="auto"/>
        <w:ind w:firstLine="4773" w:firstLineChars="1989"/>
        <w:jc w:val="left"/>
        <w:rPr>
          <w:rFonts w:ascii="宋体" w:hAnsi="宋体" w:cs="宋体"/>
          <w:bCs/>
          <w:sz w:val="24"/>
          <w:szCs w:val="21"/>
        </w:rPr>
      </w:pPr>
      <w:r>
        <w:rPr>
          <w:rFonts w:hint="eastAsia" w:ascii="宋体" w:hAnsi="宋体" w:cs="宋体"/>
          <w:bCs/>
          <w:sz w:val="24"/>
          <w:szCs w:val="21"/>
        </w:rPr>
        <w:t xml:space="preserve">企业名称(盖章): </w:t>
      </w:r>
    </w:p>
    <w:p>
      <w:pPr>
        <w:pStyle w:val="49"/>
        <w:widowControl/>
        <w:ind w:firstLine="0" w:firstLineChars="0"/>
        <w:rPr>
          <w:rFonts w:ascii="宋体" w:hAnsi="宋体" w:cs="宋体"/>
        </w:rPr>
      </w:pPr>
      <w:r>
        <w:rPr>
          <w:rFonts w:hint="eastAsia" w:ascii="宋体" w:hAnsi="宋体" w:cs="宋体"/>
          <w:bCs/>
          <w:sz w:val="24"/>
        </w:rPr>
        <w:t xml:space="preserve">                                        日期:       </w:t>
      </w:r>
      <w:r>
        <w:rPr>
          <w:rFonts w:hint="eastAsia" w:ascii="宋体" w:hAnsi="宋体" w:cs="宋体"/>
          <w:b/>
          <w:bCs/>
          <w:sz w:val="24"/>
        </w:rPr>
        <w:t xml:space="preserve">      </w:t>
      </w:r>
    </w:p>
    <w:p>
      <w:pPr>
        <w:numPr>
          <w:ilvl w:val="0"/>
          <w:numId w:val="2"/>
        </w:numPr>
        <w:suppressAutoHyphens/>
        <w:spacing w:line="360" w:lineRule="auto"/>
        <w:jc w:val="left"/>
        <w:rPr>
          <w:rFonts w:ascii="宋体" w:hAnsi="宋体" w:cs="宋体"/>
          <w:b/>
          <w:sz w:val="32"/>
          <w:szCs w:val="32"/>
        </w:rPr>
      </w:pPr>
      <w:r>
        <w:rPr>
          <w:rFonts w:hint="eastAsia" w:ascii="宋体" w:hAnsi="宋体" w:cs="宋体"/>
          <w:b/>
          <w:sz w:val="24"/>
          <w:szCs w:val="21"/>
        </w:rPr>
        <w:br w:type="page"/>
      </w:r>
      <w:r>
        <w:rPr>
          <w:rFonts w:hint="eastAsia" w:ascii="宋体" w:hAnsi="宋体" w:cs="宋体"/>
          <w:b/>
          <w:sz w:val="24"/>
          <w:szCs w:val="21"/>
        </w:rPr>
        <w:t>附件四</w:t>
      </w:r>
      <w:r>
        <w:rPr>
          <w:rFonts w:hint="eastAsia" w:ascii="宋体" w:hAnsi="宋体" w:cs="宋体"/>
          <w:sz w:val="24"/>
          <w:szCs w:val="21"/>
        </w:rPr>
        <w:t>：</w:t>
      </w:r>
    </w:p>
    <w:p>
      <w:pPr>
        <w:numPr>
          <w:ilvl w:val="0"/>
          <w:numId w:val="2"/>
        </w:numPr>
        <w:suppressAutoHyphens/>
        <w:spacing w:line="360" w:lineRule="auto"/>
        <w:jc w:val="center"/>
        <w:rPr>
          <w:rFonts w:ascii="宋体" w:hAnsi="宋体" w:cs="宋体"/>
          <w:b/>
          <w:sz w:val="24"/>
          <w:szCs w:val="21"/>
        </w:rPr>
      </w:pPr>
    </w:p>
    <w:p>
      <w:pPr>
        <w:numPr>
          <w:ilvl w:val="0"/>
          <w:numId w:val="2"/>
        </w:numPr>
        <w:suppressAutoHyphens/>
        <w:spacing w:line="360" w:lineRule="auto"/>
        <w:jc w:val="center"/>
        <w:rPr>
          <w:rFonts w:ascii="宋体" w:hAnsi="宋体" w:cs="宋体"/>
          <w:b/>
          <w:sz w:val="24"/>
          <w:szCs w:val="21"/>
        </w:rPr>
      </w:pPr>
      <w:r>
        <w:rPr>
          <w:rFonts w:hint="eastAsia" w:ascii="宋体" w:hAnsi="宋体" w:cs="宋体"/>
          <w:b/>
          <w:sz w:val="24"/>
          <w:szCs w:val="21"/>
        </w:rPr>
        <w:t>监狱和戒毒企业证明材料</w:t>
      </w:r>
    </w:p>
    <w:p>
      <w:pPr>
        <w:numPr>
          <w:ilvl w:val="0"/>
          <w:numId w:val="2"/>
        </w:numPr>
        <w:suppressAutoHyphens/>
        <w:spacing w:line="360" w:lineRule="auto"/>
        <w:rPr>
          <w:rFonts w:ascii="宋体" w:hAnsi="宋体" w:cs="宋体"/>
          <w:sz w:val="24"/>
          <w:szCs w:val="21"/>
        </w:rPr>
      </w:pPr>
    </w:p>
    <w:p>
      <w:pPr>
        <w:numPr>
          <w:ilvl w:val="0"/>
          <w:numId w:val="2"/>
        </w:numPr>
        <w:suppressAutoHyphens/>
        <w:spacing w:line="360" w:lineRule="auto"/>
        <w:rPr>
          <w:rFonts w:ascii="宋体" w:hAnsi="宋体" w:cs="宋体"/>
          <w:b/>
          <w:sz w:val="24"/>
          <w:szCs w:val="21"/>
        </w:rPr>
      </w:pPr>
      <w:r>
        <w:rPr>
          <w:rFonts w:hint="eastAsia" w:ascii="宋体" w:hAnsi="宋体" w:cs="宋体"/>
          <w:b/>
          <w:sz w:val="24"/>
          <w:szCs w:val="21"/>
        </w:rPr>
        <w:t>监狱和戒毒企业投标时，提供由省级以上监狱管理局、戒毒管理局(含新疆生产建设兵团)出具的属于监狱企业的证明文件</w:t>
      </w:r>
    </w:p>
    <w:p>
      <w:pPr>
        <w:pStyle w:val="49"/>
        <w:widowControl/>
        <w:ind w:firstLine="0" w:firstLineChars="0"/>
        <w:rPr>
          <w:rFonts w:ascii="宋体" w:hAnsi="宋体" w:cs="宋体"/>
        </w:rPr>
      </w:pPr>
      <w:r>
        <w:rPr>
          <w:rFonts w:hint="eastAsia" w:ascii="宋体" w:hAnsi="宋体" w:cs="宋体"/>
          <w:bCs/>
          <w:sz w:val="24"/>
        </w:rPr>
        <w:t xml:space="preserve">    </w:t>
      </w:r>
      <w:r>
        <w:rPr>
          <w:rFonts w:hint="eastAsia" w:ascii="宋体" w:hAnsi="宋体" w:cs="宋体"/>
          <w:b/>
          <w:bCs/>
          <w:sz w:val="24"/>
        </w:rPr>
        <w:t xml:space="preserve">      </w:t>
      </w:r>
    </w:p>
    <w:p>
      <w:pPr>
        <w:numPr>
          <w:ilvl w:val="0"/>
          <w:numId w:val="2"/>
        </w:numPr>
        <w:suppressAutoHyphens/>
        <w:spacing w:line="360" w:lineRule="auto"/>
        <w:jc w:val="right"/>
        <w:rPr>
          <w:rFonts w:ascii="宋体" w:hAnsi="宋体" w:cs="宋体"/>
          <w:kern w:val="0"/>
          <w:sz w:val="24"/>
          <w:szCs w:val="21"/>
        </w:rPr>
      </w:pPr>
      <w:r>
        <w:rPr>
          <w:rFonts w:hint="eastAsia" w:ascii="宋体" w:hAnsi="宋体" w:cs="宋体"/>
          <w:b/>
          <w:sz w:val="24"/>
          <w:szCs w:val="21"/>
        </w:rPr>
        <w:br w:type="page"/>
      </w:r>
    </w:p>
    <w:bookmarkEnd w:id="56"/>
    <w:bookmarkEnd w:id="57"/>
    <w:bookmarkEnd w:id="58"/>
    <w:p>
      <w:pPr>
        <w:pStyle w:val="3"/>
        <w:widowControl/>
        <w:spacing w:afterLines="50"/>
        <w:jc w:val="center"/>
        <w:rPr>
          <w:rFonts w:ascii="宋体" w:hAnsi="宋体" w:cs="宋体"/>
          <w:sz w:val="28"/>
          <w:szCs w:val="28"/>
        </w:rPr>
      </w:pPr>
      <w:bookmarkStart w:id="59" w:name="_Toc25799"/>
      <w:bookmarkStart w:id="60" w:name="_Toc9949"/>
      <w:bookmarkStart w:id="61" w:name="_Toc18131"/>
      <w:bookmarkStart w:id="62" w:name="_Toc26288"/>
      <w:bookmarkStart w:id="63" w:name="_Toc20671"/>
      <w:bookmarkStart w:id="64" w:name="_Toc421778376"/>
      <w:r>
        <w:rPr>
          <w:rFonts w:hint="eastAsia" w:ascii="宋体" w:hAnsi="宋体" w:cs="宋体"/>
          <w:sz w:val="28"/>
          <w:szCs w:val="28"/>
        </w:rPr>
        <w:t>第三章 评标办法</w:t>
      </w:r>
      <w:bookmarkEnd w:id="59"/>
      <w:bookmarkEnd w:id="60"/>
      <w:bookmarkEnd w:id="61"/>
      <w:bookmarkEnd w:id="62"/>
      <w:bookmarkEnd w:id="63"/>
      <w:bookmarkEnd w:id="64"/>
    </w:p>
    <w:p>
      <w:pPr>
        <w:spacing w:line="360" w:lineRule="auto"/>
        <w:jc w:val="left"/>
        <w:outlineLvl w:val="1"/>
        <w:rPr>
          <w:rFonts w:ascii="宋体" w:hAnsi="宋体" w:cs="宋体"/>
          <w:b/>
          <w:bCs/>
          <w:sz w:val="28"/>
          <w:szCs w:val="28"/>
        </w:rPr>
      </w:pPr>
      <w:r>
        <w:rPr>
          <w:rFonts w:hint="eastAsia" w:ascii="宋体" w:hAnsi="宋体" w:cs="宋体"/>
          <w:b/>
          <w:bCs/>
          <w:sz w:val="28"/>
          <w:szCs w:val="28"/>
        </w:rPr>
        <w:t>一、评标方法</w:t>
      </w:r>
    </w:p>
    <w:p>
      <w:pPr>
        <w:spacing w:line="360" w:lineRule="auto"/>
        <w:ind w:firstLine="480" w:firstLineChars="200"/>
        <w:jc w:val="left"/>
        <w:rPr>
          <w:rFonts w:ascii="宋体" w:hAnsi="宋体" w:cs="宋体"/>
          <w:sz w:val="24"/>
        </w:rPr>
      </w:pPr>
      <w:r>
        <w:rPr>
          <w:rFonts w:hint="eastAsia" w:ascii="宋体" w:hAnsi="宋体" w:cs="宋体"/>
          <w:sz w:val="24"/>
        </w:rPr>
        <w:t>按照《中华人民共和国政府政府采购法》及实施条例、《中华人民共和国招标投标法》及实施条例的规定，本次评标采用综合评分法，即在最大限度地满足招标文件实质性要求前提下，按照招标文件中规定的各项因素和相应的权重分值进行综合评审后，以总得分最高的供应商作为中标候选人并依次排序（最低报价不是中标的唯一标准）。</w:t>
      </w:r>
    </w:p>
    <w:p>
      <w:pPr>
        <w:spacing w:line="360" w:lineRule="auto"/>
        <w:ind w:right="40" w:rightChars="19"/>
        <w:outlineLvl w:val="1"/>
        <w:rPr>
          <w:rFonts w:ascii="宋体" w:hAnsi="宋体" w:cs="宋体"/>
          <w:b/>
          <w:bCs/>
          <w:sz w:val="24"/>
        </w:rPr>
      </w:pPr>
      <w:bookmarkStart w:id="65" w:name="_Toc465432103"/>
      <w:r>
        <w:rPr>
          <w:rFonts w:hint="eastAsia" w:ascii="宋体" w:hAnsi="宋体" w:cs="宋体"/>
          <w:b/>
          <w:bCs/>
          <w:sz w:val="24"/>
        </w:rPr>
        <w:t>二、评标原则</w:t>
      </w:r>
      <w:bookmarkEnd w:id="65"/>
    </w:p>
    <w:p>
      <w:pPr>
        <w:widowControl/>
        <w:snapToGrid w:val="0"/>
        <w:spacing w:line="360" w:lineRule="auto"/>
        <w:ind w:firstLine="315"/>
        <w:rPr>
          <w:rFonts w:ascii="宋体" w:hAnsi="宋体" w:cs="宋体"/>
          <w:kern w:val="0"/>
          <w:sz w:val="24"/>
        </w:rPr>
      </w:pPr>
      <w:r>
        <w:rPr>
          <w:rFonts w:hint="eastAsia" w:ascii="宋体" w:hAnsi="宋体" w:cs="宋体"/>
          <w:kern w:val="0"/>
          <w:sz w:val="24"/>
        </w:rPr>
        <w:t>1、公平、公正、科学、择优。</w:t>
      </w:r>
    </w:p>
    <w:p>
      <w:pPr>
        <w:widowControl/>
        <w:snapToGrid w:val="0"/>
        <w:spacing w:line="360" w:lineRule="auto"/>
        <w:ind w:firstLine="315"/>
        <w:rPr>
          <w:rFonts w:ascii="宋体" w:hAnsi="宋体" w:cs="宋体"/>
          <w:kern w:val="0"/>
          <w:sz w:val="24"/>
        </w:rPr>
      </w:pPr>
      <w:r>
        <w:rPr>
          <w:rFonts w:hint="eastAsia" w:ascii="宋体" w:hAnsi="宋体" w:cs="宋体"/>
          <w:kern w:val="0"/>
          <w:sz w:val="24"/>
        </w:rPr>
        <w:t>2、</w:t>
      </w:r>
      <w:r>
        <w:rPr>
          <w:rFonts w:hint="eastAsia" w:ascii="宋体" w:hAnsi="宋体" w:cs="宋体"/>
          <w:sz w:val="24"/>
        </w:rPr>
        <w:t>工程质量符合国家各项施工及验收规范标准、工期满足招标文件要求、施工方案合理可行、投标报价合理低价</w:t>
      </w:r>
      <w:r>
        <w:rPr>
          <w:rFonts w:hint="eastAsia" w:ascii="宋体" w:hAnsi="宋体" w:cs="宋体"/>
          <w:kern w:val="0"/>
          <w:sz w:val="24"/>
        </w:rPr>
        <w:t>。</w:t>
      </w:r>
    </w:p>
    <w:p>
      <w:pPr>
        <w:widowControl/>
        <w:snapToGrid w:val="0"/>
        <w:spacing w:line="360" w:lineRule="auto"/>
        <w:ind w:firstLine="315"/>
        <w:rPr>
          <w:rFonts w:ascii="宋体" w:hAnsi="宋体" w:cs="宋体"/>
          <w:kern w:val="0"/>
          <w:sz w:val="24"/>
        </w:rPr>
      </w:pPr>
      <w:r>
        <w:rPr>
          <w:rFonts w:hint="eastAsia" w:ascii="宋体" w:hAnsi="宋体" w:cs="宋体"/>
          <w:kern w:val="0"/>
          <w:sz w:val="24"/>
        </w:rPr>
        <w:t>3、禁止不正当竞争。</w:t>
      </w:r>
    </w:p>
    <w:p>
      <w:pPr>
        <w:spacing w:line="360" w:lineRule="auto"/>
        <w:outlineLvl w:val="1"/>
        <w:rPr>
          <w:rFonts w:ascii="宋体" w:hAnsi="宋体" w:cs="宋体"/>
          <w:b/>
          <w:sz w:val="28"/>
          <w:szCs w:val="28"/>
        </w:rPr>
      </w:pPr>
      <w:r>
        <w:rPr>
          <w:rFonts w:hint="eastAsia" w:ascii="宋体" w:hAnsi="宋体" w:cs="宋体"/>
          <w:b/>
          <w:sz w:val="28"/>
          <w:szCs w:val="28"/>
        </w:rPr>
        <w:t>三、政策性扣减</w:t>
      </w:r>
    </w:p>
    <w:p>
      <w:pPr>
        <w:spacing w:before="120" w:line="360" w:lineRule="auto"/>
        <w:ind w:firstLine="480" w:firstLineChars="200"/>
        <w:rPr>
          <w:rFonts w:ascii="宋体" w:hAnsi="宋体" w:cs="宋体"/>
          <w:sz w:val="24"/>
          <w:szCs w:val="21"/>
        </w:rPr>
      </w:pPr>
      <w:r>
        <w:rPr>
          <w:rFonts w:hint="eastAsia" w:ascii="宋体" w:hAnsi="宋体" w:cs="宋体"/>
          <w:sz w:val="24"/>
          <w:szCs w:val="21"/>
        </w:rPr>
        <w:t>1.投标人符合小型、微型企业或监狱企业条件的，其投标报价价格评审时将按相应比例进行扣减。</w:t>
      </w:r>
    </w:p>
    <w:p>
      <w:pPr>
        <w:spacing w:before="120" w:line="360" w:lineRule="auto"/>
        <w:ind w:firstLine="480" w:firstLineChars="200"/>
        <w:rPr>
          <w:rFonts w:ascii="宋体" w:hAnsi="宋体" w:cs="宋体"/>
          <w:sz w:val="24"/>
          <w:szCs w:val="21"/>
        </w:rPr>
      </w:pPr>
      <w:r>
        <w:rPr>
          <w:rFonts w:hint="eastAsia" w:ascii="宋体" w:hAnsi="宋体" w:cs="宋体"/>
          <w:sz w:val="24"/>
          <w:szCs w:val="21"/>
        </w:rPr>
        <w:t>2.在政府采购活动中，残疾人福利性单位视同小型、微型企业，残疾人福利性单位属于小型、微型企业的，不重复享受政策。</w:t>
      </w:r>
    </w:p>
    <w:p>
      <w:pPr>
        <w:spacing w:line="360" w:lineRule="auto"/>
        <w:ind w:firstLine="482" w:firstLineChars="200"/>
        <w:rPr>
          <w:rFonts w:ascii="宋体" w:hAnsi="宋体" w:cs="宋体"/>
          <w:b/>
          <w:kern w:val="0"/>
          <w:sz w:val="24"/>
        </w:rPr>
      </w:pPr>
      <w:r>
        <w:rPr>
          <w:rFonts w:hint="eastAsia" w:ascii="宋体" w:hAnsi="宋体" w:cs="宋体"/>
          <w:b/>
          <w:bCs/>
          <w:sz w:val="24"/>
          <w:szCs w:val="21"/>
        </w:rPr>
        <w:t>3.</w:t>
      </w:r>
      <w:r>
        <w:rPr>
          <w:rFonts w:hint="eastAsia" w:ascii="宋体" w:hAnsi="宋体" w:cs="宋体"/>
          <w:b/>
          <w:bCs/>
          <w:kern w:val="0"/>
          <w:sz w:val="24"/>
        </w:rPr>
        <w:t>监狱</w:t>
      </w:r>
      <w:r>
        <w:rPr>
          <w:rFonts w:hint="eastAsia" w:ascii="宋体" w:hAnsi="宋体" w:cs="宋体"/>
          <w:b/>
          <w:kern w:val="0"/>
          <w:sz w:val="24"/>
        </w:rPr>
        <w:t>企业、小微企业投标的，在计算价格分时给予6%的扣除后计算。</w:t>
      </w:r>
    </w:p>
    <w:p>
      <w:pPr>
        <w:spacing w:before="120" w:line="360" w:lineRule="auto"/>
        <w:ind w:firstLine="480" w:firstLineChars="200"/>
        <w:rPr>
          <w:rFonts w:ascii="宋体" w:hAnsi="宋体" w:cs="宋体"/>
          <w:sz w:val="24"/>
          <w:szCs w:val="21"/>
        </w:rPr>
      </w:pPr>
      <w:r>
        <w:rPr>
          <w:rFonts w:hint="eastAsia" w:ascii="宋体" w:hAnsi="宋体" w:cs="宋体"/>
          <w:sz w:val="24"/>
          <w:szCs w:val="21"/>
        </w:rPr>
        <w:t>4.供应商享受支持中小型企业发展政策优惠的，可以同时享受节能、环境标志产品优先采购政策。</w:t>
      </w:r>
    </w:p>
    <w:p>
      <w:pPr>
        <w:spacing w:line="360" w:lineRule="auto"/>
        <w:ind w:firstLine="496" w:firstLineChars="200"/>
        <w:rPr>
          <w:rFonts w:ascii="宋体" w:hAnsi="宋体" w:cs="宋体"/>
          <w:kern w:val="0"/>
          <w:sz w:val="24"/>
        </w:rPr>
      </w:pPr>
      <w:r>
        <w:rPr>
          <w:rFonts w:hint="eastAsia" w:ascii="宋体" w:hAnsi="宋体" w:cs="宋体"/>
          <w:bCs/>
          <w:spacing w:val="4"/>
          <w:sz w:val="24"/>
        </w:rPr>
        <w:t>5.中标价格=中标人的投标报价。</w:t>
      </w:r>
    </w:p>
    <w:p>
      <w:pPr>
        <w:spacing w:line="360" w:lineRule="auto"/>
        <w:outlineLvl w:val="1"/>
        <w:rPr>
          <w:rFonts w:ascii="宋体" w:hAnsi="宋体" w:cs="宋体"/>
          <w:b/>
          <w:bCs/>
          <w:sz w:val="28"/>
          <w:szCs w:val="28"/>
        </w:rPr>
      </w:pPr>
      <w:bookmarkStart w:id="66" w:name="_Toc363463333"/>
      <w:r>
        <w:rPr>
          <w:rFonts w:hint="eastAsia" w:ascii="宋体" w:hAnsi="宋体" w:cs="宋体"/>
          <w:b/>
          <w:bCs/>
          <w:sz w:val="28"/>
          <w:szCs w:val="28"/>
        </w:rPr>
        <w:t>四、评标程序</w:t>
      </w:r>
      <w:bookmarkEnd w:id="66"/>
    </w:p>
    <w:p>
      <w:pPr>
        <w:spacing w:line="360" w:lineRule="auto"/>
        <w:ind w:firstLine="496" w:firstLineChars="200"/>
        <w:rPr>
          <w:rFonts w:ascii="宋体" w:hAnsi="宋体" w:cs="宋体"/>
          <w:spacing w:val="4"/>
          <w:sz w:val="24"/>
        </w:rPr>
      </w:pPr>
      <w:r>
        <w:rPr>
          <w:rFonts w:hint="eastAsia" w:ascii="宋体" w:hAnsi="宋体" w:cs="宋体"/>
          <w:spacing w:val="4"/>
          <w:sz w:val="24"/>
        </w:rPr>
        <w:t>按照初审、详评、推荐中标排序三个步骤进行评标。未通过上一步评审者，不得进入下一步的评审。</w:t>
      </w:r>
    </w:p>
    <w:p>
      <w:pPr>
        <w:numPr>
          <w:ilvl w:val="0"/>
          <w:numId w:val="3"/>
        </w:numPr>
        <w:spacing w:line="360" w:lineRule="auto"/>
        <w:ind w:firstLine="498" w:firstLineChars="200"/>
        <w:outlineLvl w:val="2"/>
        <w:rPr>
          <w:rFonts w:ascii="宋体" w:hAnsi="宋体" w:cs="宋体"/>
          <w:b/>
          <w:bCs/>
          <w:spacing w:val="4"/>
          <w:sz w:val="24"/>
        </w:rPr>
      </w:pPr>
      <w:r>
        <w:rPr>
          <w:rFonts w:hint="eastAsia" w:ascii="宋体" w:hAnsi="宋体" w:cs="宋体"/>
          <w:b/>
          <w:bCs/>
          <w:spacing w:val="4"/>
          <w:sz w:val="24"/>
        </w:rPr>
        <w:t>对投标文件的初审</w:t>
      </w:r>
    </w:p>
    <w:p>
      <w:pPr>
        <w:tabs>
          <w:tab w:val="left" w:pos="0"/>
        </w:tabs>
        <w:adjustRightInd w:val="0"/>
        <w:snapToGrid w:val="0"/>
        <w:spacing w:line="360" w:lineRule="auto"/>
        <w:ind w:firstLine="470" w:firstLineChars="196"/>
        <w:rPr>
          <w:rFonts w:ascii="宋体" w:hAnsi="宋体" w:cs="宋体"/>
          <w:sz w:val="24"/>
          <w:szCs w:val="21"/>
        </w:rPr>
      </w:pPr>
      <w:r>
        <w:rPr>
          <w:rFonts w:hint="eastAsia" w:ascii="宋体" w:hAnsi="宋体" w:cs="宋体"/>
          <w:sz w:val="24"/>
          <w:szCs w:val="21"/>
        </w:rPr>
        <w:t>资格性审查：由采购人根据本章附表一规定的评审标准对投标文件进行资格性审查。有一项不符合评审标准的，将被认定为无效投标。</w:t>
      </w:r>
    </w:p>
    <w:p>
      <w:pPr>
        <w:tabs>
          <w:tab w:val="left" w:pos="0"/>
        </w:tabs>
        <w:adjustRightInd w:val="0"/>
        <w:snapToGrid w:val="0"/>
        <w:spacing w:line="360" w:lineRule="auto"/>
        <w:ind w:firstLine="470" w:firstLineChars="196"/>
        <w:rPr>
          <w:rFonts w:ascii="宋体" w:hAnsi="宋体" w:cs="宋体"/>
          <w:sz w:val="24"/>
          <w:szCs w:val="21"/>
        </w:rPr>
      </w:pPr>
      <w:r>
        <w:rPr>
          <w:rFonts w:hint="eastAsia" w:ascii="宋体" w:hAnsi="宋体" w:cs="宋体"/>
          <w:sz w:val="24"/>
          <w:szCs w:val="21"/>
        </w:rPr>
        <w:t>符合性审查：由评标委员会根据本章附表二规定的评审标准对投标文件进行符合性评审。有一项不符合评审标准的，评标委员会应当否决其投标。</w:t>
      </w:r>
    </w:p>
    <w:p>
      <w:pPr>
        <w:tabs>
          <w:tab w:val="left" w:pos="0"/>
        </w:tabs>
        <w:adjustRightInd w:val="0"/>
        <w:snapToGrid w:val="0"/>
        <w:spacing w:line="360" w:lineRule="auto"/>
        <w:ind w:firstLine="472" w:firstLineChars="196"/>
        <w:rPr>
          <w:rFonts w:ascii="宋体" w:hAnsi="宋体" w:cs="宋体"/>
          <w:b/>
          <w:bCs/>
          <w:sz w:val="24"/>
          <w:szCs w:val="21"/>
        </w:rPr>
      </w:pPr>
      <w:r>
        <w:rPr>
          <w:rFonts w:hint="eastAsia" w:ascii="宋体" w:hAnsi="宋体" w:cs="宋体"/>
          <w:b/>
          <w:bCs/>
          <w:sz w:val="24"/>
          <w:szCs w:val="21"/>
        </w:rPr>
        <w:t>在资格性审查阶段，不符合招标文件要求的，不得进入符合性审查，在符合性审查时未通过的，不得进入后续评审环节。</w:t>
      </w:r>
    </w:p>
    <w:p>
      <w:pPr>
        <w:spacing w:line="360" w:lineRule="auto"/>
        <w:ind w:firstLine="482" w:firstLineChars="200"/>
        <w:outlineLvl w:val="2"/>
        <w:rPr>
          <w:rFonts w:ascii="宋体" w:hAnsi="宋体" w:cs="宋体"/>
          <w:spacing w:val="4"/>
          <w:sz w:val="24"/>
        </w:rPr>
      </w:pPr>
      <w:r>
        <w:rPr>
          <w:rFonts w:hint="eastAsia" w:ascii="宋体" w:hAnsi="宋体" w:cs="宋体"/>
          <w:b/>
          <w:sz w:val="24"/>
        </w:rPr>
        <w:t>2、投标文件的澄清</w:t>
      </w:r>
    </w:p>
    <w:p>
      <w:pPr>
        <w:spacing w:line="360" w:lineRule="auto"/>
        <w:ind w:firstLine="496" w:firstLineChars="200"/>
        <w:rPr>
          <w:rFonts w:ascii="宋体" w:hAnsi="宋体" w:cs="宋体"/>
          <w:spacing w:val="4"/>
          <w:sz w:val="24"/>
        </w:rPr>
      </w:pPr>
      <w:r>
        <w:rPr>
          <w:rFonts w:hint="eastAsia" w:ascii="宋体" w:hAnsi="宋体" w:cs="宋体"/>
          <w:spacing w:val="4"/>
          <w:sz w:val="24"/>
        </w:rPr>
        <w:t>2.1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360" w:lineRule="auto"/>
        <w:ind w:firstLine="496" w:firstLineChars="200"/>
        <w:rPr>
          <w:rFonts w:ascii="宋体" w:hAnsi="宋体" w:cs="宋体"/>
          <w:spacing w:val="4"/>
          <w:sz w:val="24"/>
        </w:rPr>
      </w:pPr>
      <w:r>
        <w:rPr>
          <w:rFonts w:hint="eastAsia" w:ascii="宋体" w:hAnsi="宋体" w:cs="宋体"/>
          <w:spacing w:val="4"/>
          <w:sz w:val="24"/>
        </w:rPr>
        <w:t>2.2有效的书面澄清材料，是投标文件的补充材料，成为投标文件的组成部分。</w:t>
      </w:r>
    </w:p>
    <w:p>
      <w:pPr>
        <w:spacing w:line="360" w:lineRule="auto"/>
        <w:ind w:firstLine="496" w:firstLineChars="200"/>
        <w:rPr>
          <w:rFonts w:ascii="宋体" w:hAnsi="宋体" w:cs="宋体"/>
          <w:spacing w:val="4"/>
          <w:sz w:val="24"/>
        </w:rPr>
      </w:pPr>
      <w:r>
        <w:rPr>
          <w:rFonts w:hint="eastAsia" w:ascii="宋体" w:hAnsi="宋体" w:cs="宋体"/>
          <w:spacing w:val="4"/>
          <w:sz w:val="24"/>
        </w:rPr>
        <w:t>2.3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360" w:lineRule="auto"/>
        <w:ind w:firstLine="496" w:firstLineChars="200"/>
        <w:rPr>
          <w:rFonts w:ascii="宋体" w:hAnsi="宋体" w:cs="宋体"/>
          <w:spacing w:val="4"/>
          <w:sz w:val="24"/>
        </w:rPr>
      </w:pPr>
      <w:r>
        <w:rPr>
          <w:rFonts w:hint="eastAsia" w:ascii="宋体" w:hAnsi="宋体" w:cs="宋体"/>
          <w:spacing w:val="4"/>
          <w:sz w:val="24"/>
        </w:rPr>
        <w:t>2.4 对于投标文件中可能出现的不一致和算术计算错误按以下方法更正：</w:t>
      </w:r>
    </w:p>
    <w:p>
      <w:pPr>
        <w:spacing w:line="360" w:lineRule="auto"/>
        <w:ind w:firstLine="496" w:firstLineChars="200"/>
        <w:rPr>
          <w:rFonts w:ascii="宋体" w:hAnsi="宋体" w:cs="宋体"/>
          <w:spacing w:val="4"/>
          <w:sz w:val="24"/>
        </w:rPr>
      </w:pPr>
      <w:r>
        <w:rPr>
          <w:rFonts w:hint="eastAsia" w:ascii="宋体" w:hAnsi="宋体" w:cs="宋体"/>
          <w:spacing w:val="4"/>
          <w:sz w:val="24"/>
        </w:rPr>
        <w:t>投标文件的大写金额和小写金额不一致的，以大写金额为准；总价金额与按单价汇总金额不一致的，以单价金额计算结果为准；单价金额小数点有明显错位的，应以总价为准，并修改单价。</w:t>
      </w:r>
    </w:p>
    <w:p>
      <w:pPr>
        <w:spacing w:line="360" w:lineRule="auto"/>
        <w:ind w:firstLine="498" w:firstLineChars="200"/>
        <w:outlineLvl w:val="2"/>
        <w:rPr>
          <w:rFonts w:ascii="宋体" w:hAnsi="宋体" w:cs="宋体"/>
          <w:b/>
          <w:bCs/>
          <w:spacing w:val="4"/>
          <w:sz w:val="24"/>
        </w:rPr>
      </w:pPr>
      <w:r>
        <w:rPr>
          <w:rFonts w:hint="eastAsia" w:ascii="宋体" w:hAnsi="宋体" w:cs="宋体"/>
          <w:b/>
          <w:bCs/>
          <w:spacing w:val="4"/>
          <w:sz w:val="24"/>
        </w:rPr>
        <w:t>3、详细评审</w:t>
      </w:r>
    </w:p>
    <w:p>
      <w:pPr>
        <w:spacing w:line="360" w:lineRule="auto"/>
        <w:ind w:firstLine="496" w:firstLineChars="200"/>
        <w:rPr>
          <w:rFonts w:ascii="宋体" w:hAnsi="宋体" w:cs="宋体"/>
          <w:spacing w:val="4"/>
          <w:sz w:val="24"/>
        </w:rPr>
      </w:pPr>
      <w:r>
        <w:rPr>
          <w:rFonts w:hint="eastAsia" w:ascii="宋体" w:hAnsi="宋体" w:cs="宋体"/>
          <w:spacing w:val="4"/>
          <w:sz w:val="24"/>
        </w:rPr>
        <w:t>对于经初审合格的所有投标文件，由评委会各成员按照附表三规定的</w:t>
      </w:r>
      <w:r>
        <w:rPr>
          <w:rFonts w:hint="eastAsia" w:ascii="宋体" w:hAnsi="宋体" w:cs="宋体"/>
          <w:sz w:val="24"/>
          <w:szCs w:val="21"/>
        </w:rPr>
        <w:t>规定的评审标准</w:t>
      </w:r>
      <w:r>
        <w:rPr>
          <w:rFonts w:hint="eastAsia" w:ascii="宋体" w:hAnsi="宋体" w:cs="宋体"/>
          <w:spacing w:val="4"/>
          <w:sz w:val="24"/>
        </w:rPr>
        <w:t>内容独立进行综合评价、比较打分，然后汇总每个投标人的得分，从高到低依次排序，推荐中标候选人，如果总分一致，以商务报价得分高的排名靠前。</w:t>
      </w:r>
    </w:p>
    <w:p>
      <w:pPr>
        <w:spacing w:line="360" w:lineRule="auto"/>
        <w:outlineLvl w:val="1"/>
        <w:rPr>
          <w:rFonts w:ascii="宋体" w:hAnsi="宋体" w:cs="宋体"/>
          <w:b/>
          <w:sz w:val="28"/>
          <w:szCs w:val="28"/>
        </w:rPr>
      </w:pPr>
      <w:r>
        <w:rPr>
          <w:rFonts w:hint="eastAsia" w:ascii="宋体" w:hAnsi="宋体" w:cs="宋体"/>
          <w:b/>
          <w:bCs/>
          <w:spacing w:val="4"/>
          <w:sz w:val="24"/>
        </w:rPr>
        <w:t>五、</w:t>
      </w:r>
      <w:r>
        <w:rPr>
          <w:rFonts w:hint="eastAsia" w:ascii="宋体" w:hAnsi="宋体" w:cs="宋体"/>
          <w:b/>
          <w:sz w:val="28"/>
          <w:szCs w:val="28"/>
        </w:rPr>
        <w:t>评审标准</w:t>
      </w:r>
    </w:p>
    <w:p>
      <w:pPr>
        <w:tabs>
          <w:tab w:val="left" w:pos="0"/>
        </w:tabs>
        <w:adjustRightInd w:val="0"/>
        <w:snapToGrid w:val="0"/>
        <w:spacing w:line="360" w:lineRule="auto"/>
        <w:ind w:firstLine="472" w:firstLineChars="196"/>
        <w:outlineLvl w:val="2"/>
        <w:rPr>
          <w:rFonts w:ascii="宋体" w:hAnsi="宋体" w:cs="宋体"/>
          <w:b/>
          <w:sz w:val="24"/>
          <w:szCs w:val="21"/>
        </w:rPr>
      </w:pPr>
      <w:r>
        <w:rPr>
          <w:rFonts w:hint="eastAsia" w:ascii="宋体" w:hAnsi="宋体" w:cs="宋体"/>
          <w:b/>
          <w:sz w:val="24"/>
          <w:szCs w:val="21"/>
        </w:rPr>
        <w:t>1、初步评审标准</w:t>
      </w:r>
    </w:p>
    <w:p>
      <w:pPr>
        <w:tabs>
          <w:tab w:val="left" w:pos="0"/>
        </w:tabs>
        <w:adjustRightInd w:val="0"/>
        <w:snapToGrid w:val="0"/>
        <w:spacing w:line="360" w:lineRule="auto"/>
        <w:ind w:firstLine="470" w:firstLineChars="196"/>
        <w:rPr>
          <w:rFonts w:ascii="宋体" w:hAnsi="宋体" w:cs="宋体"/>
          <w:kern w:val="0"/>
          <w:sz w:val="24"/>
          <w:szCs w:val="21"/>
        </w:rPr>
      </w:pPr>
      <w:r>
        <w:rPr>
          <w:rFonts w:hint="eastAsia" w:ascii="宋体" w:hAnsi="宋体" w:cs="宋体"/>
          <w:sz w:val="24"/>
          <w:szCs w:val="21"/>
        </w:rPr>
        <w:t>1.1资格性审查标准：见附表一 资格性审查表</w:t>
      </w:r>
    </w:p>
    <w:p>
      <w:pPr>
        <w:tabs>
          <w:tab w:val="left" w:pos="0"/>
        </w:tabs>
        <w:adjustRightInd w:val="0"/>
        <w:snapToGrid w:val="0"/>
        <w:spacing w:line="360" w:lineRule="auto"/>
        <w:ind w:firstLine="470" w:firstLineChars="196"/>
        <w:rPr>
          <w:rFonts w:ascii="宋体" w:hAnsi="宋体" w:cs="宋体"/>
          <w:sz w:val="24"/>
          <w:szCs w:val="21"/>
        </w:rPr>
      </w:pPr>
      <w:r>
        <w:rPr>
          <w:rFonts w:hint="eastAsia" w:ascii="宋体" w:hAnsi="宋体" w:cs="宋体"/>
          <w:sz w:val="24"/>
          <w:szCs w:val="21"/>
        </w:rPr>
        <w:t>1.2符合性审查标准：见附表二 符合性审查表</w:t>
      </w:r>
    </w:p>
    <w:p>
      <w:pPr>
        <w:tabs>
          <w:tab w:val="left" w:pos="0"/>
        </w:tabs>
        <w:adjustRightInd w:val="0"/>
        <w:snapToGrid w:val="0"/>
        <w:spacing w:line="360" w:lineRule="auto"/>
        <w:ind w:firstLine="472" w:firstLineChars="196"/>
        <w:outlineLvl w:val="2"/>
        <w:rPr>
          <w:rFonts w:ascii="宋体" w:hAnsi="宋体" w:cs="宋体"/>
          <w:b/>
          <w:sz w:val="24"/>
          <w:szCs w:val="22"/>
        </w:rPr>
      </w:pPr>
      <w:r>
        <w:rPr>
          <w:rFonts w:hint="eastAsia" w:ascii="宋体" w:hAnsi="宋体" w:cs="宋体"/>
          <w:b/>
          <w:sz w:val="24"/>
          <w:szCs w:val="22"/>
        </w:rPr>
        <w:t>2、分值构成与评分标准</w:t>
      </w:r>
    </w:p>
    <w:p>
      <w:pPr>
        <w:tabs>
          <w:tab w:val="left" w:pos="0"/>
        </w:tabs>
        <w:adjustRightInd w:val="0"/>
        <w:snapToGrid w:val="0"/>
        <w:spacing w:line="360" w:lineRule="auto"/>
        <w:ind w:firstLine="470" w:firstLineChars="196"/>
        <w:rPr>
          <w:rFonts w:ascii="宋体" w:hAnsi="宋体" w:cs="宋体"/>
          <w:b/>
          <w:spacing w:val="4"/>
        </w:rPr>
      </w:pPr>
      <w:r>
        <w:rPr>
          <w:rFonts w:hint="eastAsia" w:ascii="宋体" w:hAnsi="宋体" w:cs="宋体"/>
          <w:bCs/>
          <w:sz w:val="24"/>
          <w:szCs w:val="22"/>
        </w:rPr>
        <w:t>2.1分值构成：</w:t>
      </w:r>
      <w:r>
        <w:rPr>
          <w:rFonts w:hint="eastAsia" w:ascii="宋体" w:hAnsi="宋体" w:cs="宋体"/>
          <w:sz w:val="24"/>
          <w:szCs w:val="21"/>
        </w:rPr>
        <w:t>见附表三</w:t>
      </w:r>
      <w:r>
        <w:rPr>
          <w:rFonts w:hint="eastAsia" w:ascii="宋体" w:hAnsi="宋体" w:cs="宋体"/>
          <w:bCs/>
          <w:sz w:val="24"/>
          <w:szCs w:val="22"/>
        </w:rPr>
        <w:t>评标因素及权重分值表</w:t>
      </w: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rPr>
          <w:rFonts w:ascii="宋体" w:hAnsi="宋体" w:cs="宋体"/>
          <w:sz w:val="24"/>
          <w:szCs w:val="24"/>
        </w:rPr>
      </w:pPr>
    </w:p>
    <w:p>
      <w:pPr>
        <w:pStyle w:val="7"/>
        <w:widowControl/>
        <w:jc w:val="both"/>
        <w:rPr>
          <w:rFonts w:ascii="宋体" w:hAnsi="宋体" w:cs="宋体"/>
          <w:b/>
          <w:bCs/>
          <w:sz w:val="24"/>
          <w:szCs w:val="24"/>
        </w:rPr>
      </w:pPr>
    </w:p>
    <w:p>
      <w:pPr>
        <w:pStyle w:val="7"/>
        <w:widowControl/>
        <w:jc w:val="both"/>
        <w:rPr>
          <w:rFonts w:ascii="宋体" w:hAnsi="宋体" w:cs="宋体"/>
          <w:b/>
          <w:bCs/>
          <w:sz w:val="24"/>
          <w:szCs w:val="24"/>
        </w:rPr>
      </w:pPr>
    </w:p>
    <w:p>
      <w:pPr>
        <w:pStyle w:val="7"/>
        <w:widowControl/>
        <w:jc w:val="both"/>
        <w:rPr>
          <w:rFonts w:ascii="宋体" w:hAnsi="宋体" w:cs="宋体"/>
          <w:b/>
          <w:bCs/>
          <w:sz w:val="24"/>
          <w:szCs w:val="24"/>
        </w:rPr>
      </w:pPr>
    </w:p>
    <w:p>
      <w:pPr>
        <w:pStyle w:val="7"/>
        <w:widowControl/>
        <w:jc w:val="both"/>
        <w:rPr>
          <w:rFonts w:ascii="宋体" w:hAnsi="宋体" w:cs="宋体"/>
          <w:b/>
          <w:bCs/>
          <w:sz w:val="24"/>
          <w:szCs w:val="24"/>
        </w:rPr>
      </w:pPr>
    </w:p>
    <w:p>
      <w:pPr>
        <w:rPr>
          <w:rFonts w:ascii="宋体" w:hAnsi="宋体" w:cs="宋体"/>
          <w:b/>
          <w:bCs/>
          <w:sz w:val="24"/>
        </w:rPr>
        <w:sectPr>
          <w:pgSz w:w="11906" w:h="16838"/>
          <w:pgMar w:top="1417" w:right="1417" w:bottom="1417" w:left="1702" w:header="851" w:footer="992" w:gutter="0"/>
          <w:cols w:space="720" w:num="1"/>
          <w:docGrid w:type="lines" w:linePitch="312" w:charSpace="0"/>
        </w:sectPr>
      </w:pPr>
    </w:p>
    <w:p>
      <w:pPr>
        <w:pStyle w:val="7"/>
        <w:widowControl/>
        <w:jc w:val="both"/>
        <w:rPr>
          <w:rFonts w:ascii="宋体" w:hAnsi="宋体" w:cs="宋体"/>
          <w:b/>
        </w:rPr>
      </w:pPr>
      <w:r>
        <w:rPr>
          <w:rFonts w:hint="eastAsia" w:ascii="宋体" w:hAnsi="宋体" w:cs="宋体"/>
          <w:b/>
        </w:rPr>
        <w:t>附表一：</w:t>
      </w:r>
    </w:p>
    <w:p>
      <w:pPr>
        <w:spacing w:line="440" w:lineRule="exact"/>
        <w:ind w:right="40" w:rightChars="19" w:firstLine="482" w:firstLineChars="200"/>
        <w:jc w:val="center"/>
        <w:rPr>
          <w:rFonts w:ascii="宋体" w:hAnsi="宋体" w:cs="宋体"/>
          <w:b/>
          <w:sz w:val="24"/>
        </w:rPr>
      </w:pPr>
      <w:r>
        <w:rPr>
          <w:rFonts w:hint="eastAsia" w:ascii="宋体" w:hAnsi="宋体" w:cs="宋体"/>
          <w:b/>
          <w:bCs/>
          <w:sz w:val="24"/>
        </w:rPr>
        <w:t>资格性审查表</w:t>
      </w:r>
    </w:p>
    <w:tbl>
      <w:tblPr>
        <w:tblStyle w:val="16"/>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835"/>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bCs/>
                <w:sz w:val="24"/>
              </w:rPr>
            </w:pPr>
            <w:r>
              <w:rPr>
                <w:rFonts w:hint="eastAsia" w:ascii="宋体" w:hAnsi="宋体" w:cs="宋体"/>
                <w:bCs/>
                <w:sz w:val="24"/>
              </w:rPr>
              <w:t>序号</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bCs/>
                <w:sz w:val="24"/>
              </w:rPr>
            </w:pPr>
            <w:r>
              <w:rPr>
                <w:rFonts w:hint="eastAsia" w:ascii="宋体" w:hAnsi="宋体" w:cs="宋体"/>
                <w:bCs/>
                <w:sz w:val="24"/>
              </w:rPr>
              <w:t>评审因素</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bCs/>
                <w:sz w:val="24"/>
              </w:rPr>
            </w:pPr>
            <w:r>
              <w:rPr>
                <w:rFonts w:hint="eastAsia" w:ascii="宋体" w:hAnsi="宋体" w:cs="宋体"/>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具有独立承担</w:t>
            </w:r>
          </w:p>
          <w:p>
            <w:pPr>
              <w:tabs>
                <w:tab w:val="left" w:pos="0"/>
              </w:tabs>
              <w:adjustRightInd w:val="0"/>
              <w:snapToGrid w:val="0"/>
              <w:spacing w:line="360" w:lineRule="auto"/>
              <w:jc w:val="center"/>
              <w:rPr>
                <w:rFonts w:ascii="宋体" w:hAnsi="宋体" w:cs="宋体"/>
                <w:bCs/>
                <w:sz w:val="24"/>
              </w:rPr>
            </w:pPr>
            <w:r>
              <w:rPr>
                <w:rFonts w:hint="eastAsia" w:ascii="宋体" w:hAnsi="宋体" w:cs="宋体"/>
                <w:color w:val="000000"/>
                <w:sz w:val="24"/>
              </w:rPr>
              <w:t>民事责任的能力</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sz w:val="24"/>
              </w:rPr>
            </w:pPr>
            <w:r>
              <w:rPr>
                <w:rFonts w:hint="eastAsia" w:ascii="宋体" w:hAnsi="宋体" w:cs="宋体"/>
                <w:sz w:val="24"/>
              </w:rPr>
              <w:t>具有独立承担民事责任能力的法人、其他组织或自然人，提供营业执照/事业单位法人证书/非企业专业服务机构执业许可证/自然人身份证；</w:t>
            </w:r>
          </w:p>
          <w:p>
            <w:pPr>
              <w:pStyle w:val="49"/>
              <w:widowControl/>
              <w:spacing w:line="360" w:lineRule="auto"/>
              <w:ind w:firstLine="0" w:firstLineChars="0"/>
              <w:rPr>
                <w:rFonts w:ascii="宋体" w:hAnsi="宋体" w:cs="宋体"/>
                <w:sz w:val="24"/>
                <w:szCs w:val="24"/>
              </w:rPr>
            </w:pPr>
            <w:r>
              <w:rPr>
                <w:rFonts w:hint="eastAsia" w:ascii="宋体" w:hAnsi="宋体" w:cs="宋体"/>
                <w:b/>
                <w:bCs/>
                <w:color w:val="000000"/>
                <w:sz w:val="24"/>
                <w:szCs w:val="24"/>
              </w:rPr>
              <w:t>评审依据：提供相关证明资料复印件并加盖投标人公章。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bCs/>
                <w:sz w:val="24"/>
              </w:rPr>
            </w:pPr>
            <w:r>
              <w:rPr>
                <w:rFonts w:hint="eastAsia" w:ascii="宋体" w:hAnsi="宋体" w:cs="宋体"/>
                <w:color w:val="000000"/>
                <w:sz w:val="24"/>
              </w:rPr>
              <w:t>具有良好的商业信誉和健全的财务会计制度</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sz w:val="24"/>
              </w:rPr>
            </w:pPr>
            <w:r>
              <w:rPr>
                <w:rFonts w:hint="eastAsia" w:ascii="宋体" w:hAnsi="宋体" w:cs="宋体"/>
                <w:sz w:val="24"/>
              </w:rPr>
              <w:t>提供财务审计资质的单位出具的2020年财务报告，或投标截止时间前三个月内公司存款账户开户银行出具的资信证明，或信用担保机构出具的投标担保函；</w:t>
            </w:r>
          </w:p>
          <w:p>
            <w:pPr>
              <w:pStyle w:val="49"/>
              <w:widowControl/>
              <w:spacing w:line="360" w:lineRule="auto"/>
              <w:ind w:firstLine="0" w:firstLineChars="0"/>
              <w:rPr>
                <w:rFonts w:ascii="宋体" w:hAnsi="宋体" w:cs="宋体"/>
                <w:sz w:val="24"/>
                <w:szCs w:val="24"/>
              </w:rPr>
            </w:pPr>
            <w:r>
              <w:rPr>
                <w:rFonts w:hint="eastAsia" w:ascii="宋体" w:hAnsi="宋体" w:cs="宋体"/>
                <w:b/>
                <w:bCs/>
                <w:color w:val="000000"/>
                <w:sz w:val="24"/>
                <w:szCs w:val="24"/>
              </w:rPr>
              <w:t>评审依据：提供相关证明资料复印件并加盖投标人公章。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有依法缴纳税收和社会保障资金的良好记录</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color w:val="000000"/>
                <w:sz w:val="24"/>
              </w:rPr>
            </w:pPr>
            <w:r>
              <w:rPr>
                <w:rFonts w:hint="eastAsia" w:ascii="宋体" w:hAnsi="宋体" w:cs="宋体"/>
                <w:color w:val="000000"/>
                <w:sz w:val="24"/>
              </w:rPr>
              <w:t>1.提供</w:t>
            </w:r>
            <w:r>
              <w:rPr>
                <w:rFonts w:hint="eastAsia" w:ascii="宋体" w:hAnsi="宋体" w:cs="宋体"/>
                <w:sz w:val="24"/>
              </w:rPr>
              <w:t>投标</w:t>
            </w:r>
            <w:r>
              <w:rPr>
                <w:rFonts w:hint="eastAsia" w:ascii="宋体" w:hAnsi="宋体" w:cs="宋体"/>
                <w:kern w:val="0"/>
                <w:sz w:val="24"/>
              </w:rPr>
              <w:t>截止时间前12个月内任三个月份</w:t>
            </w:r>
            <w:r>
              <w:rPr>
                <w:rFonts w:hint="eastAsia" w:ascii="宋体" w:hAnsi="宋体" w:cs="宋体"/>
                <w:color w:val="000000"/>
                <w:sz w:val="24"/>
              </w:rPr>
              <w:t>的税收完税证明或免税书面承诺书；</w:t>
            </w:r>
          </w:p>
          <w:p>
            <w:pPr>
              <w:tabs>
                <w:tab w:val="left" w:pos="0"/>
              </w:tabs>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color w:val="000000"/>
                <w:sz w:val="24"/>
              </w:rPr>
              <w:t>提供</w:t>
            </w:r>
            <w:r>
              <w:rPr>
                <w:rFonts w:hint="eastAsia" w:ascii="宋体" w:hAnsi="宋体" w:cs="宋体"/>
                <w:sz w:val="24"/>
              </w:rPr>
              <w:t>投标</w:t>
            </w:r>
            <w:r>
              <w:rPr>
                <w:rFonts w:hint="eastAsia" w:ascii="宋体" w:hAnsi="宋体" w:cs="宋体"/>
                <w:kern w:val="0"/>
                <w:sz w:val="24"/>
              </w:rPr>
              <w:t>截止时间前12个月内任三个月份</w:t>
            </w:r>
            <w:r>
              <w:rPr>
                <w:rFonts w:hint="eastAsia" w:ascii="宋体" w:hAnsi="宋体" w:cs="宋体"/>
                <w:color w:val="000000"/>
                <w:sz w:val="24"/>
              </w:rPr>
              <w:t>的社会保障资金缴纳专用收据或社会保险缴纳清单或社会保障资金免缴纳书面承诺书</w:t>
            </w:r>
            <w:r>
              <w:rPr>
                <w:rFonts w:hint="eastAsia" w:ascii="宋体" w:hAnsi="宋体" w:cs="宋体"/>
                <w:sz w:val="24"/>
              </w:rPr>
              <w:t>；</w:t>
            </w:r>
          </w:p>
          <w:p>
            <w:pPr>
              <w:pStyle w:val="49"/>
              <w:widowControl/>
              <w:spacing w:line="360" w:lineRule="auto"/>
              <w:ind w:firstLine="0" w:firstLineChars="0"/>
              <w:rPr>
                <w:rFonts w:ascii="宋体" w:hAnsi="宋体" w:cs="宋体"/>
                <w:sz w:val="24"/>
                <w:szCs w:val="24"/>
              </w:rPr>
            </w:pPr>
            <w:r>
              <w:rPr>
                <w:rFonts w:hint="eastAsia" w:ascii="宋体" w:hAnsi="宋体" w:cs="宋体"/>
                <w:b/>
                <w:bCs/>
                <w:color w:val="000000"/>
                <w:sz w:val="24"/>
                <w:szCs w:val="24"/>
              </w:rPr>
              <w:t>评审依据：提供相关证明资料复印件并加盖投标人公章。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4</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具有履行合同所必需的设备和专业技术能力</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color w:val="000000"/>
                <w:sz w:val="24"/>
              </w:rPr>
            </w:pPr>
            <w:r>
              <w:rPr>
                <w:rFonts w:hint="eastAsia" w:ascii="宋体" w:hAnsi="宋体" w:cs="宋体"/>
                <w:color w:val="000000"/>
                <w:sz w:val="24"/>
              </w:rPr>
              <w:t>提供可充分满足履行合同所需设备和专业技术能力的证明材料或承诺书；</w:t>
            </w:r>
          </w:p>
          <w:p>
            <w:pPr>
              <w:tabs>
                <w:tab w:val="left" w:pos="0"/>
              </w:tabs>
              <w:adjustRightInd w:val="0"/>
              <w:snapToGrid w:val="0"/>
              <w:spacing w:line="360" w:lineRule="auto"/>
              <w:jc w:val="left"/>
              <w:rPr>
                <w:rFonts w:ascii="宋体" w:hAnsi="宋体" w:cs="宋体"/>
                <w:sz w:val="24"/>
              </w:rPr>
            </w:pPr>
            <w:r>
              <w:rPr>
                <w:rFonts w:hint="eastAsia" w:ascii="宋体" w:hAnsi="宋体" w:cs="宋体"/>
                <w:b/>
                <w:bCs/>
                <w:color w:val="000000"/>
                <w:sz w:val="24"/>
              </w:rPr>
              <w:t>评审依据：提供相关证明材料复印件并加盖投标人公章或提供合法有效的承诺书原件。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参加政府采购活动前三年内，在经营活动中没有重大违法记录</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sz w:val="24"/>
              </w:rPr>
            </w:pPr>
            <w:r>
              <w:rPr>
                <w:rFonts w:hint="eastAsia" w:ascii="宋体" w:hAnsi="宋体" w:cs="宋体"/>
                <w:sz w:val="24"/>
              </w:rPr>
              <w:t>提供合法有效的参加政府采购活动前3年内在经营活动中没有重大违法记录的书面声明书；</w:t>
            </w:r>
          </w:p>
          <w:p>
            <w:pPr>
              <w:pStyle w:val="49"/>
              <w:widowControl/>
              <w:spacing w:line="360" w:lineRule="auto"/>
              <w:ind w:firstLine="0" w:firstLineChars="0"/>
              <w:rPr>
                <w:rFonts w:ascii="宋体" w:hAnsi="宋体" w:cs="宋体"/>
                <w:sz w:val="24"/>
                <w:szCs w:val="24"/>
              </w:rPr>
            </w:pPr>
            <w:r>
              <w:rPr>
                <w:rFonts w:hint="eastAsia" w:ascii="宋体" w:hAnsi="宋体" w:cs="宋体"/>
                <w:b/>
                <w:bCs/>
                <w:color w:val="000000"/>
                <w:sz w:val="24"/>
                <w:szCs w:val="24"/>
              </w:rPr>
              <w:t>评审依据：提供合法有效的书面声明书原件。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6</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bCs/>
                <w:sz w:val="24"/>
              </w:rPr>
            </w:pPr>
            <w:r>
              <w:rPr>
                <w:rFonts w:hint="eastAsia" w:ascii="宋体" w:hAnsi="宋体" w:cs="宋体"/>
                <w:color w:val="000000"/>
                <w:sz w:val="24"/>
              </w:rPr>
              <w:t>“信用中国”网站和“中国政府采购网”查询记录</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bCs/>
                <w:sz w:val="24"/>
              </w:rPr>
            </w:pPr>
            <w:r>
              <w:rPr>
                <w:rFonts w:hint="eastAsia" w:ascii="宋体" w:hAnsi="宋体" w:cs="宋体"/>
                <w:color w:val="000000"/>
                <w:sz w:val="24"/>
              </w:rPr>
              <w:t>未被“信用中国”网站</w:t>
            </w:r>
            <w:r>
              <w:fldChar w:fldCharType="begin"/>
            </w:r>
            <w:r>
              <w:instrText xml:space="preserve"> HYPERLINK "http://www.creditchina.gov.cn）中列入失信被执行人和/" </w:instrText>
            </w:r>
            <w:r>
              <w:fldChar w:fldCharType="separate"/>
            </w:r>
            <w:r>
              <w:rPr>
                <w:rStyle w:val="22"/>
                <w:rFonts w:hint="eastAsia" w:ascii="宋体" w:hAnsi="宋体" w:cs="宋体"/>
                <w:color w:val="000000"/>
                <w:sz w:val="24"/>
              </w:rPr>
              <w:t>中列入失信被执行人和</w:t>
            </w:r>
            <w:r>
              <w:rPr>
                <w:rStyle w:val="22"/>
                <w:rFonts w:hint="eastAsia" w:ascii="宋体" w:hAnsi="宋体" w:cs="宋体"/>
                <w:color w:val="000000"/>
                <w:sz w:val="24"/>
              </w:rPr>
              <w:fldChar w:fldCharType="end"/>
            </w:r>
            <w:r>
              <w:rPr>
                <w:rFonts w:hint="eastAsia" w:ascii="宋体" w:hAnsi="宋体" w:cs="宋体"/>
                <w:color w:val="000000"/>
                <w:sz w:val="24"/>
              </w:rPr>
              <w:t>重大税收违法案件当事人名单的供应商、未被“中国政府采购网”列入政府采购严重违法失信行为记录名单中被财政部门禁止参加政府采购活动的供应商。</w:t>
            </w:r>
            <w:r>
              <w:rPr>
                <w:rFonts w:hint="eastAsia" w:ascii="宋体" w:hAnsi="宋体" w:cs="宋体"/>
                <w:b/>
                <w:bCs/>
                <w:color w:val="000000"/>
                <w:kern w:val="0"/>
                <w:sz w:val="24"/>
              </w:rPr>
              <w:t>以开标现场网上查询结果为评审依据，投标文件中可不提供。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color w:val="000000"/>
                <w:sz w:val="24"/>
              </w:rPr>
            </w:pPr>
            <w:r>
              <w:rPr>
                <w:rFonts w:hint="eastAsia" w:ascii="宋体" w:hAnsi="宋体" w:cs="宋体"/>
                <w:color w:val="000000"/>
                <w:sz w:val="24"/>
              </w:rPr>
              <w:t>7</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ascii="宋体" w:hAnsi="宋体" w:cs="宋体"/>
                <w:bCs/>
                <w:sz w:val="24"/>
              </w:rPr>
            </w:pPr>
            <w:r>
              <w:rPr>
                <w:rFonts w:hint="eastAsia" w:ascii="宋体" w:hAnsi="宋体" w:cs="宋体"/>
                <w:color w:val="000000"/>
                <w:sz w:val="24"/>
              </w:rPr>
              <w:t>单位负责人为同一人或者存在直接控股、管理关系的不同投标人，不得同时参加同一标项投标。</w:t>
            </w:r>
          </w:p>
        </w:tc>
        <w:tc>
          <w:tcPr>
            <w:tcW w:w="6201"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color w:val="000000"/>
                <w:sz w:val="24"/>
              </w:rPr>
            </w:pPr>
            <w:r>
              <w:rPr>
                <w:rFonts w:hint="eastAsia" w:ascii="宋体" w:hAnsi="宋体" w:cs="宋体"/>
                <w:color w:val="000000"/>
                <w:sz w:val="24"/>
              </w:rPr>
              <w:t>提供“供应商关联企业情况声明书”。各投标人之间不存在单位负责人为同一人或者存在控股、管理关系情形。</w:t>
            </w:r>
          </w:p>
          <w:p>
            <w:pPr>
              <w:tabs>
                <w:tab w:val="left" w:pos="0"/>
              </w:tabs>
              <w:adjustRightInd w:val="0"/>
              <w:snapToGrid w:val="0"/>
              <w:spacing w:line="360" w:lineRule="auto"/>
              <w:jc w:val="left"/>
              <w:rPr>
                <w:rFonts w:ascii="宋体" w:hAnsi="宋体" w:cs="宋体"/>
                <w:bCs/>
                <w:sz w:val="24"/>
              </w:rPr>
            </w:pPr>
            <w:r>
              <w:rPr>
                <w:rFonts w:hint="eastAsia" w:ascii="宋体" w:hAnsi="宋体" w:cs="宋体"/>
                <w:b/>
                <w:bCs/>
                <w:color w:val="000000"/>
                <w:kern w:val="0"/>
                <w:sz w:val="24"/>
              </w:rPr>
              <w:t>评审依据：提供合法有效的声明书原件。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tcBorders>
              <w:top w:val="single" w:color="auto" w:sz="4" w:space="0"/>
              <w:left w:val="single" w:color="auto" w:sz="4" w:space="0"/>
              <w:bottom w:val="single" w:color="auto" w:sz="4" w:space="0"/>
              <w:right w:val="single" w:color="auto" w:sz="4" w:space="0"/>
            </w:tcBorders>
          </w:tcPr>
          <w:p>
            <w:pPr>
              <w:tabs>
                <w:tab w:val="left" w:pos="0"/>
              </w:tabs>
              <w:adjustRightInd w:val="0"/>
              <w:snapToGrid w:val="0"/>
              <w:spacing w:line="360" w:lineRule="auto"/>
              <w:jc w:val="left"/>
              <w:rPr>
                <w:rFonts w:ascii="宋体" w:hAnsi="宋体" w:cs="宋体"/>
                <w:bCs/>
                <w:sz w:val="24"/>
              </w:rPr>
            </w:pPr>
          </w:p>
        </w:tc>
        <w:tc>
          <w:tcPr>
            <w:tcW w:w="9036"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left"/>
              <w:rPr>
                <w:rFonts w:ascii="宋体" w:hAnsi="宋体" w:cs="宋体"/>
                <w:b/>
                <w:bCs/>
                <w:sz w:val="24"/>
              </w:rPr>
            </w:pPr>
            <w:r>
              <w:rPr>
                <w:rFonts w:hint="eastAsia" w:ascii="宋体" w:hAnsi="宋体" w:cs="宋体"/>
                <w:b/>
                <w:bCs/>
                <w:sz w:val="24"/>
              </w:rPr>
              <w:t>注：以上为必备资质，缺一项或某项达不到要求，按无效投标处理，不再进入后续评审阶段。</w:t>
            </w:r>
          </w:p>
        </w:tc>
      </w:tr>
    </w:tbl>
    <w:p>
      <w:pPr>
        <w:spacing w:line="360" w:lineRule="auto"/>
        <w:rPr>
          <w:rFonts w:ascii="宋体" w:hAnsi="宋体" w:cs="宋体"/>
          <w:bCs/>
          <w:spacing w:val="4"/>
        </w:rPr>
      </w:pPr>
    </w:p>
    <w:p>
      <w:pPr>
        <w:spacing w:line="360" w:lineRule="auto"/>
        <w:rPr>
          <w:rFonts w:ascii="宋体" w:hAnsi="宋体" w:cs="宋体"/>
          <w:bCs/>
          <w:spacing w:val="4"/>
          <w:sz w:val="24"/>
        </w:rPr>
      </w:pPr>
      <w:r>
        <w:rPr>
          <w:rFonts w:hint="eastAsia" w:ascii="宋体" w:hAnsi="宋体" w:cs="宋体"/>
          <w:bCs/>
          <w:spacing w:val="4"/>
          <w:szCs w:val="21"/>
        </w:rPr>
        <w:br w:type="page"/>
      </w:r>
      <w:r>
        <w:rPr>
          <w:rFonts w:hint="eastAsia" w:ascii="宋体" w:hAnsi="宋体" w:cs="宋体"/>
          <w:b/>
          <w:spacing w:val="4"/>
          <w:sz w:val="24"/>
        </w:rPr>
        <w:t>附表二：</w:t>
      </w:r>
    </w:p>
    <w:p>
      <w:pPr>
        <w:spacing w:line="440" w:lineRule="exact"/>
        <w:ind w:right="40" w:rightChars="19" w:firstLine="482" w:firstLineChars="200"/>
        <w:jc w:val="center"/>
        <w:rPr>
          <w:rFonts w:ascii="宋体" w:hAnsi="宋体" w:cs="宋体"/>
          <w:b/>
          <w:bCs/>
          <w:sz w:val="24"/>
        </w:rPr>
      </w:pPr>
      <w:r>
        <w:rPr>
          <w:rFonts w:hint="eastAsia" w:ascii="宋体" w:hAnsi="宋体" w:cs="宋体"/>
          <w:b/>
          <w:bCs/>
          <w:sz w:val="24"/>
        </w:rPr>
        <w:t>符合性审查表</w:t>
      </w:r>
    </w:p>
    <w:tbl>
      <w:tblPr>
        <w:tblStyle w:val="16"/>
        <w:tblW w:w="94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983"/>
        <w:gridCol w:w="5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b/>
                <w:caps/>
                <w:sz w:val="24"/>
              </w:rPr>
            </w:pPr>
            <w:r>
              <w:rPr>
                <w:rFonts w:hint="eastAsia" w:ascii="宋体" w:hAnsi="宋体" w:cs="宋体"/>
                <w:b/>
                <w:caps/>
                <w:sz w:val="24"/>
              </w:rPr>
              <w:t>序号</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b/>
                <w:caps/>
                <w:sz w:val="24"/>
              </w:rPr>
            </w:pPr>
            <w:r>
              <w:rPr>
                <w:rFonts w:hint="eastAsia" w:ascii="宋体" w:hAnsi="宋体" w:cs="宋体"/>
                <w:b/>
                <w:caps/>
                <w:sz w:val="24"/>
              </w:rPr>
              <w:t>评审因素</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b/>
                <w:caps/>
                <w:sz w:val="24"/>
              </w:rPr>
            </w:pPr>
            <w:r>
              <w:rPr>
                <w:rFonts w:hint="eastAsia" w:ascii="宋体" w:hAnsi="宋体" w:cs="宋体"/>
                <w:b/>
                <w:caps/>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1</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投标文件签署及盖章</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投标文件上法定代表人或被授权人的签字齐全，需要加盖公章的盖章齐全无遗漏。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2</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bCs/>
                <w:sz w:val="24"/>
              </w:rPr>
              <w:t>投标报价</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bCs/>
                <w:sz w:val="24"/>
              </w:rPr>
              <w:t>只能有一个有效报价，不得提交选择性报价，且报价不超过最高限价；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3</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附加条件</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color w:val="000000"/>
                <w:sz w:val="24"/>
              </w:rPr>
              <w:t>响应</w:t>
            </w:r>
            <w:r>
              <w:rPr>
                <w:rFonts w:hint="eastAsia" w:ascii="宋体" w:hAnsi="宋体" w:cs="宋体"/>
                <w:sz w:val="24"/>
              </w:rPr>
              <w:t>文件不含有采购人不能接受的附加条件；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4</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报价合理性</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color w:val="000000"/>
                <w:sz w:val="24"/>
              </w:rPr>
            </w:pPr>
            <w:r>
              <w:rPr>
                <w:rFonts w:hint="eastAsia" w:ascii="宋体" w:hAnsi="宋体" w:cs="宋体"/>
                <w:color w:val="000000"/>
                <w:sz w:val="24"/>
              </w:rPr>
              <w:t>投标人的报价明显低于其他通过符合性审查投标人的报价，有可能影响服务质量或者不能诚信履约的，且投标人不能证明其报价合理性的。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5</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投标有效期</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投标有效期满足招标文件要求的；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6</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bCs/>
                <w:sz w:val="24"/>
              </w:rPr>
              <w:t>投标文件内容</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bCs/>
                <w:sz w:val="24"/>
              </w:rPr>
              <w:t>投标文件内容</w:t>
            </w:r>
            <w:r>
              <w:rPr>
                <w:rFonts w:hint="eastAsia" w:ascii="宋体" w:hAnsi="宋体" w:cs="宋体"/>
                <w:sz w:val="24"/>
              </w:rPr>
              <w:t>无实质性遗漏；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7</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服务工期</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82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jc w:val="center"/>
              <w:textAlignment w:val="baseline"/>
              <w:rPr>
                <w:rFonts w:ascii="宋体" w:hAnsi="宋体" w:cs="宋体"/>
                <w:sz w:val="24"/>
              </w:rPr>
            </w:pPr>
            <w:r>
              <w:rPr>
                <w:rFonts w:hint="eastAsia" w:ascii="宋体" w:hAnsi="宋体" w:cs="宋体"/>
                <w:sz w:val="24"/>
              </w:rPr>
              <w:t>8</w:t>
            </w:r>
          </w:p>
        </w:tc>
        <w:tc>
          <w:tcPr>
            <w:tcW w:w="2984"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质量</w:t>
            </w:r>
          </w:p>
        </w:tc>
        <w:tc>
          <w:tcPr>
            <w:tcW w:w="564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sz w:val="24"/>
              </w:rPr>
              <w:t>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454" w:type="dxa"/>
            <w:gridSpan w:val="3"/>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40" w:lineRule="exact"/>
              <w:textAlignment w:val="baseline"/>
              <w:rPr>
                <w:rFonts w:ascii="宋体" w:hAnsi="宋体" w:cs="宋体"/>
                <w:sz w:val="24"/>
              </w:rPr>
            </w:pPr>
            <w:r>
              <w:rPr>
                <w:rFonts w:hint="eastAsia" w:ascii="宋体" w:hAnsi="宋体" w:cs="宋体"/>
                <w:b/>
                <w:sz w:val="24"/>
              </w:rPr>
              <w:t>注：以上内容</w:t>
            </w:r>
            <w:r>
              <w:rPr>
                <w:rFonts w:hint="eastAsia" w:ascii="宋体" w:hAnsi="宋体" w:cs="宋体"/>
                <w:b/>
                <w:bCs/>
                <w:sz w:val="24"/>
              </w:rPr>
              <w:t>有一项不符合评审标准的，将被视为未实质性响应招标文件，按无效投标处理，不再进入后续评审阶段。</w:t>
            </w:r>
          </w:p>
        </w:tc>
      </w:tr>
    </w:tbl>
    <w:p>
      <w:pPr>
        <w:spacing w:line="440" w:lineRule="exact"/>
        <w:ind w:right="40" w:rightChars="19" w:firstLine="482" w:firstLineChars="200"/>
        <w:jc w:val="center"/>
        <w:rPr>
          <w:rFonts w:ascii="宋体" w:hAnsi="宋体" w:cs="宋体"/>
          <w:b/>
          <w:bCs/>
          <w:sz w:val="24"/>
        </w:rPr>
      </w:pPr>
    </w:p>
    <w:p>
      <w:pPr>
        <w:spacing w:line="360" w:lineRule="auto"/>
        <w:rPr>
          <w:rFonts w:ascii="宋体" w:hAnsi="宋体" w:cs="宋体"/>
          <w:b/>
          <w:spacing w:val="4"/>
          <w:sz w:val="24"/>
        </w:rPr>
      </w:pPr>
      <w:r>
        <w:rPr>
          <w:rFonts w:hint="eastAsia" w:ascii="宋体" w:hAnsi="宋体" w:cs="宋体"/>
          <w:b/>
          <w:spacing w:val="4"/>
          <w:sz w:val="24"/>
        </w:rPr>
        <w:br w:type="page"/>
      </w:r>
      <w:r>
        <w:rPr>
          <w:rFonts w:hint="eastAsia" w:ascii="宋体" w:hAnsi="宋体" w:cs="宋体"/>
          <w:b/>
          <w:spacing w:val="4"/>
          <w:sz w:val="24"/>
        </w:rPr>
        <w:t xml:space="preserve">附表三：                         </w:t>
      </w:r>
    </w:p>
    <w:p>
      <w:pPr>
        <w:spacing w:line="360" w:lineRule="auto"/>
        <w:jc w:val="center"/>
        <w:rPr>
          <w:rFonts w:ascii="宋体" w:hAnsi="宋体" w:cs="宋体"/>
          <w:b/>
          <w:spacing w:val="4"/>
          <w:sz w:val="24"/>
        </w:rPr>
      </w:pPr>
      <w:r>
        <w:rPr>
          <w:rFonts w:hint="eastAsia" w:ascii="宋体" w:hAnsi="宋体" w:cs="宋体"/>
          <w:b/>
          <w:spacing w:val="4"/>
          <w:sz w:val="24"/>
        </w:rPr>
        <w:t>详细审查表</w:t>
      </w:r>
    </w:p>
    <w:tbl>
      <w:tblPr>
        <w:tblStyle w:val="16"/>
        <w:tblpPr w:leftFromText="180" w:rightFromText="180" w:vertAnchor="text" w:horzAnchor="page" w:tblpX="1562" w:tblpY="468"/>
        <w:tblOverlap w:val="never"/>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78"/>
        <w:gridCol w:w="636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trPr>
        <w:tc>
          <w:tcPr>
            <w:tcW w:w="845" w:type="dxa"/>
            <w:tcBorders>
              <w:top w:val="single" w:color="auto" w:sz="4" w:space="0"/>
              <w:left w:val="single" w:color="auto" w:sz="4" w:space="0"/>
              <w:bottom w:val="single" w:color="auto" w:sz="4" w:space="0"/>
              <w:right w:val="single" w:color="auto" w:sz="4" w:space="0"/>
            </w:tcBorders>
            <w:vAlign w:val="center"/>
          </w:tcPr>
          <w:p>
            <w:pPr>
              <w:pStyle w:val="9"/>
              <w:widowControl/>
              <w:ind w:left="5250"/>
              <w:jc w:val="center"/>
              <w:rPr>
                <w:rFonts w:ascii="宋体" w:hAnsi="宋体" w:cs="宋体"/>
                <w:b/>
                <w:bCs/>
                <w:kern w:val="0"/>
                <w:sz w:val="24"/>
                <w:szCs w:val="24"/>
              </w:rPr>
            </w:pPr>
            <w:r>
              <w:rPr>
                <w:rFonts w:hint="eastAsia" w:ascii="宋体" w:hAnsi="宋体" w:cs="宋体"/>
                <w:b/>
                <w:bCs/>
                <w:kern w:val="0"/>
                <w:sz w:val="24"/>
                <w:szCs w:val="24"/>
              </w:rPr>
              <w:t>类别</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总分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评标因素</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价格</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18" w:firstLineChars="49"/>
              <w:rPr>
                <w:rFonts w:ascii="宋体" w:hAnsi="宋体" w:cs="宋体"/>
                <w:b/>
                <w:bCs/>
                <w:sz w:val="24"/>
              </w:rPr>
            </w:pPr>
            <w:r>
              <w:rPr>
                <w:rFonts w:hint="eastAsia" w:ascii="宋体" w:hAnsi="宋体" w:cs="宋体"/>
                <w:b/>
                <w:bCs/>
                <w:sz w:val="24"/>
              </w:rPr>
              <w:t>40分</w:t>
            </w: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b/>
                <w:color w:val="000000"/>
                <w:sz w:val="24"/>
              </w:rPr>
            </w:pPr>
            <w:r>
              <w:rPr>
                <w:rFonts w:hint="eastAsia" w:ascii="宋体" w:hAnsi="宋体" w:cs="宋体"/>
                <w:b/>
                <w:color w:val="000000"/>
                <w:sz w:val="24"/>
              </w:rPr>
              <w:t>投标总报价（40分）：</w:t>
            </w:r>
          </w:p>
          <w:p>
            <w:pPr>
              <w:pStyle w:val="15"/>
              <w:widowControl/>
              <w:spacing w:line="360" w:lineRule="auto"/>
              <w:ind w:firstLine="0" w:firstLineChars="0"/>
              <w:jc w:val="left"/>
              <w:rPr>
                <w:rFonts w:ascii="宋体" w:hAnsi="宋体" w:cs="宋体"/>
                <w:sz w:val="24"/>
              </w:rPr>
            </w:pPr>
            <w:r>
              <w:rPr>
                <w:rFonts w:hint="eastAsia" w:ascii="宋体" w:hAnsi="宋体" w:cs="宋体"/>
                <w:sz w:val="24"/>
              </w:rPr>
              <w:t>1.满足招标文件实质性要求且最终报价最低的投标人的价格为投标基准价，其价格分为满分40分。</w:t>
            </w:r>
          </w:p>
          <w:p>
            <w:pPr>
              <w:pStyle w:val="15"/>
              <w:widowControl/>
              <w:spacing w:line="360" w:lineRule="auto"/>
              <w:ind w:firstLine="0" w:firstLineChars="0"/>
              <w:jc w:val="left"/>
              <w:rPr>
                <w:rFonts w:ascii="宋体" w:hAnsi="宋体" w:cs="宋体"/>
                <w:sz w:val="24"/>
              </w:rPr>
            </w:pPr>
            <w:r>
              <w:rPr>
                <w:rFonts w:hint="eastAsia" w:ascii="宋体" w:hAnsi="宋体" w:cs="宋体"/>
                <w:sz w:val="24"/>
              </w:rPr>
              <w:t>2.投标报价得分=（投标基准价/最终投标报价）×40的公式计算得分。</w:t>
            </w:r>
          </w:p>
          <w:p>
            <w:pPr>
              <w:pStyle w:val="15"/>
              <w:widowControl/>
              <w:spacing w:line="360" w:lineRule="auto"/>
              <w:ind w:firstLine="0" w:firstLineChars="0"/>
              <w:jc w:val="left"/>
              <w:rPr>
                <w:rFonts w:ascii="宋体" w:hAnsi="宋体" w:cs="宋体"/>
                <w:sz w:val="24"/>
              </w:rPr>
            </w:pPr>
            <w:r>
              <w:rPr>
                <w:rFonts w:hint="eastAsia" w:ascii="宋体" w:hAnsi="宋体" w:cs="宋体"/>
                <w:sz w:val="24"/>
              </w:rPr>
              <w:t xml:space="preserve">注：投标基准价即实质性响应招标文件要求的投标人的最低投标报价。超出采购预算的投标报价在评审过程中报价按废标处理。因落实政府采购政策进行价格调整的，以调整后的价格计算评标基准价和投标报价。  </w:t>
            </w:r>
          </w:p>
          <w:p>
            <w:pPr>
              <w:pStyle w:val="15"/>
              <w:widowControl/>
              <w:spacing w:line="360" w:lineRule="auto"/>
              <w:ind w:firstLine="0" w:firstLineChars="0"/>
              <w:jc w:val="left"/>
              <w:rPr>
                <w:rFonts w:ascii="宋体" w:hAnsi="宋体" w:cs="宋体"/>
                <w:sz w:val="24"/>
              </w:rPr>
            </w:pPr>
            <w:r>
              <w:rPr>
                <w:rFonts w:hint="eastAsia" w:ascii="宋体" w:hAnsi="宋体" w:cs="宋体"/>
                <w:sz w:val="24"/>
              </w:rPr>
              <w:t>3.投标报价不完整的，不进入评标标准价的计算，本项得0分。</w:t>
            </w:r>
          </w:p>
          <w:p>
            <w:pPr>
              <w:pStyle w:val="15"/>
              <w:widowControl/>
              <w:spacing w:line="360" w:lineRule="auto"/>
              <w:ind w:firstLine="0" w:firstLineChars="0"/>
              <w:jc w:val="left"/>
              <w:rPr>
                <w:rFonts w:ascii="宋体" w:hAnsi="宋体" w:cs="宋体"/>
                <w:color w:val="000000"/>
                <w:sz w:val="24"/>
              </w:rPr>
            </w:pPr>
            <w:r>
              <w:rPr>
                <w:rFonts w:hint="eastAsia" w:ascii="宋体" w:hAnsi="宋体" w:cs="宋体"/>
                <w:sz w:val="24"/>
              </w:rPr>
              <w:t xml:space="preserve">4.经评委一致认定，投标人的投标最终总报价低于公认市场成本，或超过采购预算,其投标将被拒绝。  </w:t>
            </w:r>
            <w:r>
              <w:rPr>
                <w:rFonts w:hint="eastAsia" w:ascii="宋体" w:hAnsi="宋体" w:cs="宋体"/>
                <w:b/>
                <w:color w:val="000000"/>
                <w:sz w:val="24"/>
              </w:rPr>
              <w:t xml:space="preserve">                       </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技术方案</w:t>
            </w:r>
          </w:p>
        </w:tc>
        <w:tc>
          <w:tcPr>
            <w:tcW w:w="12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118" w:firstLineChars="49"/>
              <w:rPr>
                <w:rFonts w:ascii="宋体" w:hAnsi="宋体" w:cs="宋体"/>
                <w:b/>
                <w:bCs/>
                <w:sz w:val="24"/>
              </w:rPr>
            </w:pPr>
            <w:r>
              <w:rPr>
                <w:rFonts w:hint="eastAsia" w:ascii="宋体" w:hAnsi="宋体" w:cs="宋体"/>
                <w:b/>
                <w:bCs/>
                <w:sz w:val="24"/>
              </w:rPr>
              <w:t>40分</w:t>
            </w: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①现状分析，需求理解与分析，计算、存储、网络扩容及对接方案（10分）；</w:t>
            </w:r>
          </w:p>
          <w:p>
            <w:pPr>
              <w:pStyle w:val="15"/>
              <w:widowControl/>
              <w:spacing w:line="360" w:lineRule="auto"/>
              <w:ind w:firstLine="0" w:firstLineChars="0"/>
              <w:jc w:val="left"/>
              <w:rPr>
                <w:rFonts w:ascii="宋体" w:hAnsi="宋体" w:cs="宋体"/>
                <w:sz w:val="24"/>
              </w:rPr>
            </w:pPr>
            <w:r>
              <w:rPr>
                <w:rFonts w:hint="eastAsia" w:ascii="宋体" w:hAnsi="宋体" w:cs="宋体"/>
                <w:b/>
                <w:bCs/>
                <w:sz w:val="24"/>
              </w:rPr>
              <w:t>评审依据：投标供应商所提供方案应与原平台实现无缝对接，具有较好的操作性及维护性；</w:t>
            </w:r>
            <w:r>
              <w:rPr>
                <w:rFonts w:hint="eastAsia" w:ascii="宋体" w:hAnsi="宋体" w:cs="宋体"/>
                <w:sz w:val="24"/>
              </w:rPr>
              <w:t>方案合理、内容全面、可操作性强的计8-10分；方案较合理、内容较全面、可操作性较好计5-7.9分，方案不够合理、内容不够全面、可操作性一般计0-4.9分。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②同步分区负载平台、数据交换共享平台建设方案及软硬件实施部署方案（10分）。</w:t>
            </w:r>
          </w:p>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评审依据：须对各个组成部分准确定位，能充分体现建设目标、建设内容、建设方式及软硬件实施部署方案，实施方案应具有较好的时效性（进度）、保障性（确保业务不可停机）；</w:t>
            </w:r>
            <w:r>
              <w:rPr>
                <w:rFonts w:hint="eastAsia" w:ascii="宋体" w:hAnsi="宋体" w:cs="宋体"/>
                <w:sz w:val="24"/>
              </w:rPr>
              <w:t>方案合理、内容全面、可操作性强的计8-10分；方案较合理、内容较全面、可操作性较好计5-7.9分，方案不够合理、内容不够全面、可操作性一般计0-4.9分。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6361" w:type="dxa"/>
            <w:tcBorders>
              <w:top w:val="single" w:color="auto" w:sz="4" w:space="0"/>
              <w:left w:val="single" w:color="auto" w:sz="4" w:space="0"/>
              <w:bottom w:val="single" w:color="auto" w:sz="4" w:space="0"/>
              <w:right w:val="single" w:color="auto" w:sz="4" w:space="0"/>
            </w:tcBorders>
            <w:vAlign w:val="center"/>
          </w:tcPr>
          <w:p>
            <w:pPr>
              <w:pStyle w:val="51"/>
              <w:jc w:val="left"/>
              <w:rPr>
                <w:rFonts w:ascii="宋体" w:hAnsi="宋体" w:cs="宋体"/>
                <w:b/>
                <w:bCs/>
              </w:rPr>
            </w:pPr>
            <w:r>
              <w:rPr>
                <w:rFonts w:hint="eastAsia" w:ascii="宋体" w:hAnsi="宋体" w:cs="宋体"/>
                <w:b/>
                <w:bCs/>
              </w:rPr>
              <w:t>③项目团队配置（5分）：</w:t>
            </w:r>
          </w:p>
          <w:p>
            <w:pPr>
              <w:pStyle w:val="51"/>
              <w:jc w:val="left"/>
              <w:rPr>
                <w:rFonts w:ascii="宋体" w:hAnsi="宋体" w:cs="宋体"/>
              </w:rPr>
            </w:pPr>
            <w:r>
              <w:rPr>
                <w:rFonts w:hint="eastAsia" w:ascii="宋体" w:hAnsi="宋体" w:cs="宋体"/>
                <w:b/>
                <w:bCs/>
              </w:rPr>
              <w:t>A.项目经理要求：</w:t>
            </w:r>
            <w:r>
              <w:rPr>
                <w:rFonts w:hint="eastAsia" w:ascii="宋体" w:hAnsi="宋体" w:cs="宋体"/>
              </w:rPr>
              <w:t>每满足一项得1分，最多得2分。</w:t>
            </w:r>
          </w:p>
          <w:p>
            <w:pPr>
              <w:pStyle w:val="51"/>
              <w:jc w:val="left"/>
              <w:rPr>
                <w:rFonts w:ascii="宋体" w:hAnsi="宋体" w:cs="宋体"/>
              </w:rPr>
            </w:pPr>
            <w:r>
              <w:rPr>
                <w:rFonts w:hint="eastAsia" w:ascii="宋体" w:hAnsi="宋体" w:cs="宋体"/>
              </w:rPr>
              <w:t>a.具备高级工程师证书或项目管理师证书或PMP证书。</w:t>
            </w:r>
          </w:p>
          <w:p>
            <w:pPr>
              <w:pStyle w:val="51"/>
              <w:jc w:val="left"/>
              <w:rPr>
                <w:rFonts w:ascii="宋体" w:hAnsi="宋体" w:cs="宋体"/>
              </w:rPr>
            </w:pPr>
            <w:r>
              <w:rPr>
                <w:rFonts w:hint="eastAsia" w:ascii="宋体" w:hAnsi="宋体" w:cs="宋体"/>
              </w:rPr>
              <w:t>b.工信部颁发的系统架构师证书。</w:t>
            </w:r>
          </w:p>
          <w:p>
            <w:pPr>
              <w:pStyle w:val="51"/>
              <w:jc w:val="left"/>
              <w:rPr>
                <w:rFonts w:ascii="宋体" w:hAnsi="宋体" w:cs="宋体"/>
              </w:rPr>
            </w:pPr>
            <w:r>
              <w:rPr>
                <w:rFonts w:hint="eastAsia" w:ascii="宋体" w:hAnsi="宋体" w:cs="宋体"/>
                <w:b/>
                <w:bCs/>
              </w:rPr>
              <w:t>B.项目实施团队要求：</w:t>
            </w:r>
            <w:r>
              <w:rPr>
                <w:rFonts w:hint="eastAsia" w:ascii="宋体" w:hAnsi="宋体" w:cs="宋体"/>
              </w:rPr>
              <w:t>每满足一项得1分，最多得3分。</w:t>
            </w:r>
          </w:p>
          <w:p>
            <w:pPr>
              <w:pStyle w:val="51"/>
              <w:jc w:val="left"/>
              <w:rPr>
                <w:rFonts w:ascii="宋体" w:hAnsi="宋体" w:cs="宋体"/>
              </w:rPr>
            </w:pPr>
            <w:r>
              <w:rPr>
                <w:rFonts w:hint="eastAsia" w:ascii="宋体" w:hAnsi="宋体" w:cs="宋体"/>
              </w:rPr>
              <w:t>a.项目实施团队中不少于2人具有CCIE/HCIE认证或同等资质工程师证书。</w:t>
            </w:r>
          </w:p>
          <w:p>
            <w:pPr>
              <w:pStyle w:val="51"/>
              <w:jc w:val="left"/>
              <w:rPr>
                <w:rFonts w:ascii="宋体" w:hAnsi="宋体" w:cs="宋体"/>
              </w:rPr>
            </w:pPr>
            <w:r>
              <w:rPr>
                <w:rFonts w:hint="eastAsia" w:ascii="宋体" w:hAnsi="宋体" w:cs="宋体"/>
              </w:rPr>
              <w:t>b.项目实施团队中有不少于1人具有ORACLE OCP或同等级别证书。</w:t>
            </w:r>
          </w:p>
          <w:p>
            <w:pPr>
              <w:pStyle w:val="51"/>
              <w:jc w:val="left"/>
              <w:rPr>
                <w:rFonts w:ascii="宋体" w:hAnsi="宋体" w:cs="宋体"/>
              </w:rPr>
            </w:pPr>
            <w:r>
              <w:rPr>
                <w:rFonts w:hint="eastAsia" w:ascii="宋体" w:hAnsi="宋体" w:cs="宋体"/>
              </w:rPr>
              <w:t>c.项目实施团队中有不少于2人具有虚拟化、云计算产品高级认证工程师。</w:t>
            </w:r>
          </w:p>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备注：以上本项目实施交付人员均需提供开标截止日前六个月内任意连续三个月由社会保障部门出具的社保缴纳证明复印件，加盖投标人公章，否则相应项不得分。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④技术指标满足度（15分）：</w:t>
            </w:r>
          </w:p>
          <w:p>
            <w:pPr>
              <w:pStyle w:val="15"/>
              <w:widowControl/>
              <w:numPr>
                <w:ilvl w:val="0"/>
                <w:numId w:val="4"/>
              </w:numPr>
              <w:spacing w:line="360" w:lineRule="auto"/>
              <w:ind w:firstLine="0" w:firstLineChars="0"/>
              <w:jc w:val="left"/>
              <w:rPr>
                <w:rFonts w:ascii="宋体" w:hAnsi="宋体" w:cs="宋体"/>
                <w:b/>
                <w:bCs/>
                <w:sz w:val="24"/>
              </w:rPr>
            </w:pPr>
            <w:r>
              <w:rPr>
                <w:rFonts w:hint="eastAsia" w:ascii="宋体" w:hAnsi="宋体" w:cs="宋体"/>
                <w:b/>
                <w:bCs/>
                <w:sz w:val="24"/>
              </w:rPr>
              <w:t>技术参数明确、配置齐全、功能满足招标文件要求且来源渠道正常，有质量保证；</w:t>
            </w:r>
          </w:p>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评审依据：提供相关证明资料复印件并加盖投标人公章；</w:t>
            </w:r>
            <w:r>
              <w:rPr>
                <w:rFonts w:hint="eastAsia" w:ascii="宋体" w:hAnsi="宋体" w:cs="宋体"/>
                <w:sz w:val="24"/>
              </w:rPr>
              <w:t>证明材料全面计8-12分，证明材料较全面4-7.9分，证明材料不全计0-3.9分；</w:t>
            </w:r>
          </w:p>
          <w:p>
            <w:pPr>
              <w:pStyle w:val="15"/>
              <w:widowControl/>
              <w:numPr>
                <w:ilvl w:val="0"/>
                <w:numId w:val="4"/>
              </w:numPr>
              <w:spacing w:line="360" w:lineRule="auto"/>
              <w:ind w:firstLine="0" w:firstLineChars="0"/>
              <w:jc w:val="left"/>
              <w:rPr>
                <w:rFonts w:ascii="宋体" w:hAnsi="宋体" w:cs="宋体"/>
                <w:b/>
                <w:bCs/>
                <w:sz w:val="24"/>
              </w:rPr>
            </w:pPr>
            <w:r>
              <w:rPr>
                <w:rFonts w:hint="eastAsia" w:ascii="宋体" w:hAnsi="宋体" w:cs="宋体"/>
                <w:b/>
                <w:bCs/>
                <w:sz w:val="24"/>
              </w:rPr>
              <w:t>投标人所投产品在满足技术要求中技术指标的全部要求的基础上，每出现一项正偏离加1分，最多得3分。</w:t>
            </w:r>
          </w:p>
          <w:p>
            <w:pPr>
              <w:pStyle w:val="15"/>
              <w:widowControl/>
              <w:spacing w:line="360" w:lineRule="auto"/>
              <w:ind w:firstLine="0" w:firstLineChars="0"/>
              <w:jc w:val="left"/>
              <w:rPr>
                <w:rFonts w:ascii="宋体" w:hAnsi="宋体" w:cs="宋体"/>
                <w:b/>
                <w:bCs/>
                <w:sz w:val="24"/>
              </w:rPr>
            </w:pPr>
            <w:r>
              <w:rPr>
                <w:rFonts w:hint="eastAsia" w:ascii="宋体" w:hAnsi="宋体" w:cs="宋体"/>
                <w:b/>
                <w:bCs/>
                <w:sz w:val="24"/>
              </w:rPr>
              <w:t>评审依据：提供相关证明资料复印件并加盖投标人公章；</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商务响应</w:t>
            </w:r>
          </w:p>
        </w:tc>
        <w:tc>
          <w:tcPr>
            <w:tcW w:w="127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20分</w:t>
            </w:r>
          </w:p>
        </w:tc>
        <w:tc>
          <w:tcPr>
            <w:tcW w:w="6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b/>
                <w:bCs/>
                <w:sz w:val="24"/>
              </w:rPr>
              <w:t>①业绩(3分)：</w:t>
            </w:r>
            <w:r>
              <w:rPr>
                <w:rFonts w:hint="eastAsia" w:ascii="宋体" w:hAnsi="宋体" w:cs="宋体"/>
                <w:sz w:val="24"/>
              </w:rPr>
              <w:t>提供2018年1月1日至今同类项目案例，每提供一份得1分，满分3分。</w:t>
            </w:r>
          </w:p>
          <w:p>
            <w:pPr>
              <w:pStyle w:val="11"/>
              <w:widowControl/>
              <w:rPr>
                <w:rFonts w:ascii="宋体" w:hAnsi="宋体" w:cs="宋体"/>
                <w:sz w:val="24"/>
                <w:szCs w:val="24"/>
              </w:rPr>
            </w:pPr>
            <w:r>
              <w:rPr>
                <w:rFonts w:hint="eastAsia" w:ascii="宋体" w:hAnsi="宋体" w:cs="宋体"/>
                <w:b/>
                <w:bCs/>
                <w:sz w:val="24"/>
                <w:szCs w:val="24"/>
              </w:rPr>
              <w:t>评审依据：以合同复印件加盖投标人公章为准。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ind w:left="-94" w:leftChars="-45" w:firstLine="120" w:firstLineChar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5" w:type="dxa"/>
            <w:vMerge w:val="continue"/>
            <w:tcBorders>
              <w:left w:val="single" w:color="auto" w:sz="4" w:space="0"/>
              <w:right w:val="single" w:color="auto" w:sz="4" w:space="0"/>
            </w:tcBorders>
            <w:vAlign w:val="center"/>
          </w:tcPr>
          <w:p>
            <w:pPr>
              <w:spacing w:line="360" w:lineRule="auto"/>
              <w:jc w:val="center"/>
              <w:rPr>
                <w:rFonts w:ascii="宋体" w:hAnsi="宋体" w:cs="宋体"/>
                <w:b/>
                <w:bCs/>
                <w:sz w:val="24"/>
              </w:rPr>
            </w:pPr>
          </w:p>
        </w:tc>
        <w:tc>
          <w:tcPr>
            <w:tcW w:w="1278" w:type="dxa"/>
            <w:vMerge w:val="continue"/>
            <w:tcBorders>
              <w:left w:val="single" w:color="auto" w:sz="4" w:space="0"/>
              <w:right w:val="single" w:color="auto" w:sz="4" w:space="0"/>
            </w:tcBorders>
            <w:vAlign w:val="center"/>
          </w:tcPr>
          <w:p>
            <w:pPr>
              <w:spacing w:line="360" w:lineRule="auto"/>
              <w:jc w:val="center"/>
              <w:rPr>
                <w:rFonts w:ascii="宋体" w:hAnsi="宋体" w:cs="宋体"/>
                <w:b/>
                <w:bCs/>
                <w:sz w:val="24"/>
              </w:rPr>
            </w:pPr>
          </w:p>
        </w:tc>
        <w:tc>
          <w:tcPr>
            <w:tcW w:w="6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 w:val="24"/>
              </w:rPr>
            </w:pPr>
            <w:r>
              <w:rPr>
                <w:rFonts w:hint="eastAsia" w:ascii="宋体" w:hAnsi="宋体" w:cs="宋体"/>
                <w:b/>
                <w:bCs/>
                <w:sz w:val="24"/>
              </w:rPr>
              <w:t>②企业综合实力（2分）：</w:t>
            </w:r>
          </w:p>
          <w:p>
            <w:pPr>
              <w:spacing w:line="360" w:lineRule="auto"/>
              <w:rPr>
                <w:rFonts w:ascii="宋体" w:hAnsi="宋体" w:cs="宋体"/>
                <w:sz w:val="24"/>
              </w:rPr>
            </w:pPr>
            <w:r>
              <w:rPr>
                <w:rFonts w:hint="eastAsia" w:ascii="宋体" w:hAnsi="宋体" w:cs="宋体"/>
                <w:b/>
                <w:bCs/>
                <w:sz w:val="24"/>
              </w:rPr>
              <w:t>A.</w:t>
            </w:r>
            <w:r>
              <w:rPr>
                <w:rFonts w:hint="eastAsia" w:ascii="宋体" w:hAnsi="宋体" w:cs="宋体"/>
                <w:sz w:val="24"/>
              </w:rPr>
              <w:t>投标供应商提供ISO20000 IT服务管理体系认证证书。（1分）</w:t>
            </w:r>
          </w:p>
          <w:p>
            <w:pPr>
              <w:spacing w:line="360" w:lineRule="auto"/>
              <w:rPr>
                <w:rFonts w:ascii="宋体" w:hAnsi="宋体" w:cs="宋体"/>
                <w:sz w:val="24"/>
              </w:rPr>
            </w:pPr>
            <w:r>
              <w:rPr>
                <w:rFonts w:hint="eastAsia" w:ascii="宋体" w:hAnsi="宋体" w:cs="宋体"/>
                <w:b/>
                <w:bCs/>
                <w:sz w:val="24"/>
              </w:rPr>
              <w:t>B.</w:t>
            </w:r>
            <w:r>
              <w:rPr>
                <w:rFonts w:hint="eastAsia" w:ascii="宋体" w:hAnsi="宋体" w:cs="宋体"/>
                <w:sz w:val="24"/>
              </w:rPr>
              <w:t>投标供应商提供ITSS信息技术服务运行维护二级以上（含二级）资质。（1分）</w:t>
            </w:r>
          </w:p>
          <w:p>
            <w:pPr>
              <w:spacing w:line="360" w:lineRule="auto"/>
              <w:rPr>
                <w:rFonts w:ascii="宋体" w:hAnsi="宋体" w:cs="宋体"/>
                <w:b/>
                <w:bCs/>
                <w:sz w:val="24"/>
              </w:rPr>
            </w:pPr>
            <w:r>
              <w:rPr>
                <w:rFonts w:hint="eastAsia" w:ascii="宋体" w:hAnsi="宋体" w:cs="宋体"/>
                <w:b/>
                <w:bCs/>
                <w:sz w:val="24"/>
              </w:rPr>
              <w:t>评审依据：提供相关证明资料复印件并加盖投标人公章；</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ind w:left="-94" w:leftChars="-45" w:firstLine="120" w:firstLineChar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5"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27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400" w:lineRule="exact"/>
              <w:ind w:firstLine="0" w:firstLineChars="0"/>
              <w:jc w:val="left"/>
              <w:rPr>
                <w:rFonts w:ascii="宋体" w:hAnsi="宋体" w:cs="宋体"/>
                <w:sz w:val="24"/>
              </w:rPr>
            </w:pPr>
            <w:r>
              <w:rPr>
                <w:rFonts w:hint="eastAsia" w:ascii="宋体" w:hAnsi="宋体" w:cs="宋体"/>
                <w:b/>
                <w:bCs/>
                <w:sz w:val="24"/>
              </w:rPr>
              <w:t>③售后服务方案及培训方案（6分）：包含但不限于以下内容</w:t>
            </w:r>
            <w:r>
              <w:rPr>
                <w:rFonts w:hint="eastAsia" w:ascii="宋体" w:hAnsi="宋体" w:cs="宋体"/>
                <w:sz w:val="24"/>
              </w:rPr>
              <w:t>服务运营人员经验水平、服务跟踪计划、系统维护、系统故障补救措施、技术支持、培训计划和措施等；</w:t>
            </w:r>
          </w:p>
          <w:p>
            <w:pPr>
              <w:pStyle w:val="15"/>
              <w:widowControl/>
              <w:spacing w:line="400" w:lineRule="exact"/>
              <w:ind w:firstLine="0" w:firstLineChars="0"/>
              <w:jc w:val="left"/>
              <w:rPr>
                <w:rFonts w:ascii="宋体" w:hAnsi="宋体" w:cs="宋体"/>
                <w:sz w:val="24"/>
              </w:rPr>
            </w:pPr>
            <w:r>
              <w:rPr>
                <w:rFonts w:hint="eastAsia" w:ascii="宋体" w:hAnsi="宋体" w:cs="宋体"/>
                <w:sz w:val="24"/>
              </w:rPr>
              <w:t>方案合理、内容全面、可操作性强的得5-6分；</w:t>
            </w:r>
          </w:p>
          <w:p>
            <w:pPr>
              <w:pStyle w:val="15"/>
              <w:widowControl/>
              <w:spacing w:line="400" w:lineRule="exact"/>
              <w:ind w:firstLine="0" w:firstLineChars="0"/>
              <w:jc w:val="left"/>
              <w:rPr>
                <w:rFonts w:ascii="宋体" w:hAnsi="宋体" w:cs="宋体"/>
                <w:sz w:val="24"/>
              </w:rPr>
            </w:pPr>
            <w:r>
              <w:rPr>
                <w:rFonts w:hint="eastAsia" w:ascii="宋体" w:hAnsi="宋体" w:cs="宋体"/>
                <w:sz w:val="24"/>
              </w:rPr>
              <w:t>方案较合理、内容较全面、可操作性较好得3-4.9分；</w:t>
            </w:r>
          </w:p>
          <w:p>
            <w:pPr>
              <w:pStyle w:val="15"/>
              <w:widowControl/>
              <w:spacing w:line="400" w:lineRule="exact"/>
              <w:ind w:firstLine="0" w:firstLineChars="0"/>
              <w:jc w:val="left"/>
              <w:rPr>
                <w:rFonts w:ascii="宋体" w:hAnsi="宋体" w:cs="宋体"/>
                <w:sz w:val="24"/>
              </w:rPr>
            </w:pPr>
            <w:r>
              <w:rPr>
                <w:rFonts w:hint="eastAsia" w:ascii="宋体" w:hAnsi="宋体" w:cs="宋体"/>
                <w:sz w:val="24"/>
              </w:rPr>
              <w:t>方案不够合理、内容不够全面、可操作性一般得0-2.9分。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ind w:left="-94" w:leftChars="-45" w:firstLine="120" w:firstLineChar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45"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27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sz w:val="24"/>
              </w:rPr>
            </w:pPr>
            <w:r>
              <w:rPr>
                <w:rFonts w:hint="eastAsia" w:ascii="宋体" w:hAnsi="宋体" w:cs="宋体"/>
                <w:b/>
                <w:bCs/>
                <w:sz w:val="24"/>
              </w:rPr>
              <w:t>④履约承诺（6分）：</w:t>
            </w:r>
            <w:r>
              <w:rPr>
                <w:rFonts w:hint="eastAsia" w:ascii="宋体" w:hAnsi="宋体" w:cs="宋体"/>
                <w:sz w:val="24"/>
              </w:rPr>
              <w:t>投标人根据招标文件采购需求，对本项目做出的详尽、可行的实质性履约承诺；</w:t>
            </w:r>
          </w:p>
          <w:p>
            <w:pPr>
              <w:pStyle w:val="15"/>
              <w:widowControl/>
              <w:spacing w:line="360" w:lineRule="auto"/>
              <w:ind w:firstLine="0" w:firstLineChars="0"/>
              <w:jc w:val="left"/>
              <w:rPr>
                <w:rFonts w:ascii="宋体" w:hAnsi="宋体" w:cs="宋体"/>
                <w:sz w:val="24"/>
              </w:rPr>
            </w:pPr>
            <w:r>
              <w:rPr>
                <w:rFonts w:hint="eastAsia" w:ascii="宋体" w:hAnsi="宋体" w:cs="宋体"/>
                <w:sz w:val="24"/>
              </w:rPr>
              <w:t>承诺完善、可行性强，得5-6分；</w:t>
            </w:r>
          </w:p>
          <w:p>
            <w:pPr>
              <w:pStyle w:val="15"/>
              <w:widowControl/>
              <w:spacing w:line="360" w:lineRule="auto"/>
              <w:ind w:firstLine="0" w:firstLineChars="0"/>
              <w:jc w:val="left"/>
              <w:rPr>
                <w:rFonts w:ascii="宋体" w:hAnsi="宋体" w:cs="宋体"/>
                <w:sz w:val="24"/>
              </w:rPr>
            </w:pPr>
            <w:r>
              <w:rPr>
                <w:rFonts w:hint="eastAsia" w:ascii="宋体" w:hAnsi="宋体" w:cs="宋体"/>
                <w:sz w:val="24"/>
              </w:rPr>
              <w:t>承诺较为完善，可行性较强，得3-4.9分；</w:t>
            </w:r>
          </w:p>
          <w:p>
            <w:pPr>
              <w:pStyle w:val="15"/>
              <w:widowControl/>
              <w:spacing w:line="360" w:lineRule="auto"/>
              <w:ind w:firstLine="0" w:firstLineChars="0"/>
              <w:jc w:val="left"/>
              <w:rPr>
                <w:rFonts w:ascii="宋体" w:hAnsi="宋体" w:cs="宋体"/>
                <w:sz w:val="24"/>
              </w:rPr>
            </w:pPr>
            <w:r>
              <w:rPr>
                <w:rFonts w:hint="eastAsia" w:ascii="宋体" w:hAnsi="宋体" w:cs="宋体"/>
                <w:sz w:val="24"/>
              </w:rPr>
              <w:t>承诺较差或无承诺得0-2.9分。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ind w:left="-94" w:leftChars="-45" w:firstLine="120" w:firstLineChar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45" w:type="dxa"/>
            <w:vMerge w:val="continue"/>
            <w:tcBorders>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278" w:type="dxa"/>
            <w:vMerge w:val="continue"/>
            <w:tcBorders>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6361"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ind w:firstLine="0" w:firstLineChars="0"/>
              <w:jc w:val="left"/>
              <w:rPr>
                <w:rFonts w:ascii="宋体" w:hAnsi="宋体" w:cs="宋体"/>
                <w:sz w:val="24"/>
              </w:rPr>
            </w:pPr>
            <w:r>
              <w:rPr>
                <w:rFonts w:hint="eastAsia" w:ascii="宋体" w:hAnsi="宋体" w:cs="宋体"/>
                <w:b/>
                <w:bCs/>
                <w:sz w:val="24"/>
              </w:rPr>
              <w:t>⑤合理化建议（3分）：</w:t>
            </w:r>
            <w:r>
              <w:rPr>
                <w:rFonts w:hint="eastAsia" w:ascii="宋体" w:hAnsi="宋体" w:cs="宋体"/>
                <w:sz w:val="24"/>
              </w:rPr>
              <w:t>投标人根据采购内容及需求，对本项目做出的详尽、操作性强的合理化建议；</w:t>
            </w:r>
          </w:p>
          <w:p>
            <w:pPr>
              <w:pStyle w:val="15"/>
              <w:widowControl/>
              <w:spacing w:line="360" w:lineRule="auto"/>
              <w:ind w:firstLine="0" w:firstLineChars="0"/>
              <w:jc w:val="left"/>
              <w:rPr>
                <w:rFonts w:ascii="宋体" w:hAnsi="宋体" w:cs="宋体"/>
                <w:sz w:val="24"/>
              </w:rPr>
            </w:pPr>
            <w:r>
              <w:rPr>
                <w:rFonts w:hint="eastAsia" w:ascii="宋体" w:hAnsi="宋体" w:cs="宋体"/>
                <w:sz w:val="24"/>
              </w:rPr>
              <w:t>合理化建议详细合理，针对性强，得2-3分；</w:t>
            </w:r>
          </w:p>
          <w:p>
            <w:pPr>
              <w:pStyle w:val="15"/>
              <w:widowControl/>
              <w:spacing w:line="360" w:lineRule="auto"/>
              <w:ind w:firstLine="0" w:firstLineChars="0"/>
              <w:jc w:val="left"/>
              <w:rPr>
                <w:rFonts w:ascii="宋体" w:hAnsi="宋体" w:cs="宋体"/>
                <w:sz w:val="24"/>
              </w:rPr>
            </w:pPr>
            <w:r>
              <w:rPr>
                <w:rFonts w:hint="eastAsia" w:ascii="宋体" w:hAnsi="宋体" w:cs="宋体"/>
                <w:sz w:val="24"/>
              </w:rPr>
              <w:t>合理化建议较简洁，针对性较差，得0-1.9分；</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ind w:left="-94" w:leftChars="-45" w:firstLine="120" w:firstLineChars="50"/>
              <w:rPr>
                <w:rFonts w:ascii="宋体" w:hAnsi="宋体" w:cs="宋体"/>
                <w:sz w:val="24"/>
              </w:rPr>
            </w:pPr>
          </w:p>
        </w:tc>
      </w:tr>
    </w:tbl>
    <w:p>
      <w:pPr>
        <w:spacing w:line="360" w:lineRule="auto"/>
        <w:outlineLvl w:val="1"/>
        <w:rPr>
          <w:rFonts w:ascii="宋体" w:hAnsi="宋体" w:cs="宋体"/>
          <w:b/>
          <w:sz w:val="24"/>
        </w:rPr>
      </w:pPr>
      <w:r>
        <w:rPr>
          <w:rFonts w:hint="eastAsia" w:ascii="宋体" w:hAnsi="宋体" w:cs="宋体"/>
          <w:b/>
          <w:sz w:val="24"/>
        </w:rPr>
        <w:t>六、中标</w:t>
      </w:r>
    </w:p>
    <w:p>
      <w:pPr>
        <w:spacing w:line="360" w:lineRule="auto"/>
        <w:ind w:right="40" w:rightChars="19" w:firstLine="496" w:firstLineChars="200"/>
        <w:rPr>
          <w:rFonts w:ascii="宋体" w:hAnsi="宋体" w:cs="宋体"/>
          <w:spacing w:val="4"/>
          <w:sz w:val="24"/>
        </w:rPr>
      </w:pPr>
      <w:r>
        <w:rPr>
          <w:rFonts w:hint="eastAsia" w:ascii="宋体" w:hAnsi="宋体" w:cs="宋体"/>
          <w:spacing w:val="4"/>
          <w:sz w:val="24"/>
        </w:rPr>
        <w:t>1、评标结果由全体评标委员会成员签字确认。</w:t>
      </w:r>
    </w:p>
    <w:p>
      <w:pPr>
        <w:spacing w:line="360" w:lineRule="auto"/>
        <w:ind w:right="40" w:rightChars="19" w:firstLine="496" w:firstLineChars="200"/>
        <w:rPr>
          <w:rFonts w:ascii="宋体" w:hAnsi="宋体" w:cs="宋体"/>
          <w:spacing w:val="4"/>
          <w:sz w:val="24"/>
        </w:rPr>
      </w:pPr>
      <w:r>
        <w:rPr>
          <w:rFonts w:hint="eastAsia" w:ascii="宋体" w:hAnsi="宋体" w:cs="宋体"/>
          <w:spacing w:val="4"/>
          <w:sz w:val="24"/>
        </w:rPr>
        <w:t>2、采购人根据评标报告中推荐的中标候选人排列顺序确定中标人，</w:t>
      </w:r>
      <w:r>
        <w:rPr>
          <w:rFonts w:hint="eastAsia" w:ascii="宋体" w:hAnsi="宋体" w:cs="宋体"/>
          <w:sz w:val="24"/>
        </w:rPr>
        <w:t>同时书面复函采购代理机构</w:t>
      </w:r>
      <w:r>
        <w:rPr>
          <w:rFonts w:hint="eastAsia" w:ascii="宋体" w:hAnsi="宋体" w:cs="宋体"/>
          <w:spacing w:val="4"/>
          <w:sz w:val="24"/>
        </w:rPr>
        <w:t>。</w:t>
      </w:r>
    </w:p>
    <w:p>
      <w:pPr>
        <w:spacing w:line="360" w:lineRule="auto"/>
        <w:ind w:right="40" w:rightChars="19" w:firstLine="496" w:firstLineChars="200"/>
        <w:rPr>
          <w:rFonts w:ascii="宋体" w:hAnsi="宋体" w:cs="宋体"/>
          <w:spacing w:val="4"/>
          <w:sz w:val="24"/>
        </w:rPr>
      </w:pPr>
      <w:r>
        <w:rPr>
          <w:rFonts w:hint="eastAsia" w:ascii="宋体" w:hAnsi="宋体" w:cs="宋体"/>
          <w:spacing w:val="4"/>
          <w:sz w:val="24"/>
        </w:rPr>
        <w:t xml:space="preserve">3、采购代理机构收到采购人“中标复函”后，二个工作日内在财政部门指定的政府采购信息媒体上发布公告，同时向中标供应商发出“中标通知书”。 </w:t>
      </w:r>
    </w:p>
    <w:p>
      <w:pPr>
        <w:spacing w:line="360" w:lineRule="auto"/>
        <w:outlineLvl w:val="1"/>
        <w:rPr>
          <w:rFonts w:ascii="宋体" w:hAnsi="宋体" w:cs="宋体"/>
          <w:b/>
          <w:sz w:val="24"/>
        </w:rPr>
      </w:pPr>
      <w:r>
        <w:rPr>
          <w:rFonts w:hint="eastAsia" w:ascii="宋体" w:hAnsi="宋体" w:cs="宋体"/>
          <w:b/>
          <w:sz w:val="24"/>
        </w:rPr>
        <w:t>七、无效投标的处理</w:t>
      </w:r>
    </w:p>
    <w:p>
      <w:pPr>
        <w:spacing w:line="500" w:lineRule="exact"/>
        <w:ind w:firstLine="482" w:firstLineChars="200"/>
        <w:rPr>
          <w:rFonts w:ascii="宋体" w:hAnsi="宋体" w:cs="宋体"/>
          <w:b/>
          <w:sz w:val="24"/>
        </w:rPr>
      </w:pPr>
      <w:r>
        <w:rPr>
          <w:rFonts w:hint="eastAsia" w:ascii="宋体" w:hAnsi="宋体" w:cs="宋体"/>
          <w:b/>
          <w:sz w:val="24"/>
        </w:rPr>
        <w:t>出现下列情况之一者（但不限于），按无效文件处理：</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A、投标人的投标报价超过最高限价；</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B、投标人不具备资格条件的；</w:t>
      </w:r>
    </w:p>
    <w:p>
      <w:pPr>
        <w:topLinePunct/>
        <w:spacing w:line="500" w:lineRule="exact"/>
        <w:ind w:firstLine="600" w:firstLineChars="250"/>
        <w:rPr>
          <w:rFonts w:ascii="宋体" w:hAnsi="宋体" w:cs="宋体"/>
          <w:sz w:val="24"/>
          <w:szCs w:val="21"/>
        </w:rPr>
      </w:pPr>
      <w:r>
        <w:rPr>
          <w:rFonts w:hint="eastAsia" w:ascii="宋体" w:hAnsi="宋体" w:cs="宋体"/>
          <w:sz w:val="24"/>
          <w:szCs w:val="21"/>
        </w:rPr>
        <w:t>C、实质性内容不满足或未响应的（包括但不限于：工期、付款方式、主要技术指标等）；</w:t>
      </w:r>
    </w:p>
    <w:p>
      <w:pPr>
        <w:spacing w:line="500" w:lineRule="exact"/>
        <w:ind w:firstLine="600" w:firstLineChars="250"/>
        <w:rPr>
          <w:rFonts w:ascii="宋体" w:hAnsi="宋体" w:cs="宋体"/>
          <w:sz w:val="24"/>
          <w:szCs w:val="21"/>
        </w:rPr>
      </w:pPr>
      <w:r>
        <w:rPr>
          <w:rFonts w:hint="eastAsia" w:ascii="宋体" w:hAnsi="宋体" w:cs="宋体"/>
          <w:sz w:val="24"/>
          <w:szCs w:val="21"/>
        </w:rPr>
        <w:t>D、必备资格的有效性和符合性不符合要求，未提供相关证明材料证明其有效性的；</w:t>
      </w:r>
    </w:p>
    <w:p>
      <w:pPr>
        <w:kinsoku w:val="0"/>
        <w:spacing w:line="500" w:lineRule="exact"/>
        <w:ind w:firstLine="600" w:firstLineChars="250"/>
        <w:rPr>
          <w:rFonts w:ascii="宋体" w:hAnsi="宋体" w:cs="宋体"/>
          <w:spacing w:val="-6"/>
          <w:sz w:val="24"/>
          <w:szCs w:val="21"/>
        </w:rPr>
      </w:pPr>
      <w:r>
        <w:rPr>
          <w:rFonts w:hint="eastAsia" w:ascii="宋体" w:hAnsi="宋体" w:cs="宋体"/>
          <w:sz w:val="24"/>
          <w:szCs w:val="21"/>
        </w:rPr>
        <w:t>E、投标人未按招标文件要求的格式、数量和方式胶装、封装、签字</w:t>
      </w:r>
      <w:r>
        <w:rPr>
          <w:rFonts w:hint="eastAsia" w:ascii="宋体" w:hAnsi="宋体" w:cs="宋体"/>
          <w:spacing w:val="-6"/>
          <w:sz w:val="24"/>
          <w:szCs w:val="21"/>
        </w:rPr>
        <w:t>、加盖公章的</w:t>
      </w:r>
      <w:r>
        <w:rPr>
          <w:rFonts w:hint="eastAsia" w:ascii="宋体" w:hAnsi="宋体" w:cs="宋体"/>
          <w:sz w:val="24"/>
          <w:szCs w:val="21"/>
        </w:rPr>
        <w:t>；</w:t>
      </w:r>
      <w:r>
        <w:rPr>
          <w:rFonts w:hint="eastAsia" w:ascii="宋体" w:hAnsi="宋体" w:cs="宋体"/>
          <w:spacing w:val="-6"/>
          <w:sz w:val="24"/>
          <w:szCs w:val="21"/>
        </w:rPr>
        <w:t>签字人无法定代表人授权书的；</w:t>
      </w:r>
    </w:p>
    <w:p>
      <w:pPr>
        <w:spacing w:line="500" w:lineRule="exact"/>
        <w:ind w:firstLine="570" w:firstLineChars="250"/>
        <w:rPr>
          <w:rFonts w:ascii="宋体" w:hAnsi="宋体" w:cs="宋体"/>
          <w:spacing w:val="-6"/>
          <w:sz w:val="24"/>
          <w:szCs w:val="21"/>
        </w:rPr>
      </w:pPr>
      <w:r>
        <w:rPr>
          <w:rFonts w:hint="eastAsia" w:ascii="宋体" w:hAnsi="宋体" w:cs="宋体"/>
          <w:spacing w:val="-6"/>
          <w:sz w:val="24"/>
          <w:szCs w:val="21"/>
        </w:rPr>
        <w:t>F、</w:t>
      </w:r>
      <w:r>
        <w:rPr>
          <w:rFonts w:hint="eastAsia" w:ascii="宋体" w:hAnsi="宋体" w:cs="宋体"/>
          <w:sz w:val="24"/>
          <w:szCs w:val="21"/>
        </w:rPr>
        <w:t>投标</w:t>
      </w:r>
      <w:r>
        <w:rPr>
          <w:rFonts w:hint="eastAsia" w:ascii="宋体" w:hAnsi="宋体" w:cs="宋体"/>
          <w:spacing w:val="-6"/>
          <w:sz w:val="24"/>
          <w:szCs w:val="21"/>
        </w:rPr>
        <w:t>文件有涂改，涂改处未按招标文件要求签字的；</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G、无投标有效期或有效期不符合招标文件要求的；</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H、投标人针对同一项目递交两份或多份内容不同的投标文件，未书面声明哪一份是有效的或出现选择性报价的；</w:t>
      </w:r>
    </w:p>
    <w:p>
      <w:pPr>
        <w:spacing w:line="500" w:lineRule="exact"/>
        <w:ind w:firstLine="600" w:firstLineChars="250"/>
        <w:rPr>
          <w:rFonts w:ascii="宋体" w:hAnsi="宋体" w:cs="宋体"/>
          <w:sz w:val="24"/>
          <w:szCs w:val="21"/>
        </w:rPr>
      </w:pPr>
      <w:r>
        <w:rPr>
          <w:rFonts w:hint="eastAsia" w:ascii="宋体" w:hAnsi="宋体" w:cs="宋体"/>
          <w:sz w:val="24"/>
          <w:szCs w:val="21"/>
        </w:rPr>
        <w:t>I、提供虚假资质、虚假证明（包括第三方提供的虚假证明）、出现虚假应答的，除按无效投标文件处理外，还将按照政府采购的有关规定进行处罚；</w:t>
      </w:r>
    </w:p>
    <w:p>
      <w:pPr>
        <w:topLinePunct/>
        <w:spacing w:line="500" w:lineRule="exact"/>
        <w:ind w:firstLine="600" w:firstLineChars="250"/>
        <w:rPr>
          <w:rFonts w:ascii="宋体" w:hAnsi="宋体" w:cs="宋体"/>
          <w:sz w:val="24"/>
          <w:szCs w:val="21"/>
        </w:rPr>
      </w:pPr>
      <w:r>
        <w:rPr>
          <w:rFonts w:hint="eastAsia" w:ascii="宋体" w:hAnsi="宋体" w:cs="宋体"/>
          <w:sz w:val="24"/>
          <w:szCs w:val="21"/>
        </w:rPr>
        <w:t>J、投标文件附加了采购人难以接受的条件或条款的；</w:t>
      </w:r>
    </w:p>
    <w:p>
      <w:pPr>
        <w:topLinePunct/>
        <w:spacing w:line="500" w:lineRule="exact"/>
        <w:ind w:firstLine="600" w:firstLineChars="250"/>
        <w:rPr>
          <w:rFonts w:ascii="宋体" w:hAnsi="宋体" w:cs="宋体"/>
          <w:sz w:val="24"/>
          <w:szCs w:val="21"/>
        </w:rPr>
      </w:pPr>
      <w:r>
        <w:rPr>
          <w:rFonts w:hint="eastAsia" w:ascii="宋体" w:hAnsi="宋体" w:cs="宋体"/>
          <w:sz w:val="24"/>
          <w:szCs w:val="21"/>
        </w:rPr>
        <w:t>K、投标人前期参与了本次项目方案设计的；</w:t>
      </w:r>
    </w:p>
    <w:p>
      <w:pPr>
        <w:spacing w:line="500" w:lineRule="exact"/>
        <w:ind w:firstLine="600" w:firstLineChars="250"/>
        <w:rPr>
          <w:rFonts w:ascii="宋体" w:hAnsi="宋体" w:cs="宋体"/>
          <w:sz w:val="24"/>
          <w:szCs w:val="21"/>
        </w:rPr>
      </w:pPr>
      <w:r>
        <w:rPr>
          <w:rFonts w:hint="eastAsia" w:ascii="宋体" w:hAnsi="宋体" w:cs="宋体"/>
          <w:sz w:val="24"/>
          <w:szCs w:val="21"/>
        </w:rPr>
        <w:t>L、在政府采购或其它重大项目履约过程中有不良记录，未能按期履约的；</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M、投标报价与市场价格偏离较大、低于成本、评标委员会认为形成不正当竞争的；</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N、报价子目出现漏项或报价数量与招标文件要求不符的；</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O、投标项目的技术参数与招标文件要求出现重大负偏差的或技术指标有漏项；</w:t>
      </w:r>
    </w:p>
    <w:p>
      <w:pPr>
        <w:kinsoku w:val="0"/>
        <w:spacing w:line="500" w:lineRule="exact"/>
        <w:ind w:firstLine="600" w:firstLineChars="250"/>
        <w:rPr>
          <w:rFonts w:ascii="宋体" w:hAnsi="宋体" w:cs="宋体"/>
          <w:sz w:val="24"/>
          <w:szCs w:val="21"/>
        </w:rPr>
      </w:pPr>
      <w:r>
        <w:rPr>
          <w:rFonts w:hint="eastAsia" w:ascii="宋体" w:hAnsi="宋体" w:cs="宋体"/>
          <w:sz w:val="24"/>
          <w:szCs w:val="21"/>
        </w:rPr>
        <w:t>P、提供虚假技术参数。</w:t>
      </w:r>
    </w:p>
    <w:p>
      <w:pPr>
        <w:spacing w:line="500" w:lineRule="exact"/>
        <w:ind w:firstLine="600" w:firstLineChars="250"/>
        <w:rPr>
          <w:rFonts w:ascii="宋体" w:hAnsi="宋体" w:cs="宋体"/>
          <w:sz w:val="24"/>
          <w:szCs w:val="21"/>
        </w:rPr>
      </w:pPr>
      <w:r>
        <w:rPr>
          <w:rFonts w:hint="eastAsia" w:ascii="宋体" w:hAnsi="宋体" w:cs="宋体"/>
          <w:sz w:val="24"/>
          <w:szCs w:val="21"/>
        </w:rPr>
        <w:t>Q、不符合法律、法规和招标文件中规定的其他无效情形；</w:t>
      </w:r>
    </w:p>
    <w:p>
      <w:pPr>
        <w:spacing w:line="500" w:lineRule="exact"/>
        <w:ind w:firstLine="600" w:firstLineChars="250"/>
        <w:rPr>
          <w:rFonts w:ascii="宋体" w:hAnsi="宋体" w:cs="宋体"/>
          <w:sz w:val="24"/>
          <w:szCs w:val="21"/>
        </w:rPr>
      </w:pPr>
      <w:r>
        <w:rPr>
          <w:rFonts w:hint="eastAsia" w:ascii="宋体" w:hAnsi="宋体" w:cs="宋体"/>
          <w:sz w:val="24"/>
          <w:szCs w:val="21"/>
        </w:rPr>
        <w:t>R、投标人主体存在失信记录的和被列入重大税收违法案件当事人名单的。</w:t>
      </w:r>
    </w:p>
    <w:p>
      <w:pPr>
        <w:spacing w:line="500" w:lineRule="exact"/>
        <w:ind w:firstLine="600" w:firstLineChars="250"/>
        <w:rPr>
          <w:rFonts w:ascii="宋体" w:hAnsi="宋体" w:cs="宋体"/>
          <w:sz w:val="24"/>
          <w:szCs w:val="21"/>
        </w:rPr>
      </w:pPr>
      <w:r>
        <w:rPr>
          <w:rFonts w:hint="eastAsia" w:ascii="宋体" w:hAnsi="宋体" w:cs="宋体"/>
          <w:sz w:val="24"/>
          <w:szCs w:val="21"/>
        </w:rPr>
        <w:t>S、除法律、法规和规章规定外，招标文件中用“拒绝”“不接受”“无效”“不得”“必须”“应当”等文字规定，对其中任何一条的偏离，在评标时将其视为无效投标。</w:t>
      </w:r>
    </w:p>
    <w:p>
      <w:pPr>
        <w:pStyle w:val="3"/>
        <w:widowControl/>
        <w:spacing w:afterLines="50"/>
        <w:jc w:val="center"/>
        <w:rPr>
          <w:rFonts w:ascii="宋体" w:hAnsi="宋体" w:cs="宋体"/>
          <w:sz w:val="28"/>
          <w:szCs w:val="28"/>
        </w:rPr>
      </w:pPr>
      <w:r>
        <w:rPr>
          <w:rFonts w:hint="eastAsia" w:ascii="宋体" w:hAnsi="宋体" w:cs="宋体"/>
          <w:sz w:val="28"/>
          <w:szCs w:val="28"/>
        </w:rPr>
        <w:br w:type="page"/>
      </w:r>
      <w:bookmarkStart w:id="67" w:name="_Hlt128276530"/>
      <w:bookmarkEnd w:id="67"/>
      <w:bookmarkStart w:id="68" w:name="_Hlt128276537"/>
      <w:bookmarkEnd w:id="68"/>
      <w:bookmarkStart w:id="69" w:name="_Hlt128276660"/>
      <w:bookmarkEnd w:id="69"/>
      <w:bookmarkStart w:id="70" w:name="_Toc23599"/>
      <w:bookmarkStart w:id="71" w:name="_Toc24331"/>
      <w:bookmarkStart w:id="72" w:name="_Toc421778378"/>
      <w:bookmarkStart w:id="73" w:name="_Toc26760"/>
      <w:bookmarkStart w:id="74" w:name="_Toc30892"/>
      <w:bookmarkStart w:id="75" w:name="_Toc14967"/>
      <w:r>
        <w:rPr>
          <w:rFonts w:hint="eastAsia" w:ascii="宋体" w:hAnsi="宋体" w:cs="宋体"/>
          <w:sz w:val="28"/>
          <w:szCs w:val="28"/>
        </w:rPr>
        <w:t xml:space="preserve">第四章 </w:t>
      </w:r>
      <w:bookmarkEnd w:id="70"/>
      <w:bookmarkEnd w:id="71"/>
      <w:bookmarkEnd w:id="72"/>
      <w:bookmarkEnd w:id="73"/>
      <w:bookmarkEnd w:id="74"/>
      <w:bookmarkEnd w:id="75"/>
      <w:bookmarkStart w:id="76" w:name="_Toc221523531"/>
      <w:r>
        <w:rPr>
          <w:rFonts w:hint="eastAsia" w:ascii="宋体" w:hAnsi="宋体" w:cs="宋体"/>
          <w:sz w:val="28"/>
          <w:szCs w:val="28"/>
        </w:rPr>
        <w:t>采购内容及要求</w:t>
      </w:r>
    </w:p>
    <w:bookmarkEnd w:id="76"/>
    <w:p>
      <w:pPr>
        <w:numPr>
          <w:ilvl w:val="0"/>
          <w:numId w:val="5"/>
        </w:numPr>
        <w:rPr>
          <w:rFonts w:ascii="宋体" w:hAnsi="宋体" w:cs="宋体"/>
          <w:b/>
          <w:kern w:val="44"/>
          <w:sz w:val="28"/>
          <w:szCs w:val="28"/>
        </w:rPr>
      </w:pPr>
      <w:bookmarkStart w:id="77" w:name="_Toc18005603"/>
      <w:r>
        <w:rPr>
          <w:rFonts w:hint="eastAsia" w:ascii="宋体" w:hAnsi="宋体" w:cs="宋体"/>
          <w:b/>
          <w:kern w:val="44"/>
          <w:sz w:val="32"/>
          <w:szCs w:val="32"/>
        </w:rPr>
        <w:t>商务要求</w:t>
      </w:r>
    </w:p>
    <w:p>
      <w:pPr>
        <w:spacing w:line="400" w:lineRule="exact"/>
        <w:rPr>
          <w:rFonts w:hAnsi="宋体" w:cs="宋体"/>
          <w:b/>
          <w:bCs/>
          <w:sz w:val="24"/>
        </w:rPr>
      </w:pPr>
      <w:r>
        <w:rPr>
          <w:rFonts w:hint="eastAsia" w:hAnsi="宋体" w:cs="宋体"/>
          <w:b/>
          <w:bCs/>
          <w:sz w:val="24"/>
        </w:rPr>
        <w:t>1、服务工期</w:t>
      </w:r>
    </w:p>
    <w:p>
      <w:pPr>
        <w:spacing w:line="400" w:lineRule="exact"/>
        <w:ind w:firstLine="480" w:firstLineChars="200"/>
        <w:rPr>
          <w:rFonts w:hAnsi="宋体" w:cs="宋体"/>
          <w:sz w:val="24"/>
        </w:rPr>
      </w:pPr>
      <w:r>
        <w:rPr>
          <w:rFonts w:hint="eastAsia" w:hAnsi="宋体" w:cs="宋体"/>
          <w:sz w:val="24"/>
        </w:rPr>
        <w:t>交货工期：自合同签订之日起30个日历日完成建设；</w:t>
      </w:r>
    </w:p>
    <w:p>
      <w:pPr>
        <w:spacing w:line="360" w:lineRule="auto"/>
        <w:ind w:left="479" w:leftChars="228"/>
        <w:rPr>
          <w:rFonts w:hAnsi="宋体" w:cs="宋体"/>
          <w:sz w:val="24"/>
        </w:rPr>
      </w:pPr>
      <w:r>
        <w:rPr>
          <w:rFonts w:ascii="宋体" w:hAnsi="宋体" w:cs="宋体"/>
          <w:sz w:val="24"/>
        </w:rPr>
        <w:t>质保期：自验收通过之日起三年</w:t>
      </w:r>
      <w:r>
        <w:rPr>
          <w:rFonts w:hint="eastAsia" w:ascii="宋体" w:hAnsi="宋体" w:cs="宋体"/>
          <w:sz w:val="24"/>
        </w:rPr>
        <w:t>；</w:t>
      </w:r>
      <w:r>
        <w:rPr>
          <w:rFonts w:ascii="宋体" w:hAnsi="宋体" w:cs="宋体"/>
          <w:sz w:val="24"/>
        </w:rPr>
        <w:br w:type="textWrapping"/>
      </w:r>
      <w:r>
        <w:rPr>
          <w:rFonts w:ascii="宋体" w:hAnsi="宋体" w:cs="宋体"/>
          <w:sz w:val="24"/>
        </w:rPr>
        <w:t>维护期：自</w:t>
      </w:r>
      <w:r>
        <w:rPr>
          <w:rFonts w:hint="eastAsia" w:ascii="宋体" w:hAnsi="宋体" w:cs="宋体"/>
          <w:sz w:val="24"/>
        </w:rPr>
        <w:t>验收</w:t>
      </w:r>
      <w:r>
        <w:rPr>
          <w:rFonts w:ascii="宋体" w:hAnsi="宋体" w:cs="宋体"/>
          <w:sz w:val="24"/>
        </w:rPr>
        <w:t>通过之日起三年</w:t>
      </w:r>
      <w:r>
        <w:rPr>
          <w:rFonts w:hint="eastAsia" w:ascii="宋体" w:hAnsi="宋体" w:cs="宋体"/>
          <w:sz w:val="24"/>
        </w:rPr>
        <w:t>；</w:t>
      </w:r>
    </w:p>
    <w:p>
      <w:pPr>
        <w:spacing w:line="360" w:lineRule="auto"/>
        <w:rPr>
          <w:rFonts w:ascii="宋体" w:hAnsi="宋体" w:cs="宋体"/>
          <w:sz w:val="24"/>
        </w:rPr>
      </w:pPr>
      <w:r>
        <w:rPr>
          <w:rFonts w:hint="eastAsia" w:ascii="宋体" w:hAnsi="宋体" w:cs="宋体"/>
          <w:b/>
          <w:bCs/>
          <w:sz w:val="24"/>
        </w:rPr>
        <w:t>2、付款方式</w:t>
      </w:r>
    </w:p>
    <w:p>
      <w:pPr>
        <w:spacing w:line="360" w:lineRule="auto"/>
        <w:ind w:firstLine="480" w:firstLineChars="200"/>
        <w:rPr>
          <w:rFonts w:ascii="宋体" w:hAnsi="宋体" w:cs="宋体"/>
          <w:sz w:val="24"/>
        </w:rPr>
      </w:pPr>
      <w:r>
        <w:rPr>
          <w:rFonts w:hint="eastAsia" w:ascii="宋体" w:hAnsi="宋体" w:cs="宋体"/>
          <w:sz w:val="24"/>
        </w:rPr>
        <w:sym w:font="Wingdings" w:char="F081"/>
      </w:r>
      <w:r>
        <w:rPr>
          <w:rFonts w:ascii="宋体" w:hAnsi="宋体" w:cs="宋体"/>
          <w:sz w:val="24"/>
        </w:rPr>
        <w:t>设备到货，加电自检合格</w:t>
      </w:r>
      <w:r>
        <w:rPr>
          <w:rFonts w:hint="eastAsia" w:ascii="宋体" w:hAnsi="宋体" w:cs="宋体"/>
          <w:sz w:val="24"/>
        </w:rPr>
        <w:t>，</w:t>
      </w:r>
      <w:r>
        <w:rPr>
          <w:rFonts w:ascii="宋体" w:hAnsi="宋体" w:cs="宋体"/>
          <w:sz w:val="24"/>
        </w:rPr>
        <w:t>支付合同</w:t>
      </w:r>
      <w:r>
        <w:rPr>
          <w:rFonts w:hint="eastAsia" w:ascii="宋体" w:hAnsi="宋体" w:cs="宋体"/>
          <w:sz w:val="24"/>
        </w:rPr>
        <w:t>金额</w:t>
      </w:r>
      <w:r>
        <w:rPr>
          <w:rFonts w:ascii="宋体" w:hAnsi="宋体" w:cs="宋体"/>
          <w:sz w:val="24"/>
        </w:rPr>
        <w:t>总价的</w:t>
      </w:r>
      <w:r>
        <w:rPr>
          <w:rFonts w:hint="eastAsia" w:ascii="宋体" w:hAnsi="宋体" w:cs="宋体"/>
          <w:sz w:val="24"/>
        </w:rPr>
        <w:t>3</w:t>
      </w:r>
      <w:r>
        <w:rPr>
          <w:rFonts w:ascii="宋体" w:hAnsi="宋体" w:cs="宋体"/>
          <w:sz w:val="24"/>
        </w:rPr>
        <w:t>0%；</w:t>
      </w:r>
    </w:p>
    <w:p>
      <w:pPr>
        <w:spacing w:line="360" w:lineRule="auto"/>
        <w:ind w:firstLine="480" w:firstLineChars="200"/>
        <w:rPr>
          <w:rFonts w:ascii="宋体" w:hAnsi="宋体" w:cs="宋体"/>
          <w:sz w:val="24"/>
        </w:rPr>
      </w:pPr>
      <w:r>
        <w:rPr>
          <w:rFonts w:hint="eastAsia" w:ascii="宋体" w:hAnsi="宋体" w:cs="宋体"/>
          <w:sz w:val="24"/>
        </w:rPr>
        <w:sym w:font="Wingdings" w:char="F082"/>
      </w:r>
      <w:r>
        <w:rPr>
          <w:rFonts w:ascii="宋体" w:hAnsi="宋体" w:cs="宋体"/>
          <w:sz w:val="24"/>
        </w:rPr>
        <w:t>建成后</w:t>
      </w:r>
      <w:r>
        <w:rPr>
          <w:rFonts w:hint="eastAsia" w:ascii="宋体" w:hAnsi="宋体" w:cs="宋体"/>
          <w:sz w:val="24"/>
        </w:rPr>
        <w:t>试运行一个月，验收完成后</w:t>
      </w:r>
      <w:r>
        <w:rPr>
          <w:rFonts w:ascii="宋体" w:hAnsi="宋体" w:cs="宋体"/>
          <w:sz w:val="24"/>
        </w:rPr>
        <w:t>支付合同</w:t>
      </w:r>
      <w:r>
        <w:rPr>
          <w:rFonts w:hint="eastAsia" w:ascii="宋体" w:hAnsi="宋体" w:cs="宋体"/>
          <w:sz w:val="24"/>
        </w:rPr>
        <w:t>金额</w:t>
      </w:r>
      <w:r>
        <w:rPr>
          <w:rFonts w:ascii="宋体" w:hAnsi="宋体" w:cs="宋体"/>
          <w:sz w:val="24"/>
        </w:rPr>
        <w:t>总价的</w:t>
      </w:r>
      <w:r>
        <w:rPr>
          <w:rFonts w:hint="eastAsia" w:ascii="宋体" w:hAnsi="宋体" w:cs="宋体"/>
          <w:sz w:val="24"/>
        </w:rPr>
        <w:t>65</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sym w:font="Wingdings" w:char="F083"/>
      </w:r>
      <w:r>
        <w:rPr>
          <w:rFonts w:hint="eastAsia" w:ascii="宋体" w:hAnsi="宋体" w:cs="宋体"/>
          <w:sz w:val="24"/>
        </w:rPr>
        <w:t>质保期满3年后支付剩余5%。</w:t>
      </w:r>
    </w:p>
    <w:p>
      <w:pPr>
        <w:spacing w:line="360" w:lineRule="auto"/>
        <w:rPr>
          <w:rFonts w:ascii="宋体" w:hAnsi="宋体" w:cs="宋体"/>
          <w:sz w:val="24"/>
        </w:rPr>
      </w:pPr>
      <w:r>
        <w:rPr>
          <w:rFonts w:hint="eastAsia" w:ascii="宋体" w:hAnsi="宋体" w:cs="宋体"/>
          <w:b/>
          <w:bCs/>
          <w:sz w:val="24"/>
        </w:rPr>
        <w:t>3、服务地点</w:t>
      </w:r>
      <w:r>
        <w:rPr>
          <w:rFonts w:hint="eastAsia" w:ascii="宋体" w:hAnsi="宋体" w:cs="宋体"/>
          <w:sz w:val="24"/>
        </w:rPr>
        <w:t>：采购人指定地点</w:t>
      </w:r>
    </w:p>
    <w:p>
      <w:pPr>
        <w:pStyle w:val="7"/>
        <w:spacing w:line="360" w:lineRule="auto"/>
        <w:rPr>
          <w:rFonts w:ascii="宋体" w:hAnsi="宋体" w:cs="宋体"/>
          <w:b/>
          <w:bCs/>
          <w:sz w:val="24"/>
          <w:szCs w:val="24"/>
        </w:rPr>
      </w:pPr>
      <w:r>
        <w:rPr>
          <w:rFonts w:hint="eastAsia" w:ascii="宋体" w:hAnsi="宋体" w:cs="宋体"/>
          <w:b/>
          <w:bCs/>
          <w:sz w:val="24"/>
          <w:szCs w:val="24"/>
        </w:rPr>
        <w:t>备注：商务要求为实质性要求，不允许负偏离，否则视为无效投标处理。</w:t>
      </w:r>
    </w:p>
    <w:bookmarkEnd w:id="77"/>
    <w:p>
      <w:pPr>
        <w:numPr>
          <w:ilvl w:val="0"/>
          <w:numId w:val="5"/>
        </w:numPr>
        <w:rPr>
          <w:rFonts w:ascii="宋体" w:hAnsi="宋体" w:cs="宋体"/>
          <w:b/>
          <w:kern w:val="44"/>
          <w:sz w:val="32"/>
          <w:szCs w:val="32"/>
        </w:rPr>
      </w:pPr>
      <w:r>
        <w:rPr>
          <w:rFonts w:hint="eastAsia" w:ascii="宋体" w:hAnsi="宋体" w:cs="宋体"/>
          <w:b/>
          <w:kern w:val="44"/>
          <w:sz w:val="32"/>
          <w:szCs w:val="32"/>
        </w:rPr>
        <w:t>技术要求</w:t>
      </w:r>
    </w:p>
    <w:p>
      <w:pPr>
        <w:spacing w:line="400" w:lineRule="exact"/>
        <w:ind w:firstLine="480" w:firstLineChars="200"/>
        <w:rPr>
          <w:rFonts w:hAnsi="宋体" w:cs="宋体"/>
          <w:sz w:val="24"/>
        </w:rPr>
      </w:pPr>
      <w:r>
        <w:rPr>
          <w:rFonts w:hint="eastAsia" w:hAnsi="宋体" w:cs="宋体"/>
          <w:sz w:val="24"/>
        </w:rPr>
        <w:t>陕西省高速公路收费中心业务支撑平台分为业务应用区、数据库服务区、统一存储区、安全服务区、容灾备份区、仿真测试区、平台管理区和物理网络安全区等八大区域，为全省高速公路数据汇聚、部省数据交互及日常业务处理提供计算、存储和网络在内的各种资源。</w:t>
      </w:r>
    </w:p>
    <w:p>
      <w:pPr>
        <w:keepNext/>
        <w:keepLines/>
        <w:spacing w:before="260" w:after="260" w:line="416" w:lineRule="auto"/>
        <w:outlineLvl w:val="1"/>
        <w:rPr>
          <w:rFonts w:ascii="Calibri Light" w:hAnsi="Calibri Light"/>
          <w:b/>
          <w:bCs/>
          <w:sz w:val="32"/>
          <w:szCs w:val="32"/>
        </w:rPr>
      </w:pPr>
      <w:r>
        <w:rPr>
          <w:rFonts w:ascii="Calibri Light" w:hAnsi="Calibri Light"/>
          <w:b/>
          <w:bCs/>
          <w:sz w:val="32"/>
          <w:szCs w:val="32"/>
        </w:rPr>
        <w:t>2.1</w:t>
      </w:r>
      <w:r>
        <w:rPr>
          <w:rFonts w:hint="eastAsia" w:ascii="Calibri Light" w:hAnsi="Calibri Light"/>
          <w:b/>
          <w:bCs/>
          <w:sz w:val="32"/>
          <w:szCs w:val="32"/>
        </w:rPr>
        <w:t>扩容背景</w:t>
      </w:r>
    </w:p>
    <w:p>
      <w:pPr>
        <w:pStyle w:val="53"/>
        <w:spacing w:beforeLines="50" w:afterLines="50" w:line="360" w:lineRule="auto"/>
        <w:ind w:left="420" w:leftChars="200" w:firstLine="480" w:firstLineChars="200"/>
        <w:rPr>
          <w:rFonts w:ascii="Calibri" w:hAnsi="宋体" w:eastAsia="宋体" w:cs="宋体"/>
          <w:color w:val="auto"/>
          <w:kern w:val="2"/>
        </w:rPr>
      </w:pPr>
      <w:r>
        <w:rPr>
          <w:rFonts w:hint="eastAsia" w:ascii="Calibri" w:hAnsi="宋体" w:eastAsia="宋体" w:cs="宋体"/>
          <w:color w:val="auto"/>
          <w:kern w:val="2"/>
        </w:rPr>
        <w:t>为了能够保障陕西省收费公路业务正常、平稳运行，且能够满足部中心对业务处理的时效性要求，同时，能够保证具有应对突发事件的能力，满足部中心后续提出的更多业务优化要求，我中心现需对联网收费业务支撑平台进行扩容。</w:t>
      </w:r>
    </w:p>
    <w:p>
      <w:pPr>
        <w:keepNext/>
        <w:keepLines/>
        <w:spacing w:before="260" w:after="260" w:line="416" w:lineRule="auto"/>
        <w:outlineLvl w:val="1"/>
        <w:rPr>
          <w:rFonts w:ascii="Calibri Light" w:hAnsi="Calibri Light"/>
          <w:b/>
          <w:bCs/>
          <w:sz w:val="32"/>
          <w:szCs w:val="32"/>
        </w:rPr>
      </w:pPr>
      <w:bookmarkStart w:id="78" w:name="_Toc69837786"/>
      <w:bookmarkStart w:id="79" w:name="_Toc78795556"/>
      <w:r>
        <w:rPr>
          <w:rFonts w:ascii="Calibri Light" w:hAnsi="Calibri Light"/>
          <w:b/>
          <w:bCs/>
          <w:sz w:val="32"/>
          <w:szCs w:val="32"/>
        </w:rPr>
        <w:t>2.2</w:t>
      </w:r>
      <w:r>
        <w:rPr>
          <w:rFonts w:hint="eastAsia" w:ascii="Calibri Light" w:hAnsi="Calibri Light"/>
          <w:b/>
          <w:bCs/>
          <w:sz w:val="32"/>
          <w:szCs w:val="32"/>
        </w:rPr>
        <w:t>扩容原则</w:t>
      </w:r>
      <w:bookmarkEnd w:id="78"/>
      <w:bookmarkEnd w:id="79"/>
    </w:p>
    <w:p>
      <w:pPr>
        <w:autoSpaceDE w:val="0"/>
        <w:autoSpaceDN w:val="0"/>
        <w:adjustRightInd w:val="0"/>
        <w:spacing w:beforeLines="50" w:afterLines="50" w:line="360" w:lineRule="auto"/>
        <w:ind w:firstLine="480" w:firstLineChars="200"/>
        <w:jc w:val="left"/>
        <w:rPr>
          <w:rFonts w:hAnsi="宋体" w:cs="宋体"/>
          <w:sz w:val="24"/>
        </w:rPr>
      </w:pPr>
      <w:r>
        <w:rPr>
          <w:rFonts w:hint="eastAsia" w:hAnsi="宋体" w:cs="宋体"/>
          <w:sz w:val="24"/>
        </w:rPr>
        <w:t>依据国家相关法律、法规、政策和技术标准，应用安全可控的技术和产品，统筹建设，避免重复投资。</w:t>
      </w:r>
    </w:p>
    <w:p>
      <w:pPr>
        <w:keepNext/>
        <w:keepLines/>
        <w:spacing w:before="260" w:after="260" w:line="416" w:lineRule="auto"/>
        <w:outlineLvl w:val="1"/>
        <w:rPr>
          <w:rFonts w:ascii="Calibri Light" w:hAnsi="Calibri Light"/>
          <w:b/>
          <w:bCs/>
          <w:sz w:val="32"/>
          <w:szCs w:val="32"/>
        </w:rPr>
      </w:pPr>
      <w:r>
        <w:rPr>
          <w:rFonts w:ascii="Calibri Light" w:hAnsi="Calibri Light"/>
          <w:b/>
          <w:bCs/>
          <w:sz w:val="32"/>
          <w:szCs w:val="32"/>
        </w:rPr>
        <w:t>2.3</w:t>
      </w:r>
      <w:r>
        <w:rPr>
          <w:rFonts w:hint="eastAsia" w:ascii="Calibri Light" w:hAnsi="Calibri Light"/>
          <w:b/>
          <w:bCs/>
          <w:sz w:val="32"/>
          <w:szCs w:val="32"/>
        </w:rPr>
        <w:t>扩容内容</w:t>
      </w:r>
    </w:p>
    <w:p>
      <w:pPr>
        <w:pStyle w:val="53"/>
        <w:spacing w:beforeLines="50" w:afterLines="50" w:line="360" w:lineRule="auto"/>
        <w:ind w:left="420" w:leftChars="200" w:firstLine="480" w:firstLineChars="200"/>
        <w:rPr>
          <w:rFonts w:ascii="宋体" w:hAnsi="宋体" w:eastAsia="宋体"/>
          <w:color w:val="auto"/>
        </w:rPr>
      </w:pPr>
      <w:r>
        <w:rPr>
          <w:rFonts w:hint="eastAsia" w:ascii="宋体" w:hAnsi="宋体" w:eastAsia="宋体"/>
          <w:color w:val="auto"/>
        </w:rPr>
        <w:t>本次项目扩容内容主要包括业务基础支撑平台扩容、同步分区负载平台</w:t>
      </w:r>
    </w:p>
    <w:p>
      <w:pPr>
        <w:pStyle w:val="53"/>
        <w:spacing w:beforeLines="50" w:afterLines="50" w:line="360" w:lineRule="auto"/>
        <w:rPr>
          <w:rFonts w:ascii="宋体" w:hAnsi="宋体" w:eastAsia="宋体"/>
          <w:color w:val="auto"/>
        </w:rPr>
      </w:pPr>
      <w:r>
        <w:rPr>
          <w:rFonts w:hint="eastAsia" w:ascii="宋体" w:hAnsi="宋体" w:eastAsia="宋体"/>
          <w:color w:val="auto"/>
        </w:rPr>
        <w:t>和数据交换共享平台建设三部分内容。</w:t>
      </w:r>
    </w:p>
    <w:p>
      <w:pPr>
        <w:pStyle w:val="53"/>
        <w:numPr>
          <w:ilvl w:val="0"/>
          <w:numId w:val="6"/>
        </w:numPr>
        <w:spacing w:beforeLines="50" w:afterLines="50" w:line="360" w:lineRule="auto"/>
        <w:ind w:left="0" w:firstLine="420"/>
        <w:rPr>
          <w:rFonts w:ascii="宋体" w:hAnsi="宋体" w:eastAsia="宋体"/>
          <w:color w:val="auto"/>
        </w:rPr>
      </w:pPr>
      <w:r>
        <w:rPr>
          <w:rFonts w:hint="eastAsia" w:ascii="宋体" w:hAnsi="宋体" w:eastAsia="宋体"/>
          <w:color w:val="auto"/>
        </w:rPr>
        <w:t>业务基础支撑平台扩容：通过新增硬件设备计算节点、存储节点、网络设备、负载设备等方式，为先期已建成的业务支撑平台增加新的资源，提升业务支撑平台的处理能力，提高业务基础支撑平台的性能和稳定性。</w:t>
      </w:r>
    </w:p>
    <w:p>
      <w:pPr>
        <w:pStyle w:val="53"/>
        <w:numPr>
          <w:ilvl w:val="0"/>
          <w:numId w:val="6"/>
        </w:numPr>
        <w:spacing w:beforeLines="50" w:afterLines="50" w:line="360" w:lineRule="auto"/>
        <w:ind w:left="0" w:firstLine="420"/>
        <w:rPr>
          <w:rFonts w:ascii="宋体" w:hAnsi="宋体" w:eastAsia="宋体"/>
          <w:color w:val="auto"/>
        </w:rPr>
      </w:pPr>
      <w:r>
        <w:rPr>
          <w:rFonts w:hint="eastAsia" w:ascii="宋体" w:hAnsi="宋体" w:eastAsia="宋体"/>
          <w:color w:val="auto"/>
        </w:rPr>
        <w:t>同步分区负载平台建设：采用垂直拆分和水平拆分相结合的方案，对现有门架数据传输、数据汇聚等业务进行合理拆分、调整，建设收费数据资源同步分区负载平台，提升核心数据库系统性能</w:t>
      </w:r>
      <w:r>
        <w:rPr>
          <w:rFonts w:hint="eastAsia" w:ascii="宋体" w:hAnsi="宋体" w:eastAsia="宋体"/>
        </w:rPr>
        <w:t>。</w:t>
      </w:r>
    </w:p>
    <w:p>
      <w:pPr>
        <w:pStyle w:val="53"/>
        <w:numPr>
          <w:ilvl w:val="0"/>
          <w:numId w:val="6"/>
        </w:numPr>
        <w:spacing w:beforeLines="50" w:afterLines="50" w:line="360" w:lineRule="auto"/>
        <w:ind w:left="0" w:firstLine="420"/>
        <w:rPr>
          <w:rFonts w:ascii="宋体" w:hAnsi="宋体" w:eastAsia="宋体"/>
        </w:rPr>
      </w:pPr>
      <w:r>
        <w:rPr>
          <w:rFonts w:hint="eastAsia" w:ascii="宋体" w:hAnsi="宋体" w:eastAsia="宋体"/>
          <w:color w:val="auto"/>
        </w:rPr>
        <w:t>数据交换共享平台建设：</w:t>
      </w:r>
      <w:r>
        <w:rPr>
          <w:rFonts w:hint="eastAsia" w:ascii="宋体" w:hAnsi="宋体" w:eastAsia="宋体"/>
        </w:rPr>
        <w:t>通过多源数据实时汇聚，</w:t>
      </w:r>
      <w:r>
        <w:rPr>
          <w:rFonts w:ascii="宋体" w:hAnsi="宋体" w:eastAsia="宋体"/>
        </w:rPr>
        <w:t>建立共享数据资源池</w:t>
      </w:r>
      <w:r>
        <w:rPr>
          <w:rFonts w:hint="eastAsia" w:ascii="宋体" w:hAnsi="宋体" w:eastAsia="宋体"/>
        </w:rPr>
        <w:t>，构造对外部系统的统一接口，实现收费数据资源的交换共享。</w:t>
      </w:r>
    </w:p>
    <w:p>
      <w:pPr>
        <w:keepNext/>
        <w:keepLines/>
        <w:spacing w:before="260" w:after="260" w:line="416" w:lineRule="auto"/>
        <w:outlineLvl w:val="1"/>
        <w:rPr>
          <w:rFonts w:ascii="Calibri Light" w:hAnsi="Calibri Light"/>
          <w:b/>
          <w:bCs/>
          <w:sz w:val="32"/>
          <w:szCs w:val="32"/>
        </w:rPr>
      </w:pPr>
      <w:bookmarkStart w:id="80" w:name="_Toc9077"/>
      <w:bookmarkStart w:id="81" w:name="_Toc78795602"/>
      <w:bookmarkStart w:id="82" w:name="_Toc66936432"/>
      <w:r>
        <w:rPr>
          <w:rFonts w:ascii="Calibri Light" w:hAnsi="Calibri Light"/>
          <w:b/>
          <w:bCs/>
          <w:sz w:val="32"/>
          <w:szCs w:val="32"/>
        </w:rPr>
        <w:t>2.4</w:t>
      </w:r>
      <w:r>
        <w:rPr>
          <w:rFonts w:hint="eastAsia" w:ascii="Calibri Light" w:hAnsi="Calibri Light"/>
          <w:b/>
          <w:bCs/>
          <w:sz w:val="32"/>
          <w:szCs w:val="32"/>
        </w:rPr>
        <w:t>平台运维服务</w:t>
      </w:r>
      <w:bookmarkEnd w:id="80"/>
      <w:bookmarkEnd w:id="81"/>
      <w:bookmarkEnd w:id="82"/>
    </w:p>
    <w:p>
      <w:pPr>
        <w:pStyle w:val="54"/>
        <w:spacing w:line="360" w:lineRule="auto"/>
        <w:ind w:firstLine="480"/>
        <w:rPr>
          <w:rFonts w:ascii="宋体" w:hAnsi="宋体" w:eastAsia="宋体" w:cs="宋体"/>
        </w:rPr>
      </w:pPr>
      <w:r>
        <w:rPr>
          <w:rFonts w:hint="eastAsia" w:ascii="宋体" w:hAnsi="宋体" w:eastAsia="宋体" w:cs="宋体"/>
        </w:rPr>
        <w:t>本项目所有扩容的硬件产品和软件需要由产品原厂商提供维保服务，维保服务从验收通过之日起算。维保服务期的服务内容包括：</w:t>
      </w:r>
    </w:p>
    <w:p>
      <w:pPr>
        <w:pStyle w:val="54"/>
        <w:spacing w:line="360" w:lineRule="auto"/>
        <w:ind w:firstLine="480"/>
        <w:rPr>
          <w:rFonts w:ascii="宋体" w:hAnsi="宋体" w:eastAsia="宋体" w:cs="宋体"/>
        </w:rPr>
      </w:pPr>
      <w:r>
        <w:rPr>
          <w:rFonts w:hint="eastAsia" w:ascii="宋体" w:hAnsi="宋体" w:eastAsia="宋体" w:cs="宋体"/>
        </w:rPr>
        <w:t>1）远程支持服务：对于问题咨询及申报的故障，中标供应商及原厂商必须进行远程故障分析与处理，及时排除故障。远程支持服务方式包括但不限于在线、电话、邮件及远程接入。</w:t>
      </w:r>
    </w:p>
    <w:p>
      <w:pPr>
        <w:pStyle w:val="54"/>
        <w:spacing w:line="360" w:lineRule="auto"/>
        <w:ind w:firstLine="480"/>
        <w:rPr>
          <w:rFonts w:ascii="宋体" w:hAnsi="宋体" w:eastAsia="宋体" w:cs="宋体"/>
        </w:rPr>
      </w:pPr>
      <w:r>
        <w:rPr>
          <w:rFonts w:hint="eastAsia" w:ascii="宋体" w:hAnsi="宋体" w:eastAsia="宋体" w:cs="宋体"/>
        </w:rPr>
        <w:t>2）备件支持服务：由于原厂商或供应商原因造成的各种硬件和软件故障，应由原厂商免费迅速修复。原厂商免费以同等功能和性能的配件更换正常使用下损坏的配件，提供免备件费、免人工费、免服务费的故障备件更换服务。</w:t>
      </w:r>
    </w:p>
    <w:p>
      <w:pPr>
        <w:pStyle w:val="54"/>
        <w:spacing w:line="360" w:lineRule="auto"/>
        <w:ind w:firstLine="480"/>
        <w:rPr>
          <w:rFonts w:ascii="宋体" w:hAnsi="宋体" w:eastAsia="宋体" w:cs="宋体"/>
        </w:rPr>
      </w:pPr>
      <w:r>
        <w:rPr>
          <w:rFonts w:hint="eastAsia" w:ascii="宋体" w:hAnsi="宋体" w:eastAsia="宋体" w:cs="宋体"/>
        </w:rPr>
        <w:t>3）现场支持服务：当设备和系统遇到远程支持和更换备件都无法解决的情况下，中标供应商及原厂商应该在约定的时间内安排经验丰富的技术工程师和专家赴现场排除故障使系统恢复正常运行。</w:t>
      </w:r>
    </w:p>
    <w:p>
      <w:pPr>
        <w:pStyle w:val="54"/>
        <w:spacing w:line="360" w:lineRule="auto"/>
        <w:ind w:firstLine="480"/>
        <w:rPr>
          <w:rFonts w:ascii="宋体" w:hAnsi="宋体" w:eastAsia="宋体" w:cs="宋体"/>
        </w:rPr>
      </w:pPr>
      <w:r>
        <w:rPr>
          <w:rFonts w:hint="eastAsia" w:ascii="宋体" w:hAnsi="宋体" w:eastAsia="宋体" w:cs="宋体"/>
        </w:rPr>
        <w:t>在最终用户使用主流品牌的硬件、软件产品出现兼容性问题时，原厂商须积极配合，与有关硬件、软件厂商和最终用户接洽，及时定位问题原因、寻求解决方案。</w:t>
      </w:r>
      <w:bookmarkStart w:id="83" w:name="_Toc66936434"/>
      <w:bookmarkStart w:id="84" w:name="_Toc23238"/>
    </w:p>
    <w:bookmarkEnd w:id="83"/>
    <w:bookmarkEnd w:id="84"/>
    <w:p>
      <w:pPr>
        <w:keepNext/>
        <w:keepLines/>
        <w:spacing w:before="260" w:after="260" w:line="416" w:lineRule="auto"/>
        <w:outlineLvl w:val="1"/>
        <w:rPr>
          <w:rFonts w:ascii="Calibri Light" w:hAnsi="Calibri Light"/>
          <w:b/>
          <w:bCs/>
          <w:sz w:val="32"/>
          <w:szCs w:val="32"/>
        </w:rPr>
      </w:pPr>
      <w:bookmarkStart w:id="85" w:name="_Toc78795603"/>
      <w:bookmarkStart w:id="86" w:name="_Toc6306"/>
      <w:bookmarkStart w:id="87" w:name="_Toc66936435"/>
      <w:r>
        <w:rPr>
          <w:rFonts w:ascii="Calibri Light" w:hAnsi="Calibri Light"/>
          <w:b/>
          <w:bCs/>
          <w:sz w:val="32"/>
          <w:szCs w:val="32"/>
        </w:rPr>
        <w:t>2.5</w:t>
      </w:r>
      <w:r>
        <w:rPr>
          <w:rFonts w:hint="eastAsia" w:ascii="Calibri Light" w:hAnsi="Calibri Light"/>
          <w:b/>
          <w:bCs/>
          <w:sz w:val="32"/>
          <w:szCs w:val="32"/>
        </w:rPr>
        <w:t>平台培训服务</w:t>
      </w:r>
      <w:bookmarkEnd w:id="85"/>
      <w:bookmarkEnd w:id="86"/>
      <w:bookmarkEnd w:id="87"/>
    </w:p>
    <w:p>
      <w:pPr>
        <w:pStyle w:val="54"/>
        <w:spacing w:line="360" w:lineRule="auto"/>
        <w:ind w:firstLine="480"/>
        <w:rPr>
          <w:rFonts w:ascii="宋体" w:hAnsi="宋体" w:eastAsia="宋体" w:cs="宋体"/>
        </w:rPr>
      </w:pPr>
      <w:r>
        <w:rPr>
          <w:rFonts w:hint="eastAsia" w:ascii="宋体" w:hAnsi="宋体" w:eastAsia="宋体" w:cs="宋体"/>
        </w:rPr>
        <w:t>培训具体形式应包括面向维护操作人员的现场培训、面向骨干技术人员的高级产品培训。</w:t>
      </w:r>
    </w:p>
    <w:p>
      <w:pPr>
        <w:pStyle w:val="54"/>
        <w:spacing w:line="360" w:lineRule="auto"/>
        <w:ind w:firstLine="480"/>
        <w:rPr>
          <w:rFonts w:ascii="宋体" w:hAnsi="宋体" w:eastAsia="宋体" w:cs="宋体"/>
        </w:rPr>
      </w:pPr>
      <w:r>
        <w:rPr>
          <w:rFonts w:hint="eastAsia" w:ascii="宋体" w:hAnsi="宋体" w:eastAsia="宋体" w:cs="宋体"/>
        </w:rPr>
        <w:t>1）培训人数</w:t>
      </w:r>
    </w:p>
    <w:p>
      <w:pPr>
        <w:pStyle w:val="54"/>
        <w:spacing w:line="360" w:lineRule="auto"/>
        <w:ind w:firstLine="480"/>
        <w:rPr>
          <w:rFonts w:ascii="宋体" w:hAnsi="宋体" w:eastAsia="宋体" w:cs="宋体"/>
        </w:rPr>
      </w:pPr>
      <w:r>
        <w:rPr>
          <w:rFonts w:hint="eastAsia" w:ascii="宋体" w:hAnsi="宋体" w:eastAsia="宋体" w:cs="宋体"/>
        </w:rPr>
        <w:t>现场培训人数不少于</w:t>
      </w:r>
      <w:r>
        <w:rPr>
          <w:rFonts w:ascii="宋体" w:hAnsi="宋体" w:eastAsia="宋体" w:cs="宋体"/>
        </w:rPr>
        <w:t>1</w:t>
      </w:r>
      <w:r>
        <w:rPr>
          <w:rFonts w:hint="eastAsia" w:ascii="宋体" w:hAnsi="宋体" w:eastAsia="宋体" w:cs="宋体"/>
        </w:rPr>
        <w:t>0人*</w:t>
      </w:r>
      <w:r>
        <w:rPr>
          <w:rFonts w:ascii="宋体" w:hAnsi="宋体" w:eastAsia="宋体" w:cs="宋体"/>
        </w:rPr>
        <w:t>2</w:t>
      </w:r>
      <w:r>
        <w:rPr>
          <w:rFonts w:hint="eastAsia" w:ascii="宋体" w:hAnsi="宋体" w:eastAsia="宋体" w:cs="宋体"/>
        </w:rPr>
        <w:t>天原厂培训，高级产品培训不少于5人*</w:t>
      </w:r>
      <w:r>
        <w:rPr>
          <w:rFonts w:ascii="宋体" w:hAnsi="宋体" w:eastAsia="宋体" w:cs="宋体"/>
        </w:rPr>
        <w:t>1</w:t>
      </w:r>
      <w:r>
        <w:rPr>
          <w:rFonts w:hint="eastAsia" w:ascii="宋体" w:hAnsi="宋体" w:eastAsia="宋体" w:cs="宋体"/>
        </w:rPr>
        <w:t>天原厂培训。</w:t>
      </w:r>
    </w:p>
    <w:p>
      <w:pPr>
        <w:pStyle w:val="54"/>
        <w:spacing w:line="360" w:lineRule="auto"/>
        <w:ind w:firstLine="480"/>
        <w:rPr>
          <w:rFonts w:ascii="宋体" w:hAnsi="宋体" w:eastAsia="宋体" w:cs="宋体"/>
        </w:rPr>
      </w:pPr>
      <w:r>
        <w:rPr>
          <w:rFonts w:hint="eastAsia" w:ascii="宋体" w:hAnsi="宋体" w:eastAsia="宋体" w:cs="宋体"/>
        </w:rPr>
        <w:t>2）培训内容</w:t>
      </w:r>
    </w:p>
    <w:p>
      <w:pPr>
        <w:pStyle w:val="53"/>
        <w:numPr>
          <w:ilvl w:val="0"/>
          <w:numId w:val="6"/>
        </w:numPr>
        <w:spacing w:beforeLines="50" w:afterLines="50" w:line="360" w:lineRule="auto"/>
        <w:ind w:left="0" w:firstLine="420"/>
        <w:sectPr>
          <w:pgSz w:w="11906" w:h="16838"/>
          <w:pgMar w:top="1440" w:right="1800" w:bottom="1440" w:left="1800" w:header="851" w:footer="992" w:gutter="0"/>
          <w:cols w:space="720" w:num="1"/>
          <w:docGrid w:type="lines" w:linePitch="312" w:charSpace="0"/>
        </w:sectPr>
      </w:pPr>
      <w:r>
        <w:rPr>
          <w:rFonts w:hint="eastAsia" w:ascii="宋体" w:hAnsi="宋体" w:eastAsia="宋体" w:cs="宋体"/>
        </w:rPr>
        <w:t>现场培训内容包括虚拟化、存储、服务器、网络、数据交换共享等产品基础知识、基本运维操作方法等。</w:t>
      </w:r>
    </w:p>
    <w:p>
      <w:pPr>
        <w:pStyle w:val="5"/>
        <w:numPr>
          <w:ilvl w:val="0"/>
          <w:numId w:val="5"/>
        </w:numPr>
        <w:spacing w:line="416" w:lineRule="auto"/>
        <w:rPr>
          <w:rFonts w:ascii="Cambria" w:hAnsi="Cambria"/>
          <w:bCs/>
          <w:kern w:val="0"/>
          <w:szCs w:val="32"/>
        </w:rPr>
      </w:pPr>
      <w:r>
        <w:rPr>
          <w:rFonts w:hint="eastAsia" w:ascii="Cambria" w:hAnsi="Cambria"/>
          <w:bCs/>
          <w:kern w:val="0"/>
          <w:szCs w:val="32"/>
        </w:rPr>
        <w:t>技术指标要求</w:t>
      </w:r>
    </w:p>
    <w:tbl>
      <w:tblPr>
        <w:tblStyle w:val="16"/>
        <w:tblW w:w="14020" w:type="dxa"/>
        <w:jc w:val="center"/>
        <w:tblLayout w:type="fixed"/>
        <w:tblCellMar>
          <w:top w:w="0" w:type="dxa"/>
          <w:left w:w="0" w:type="dxa"/>
          <w:bottom w:w="0" w:type="dxa"/>
          <w:right w:w="0" w:type="dxa"/>
        </w:tblCellMar>
      </w:tblPr>
      <w:tblGrid>
        <w:gridCol w:w="729"/>
        <w:gridCol w:w="1104"/>
        <w:gridCol w:w="1358"/>
        <w:gridCol w:w="9268"/>
        <w:gridCol w:w="796"/>
        <w:gridCol w:w="765"/>
      </w:tblGrid>
      <w:tr>
        <w:tblPrEx>
          <w:tblCellMar>
            <w:top w:w="0" w:type="dxa"/>
            <w:left w:w="0" w:type="dxa"/>
            <w:bottom w:w="0" w:type="dxa"/>
            <w:right w:w="0" w:type="dxa"/>
          </w:tblCellMar>
        </w:tblPrEx>
        <w:trPr>
          <w:trHeight w:val="363" w:hRule="atLeast"/>
          <w:tblHeader/>
          <w:jc w:val="center"/>
        </w:trPr>
        <w:tc>
          <w:tcPr>
            <w:tcW w:w="615" w:type="dxa"/>
            <w:tcBorders>
              <w:top w:val="single" w:color="auto" w:sz="4" w:space="0"/>
              <w:left w:val="single" w:color="auto" w:sz="4" w:space="0"/>
              <w:bottom w:val="single" w:color="000000" w:sz="4" w:space="0"/>
              <w:right w:val="single" w:color="000000" w:sz="4" w:space="0"/>
            </w:tcBorders>
            <w:shd w:val="clear" w:color="auto" w:fill="D8D8D8"/>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序号</w:t>
            </w:r>
          </w:p>
        </w:tc>
        <w:tc>
          <w:tcPr>
            <w:tcW w:w="930" w:type="dxa"/>
            <w:tcBorders>
              <w:top w:val="single" w:color="auto"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类型</w:t>
            </w:r>
          </w:p>
        </w:tc>
        <w:tc>
          <w:tcPr>
            <w:tcW w:w="1144" w:type="dxa"/>
            <w:tcBorders>
              <w:top w:val="single" w:color="auto"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设备名称</w:t>
            </w:r>
          </w:p>
        </w:tc>
        <w:tc>
          <w:tcPr>
            <w:tcW w:w="7810" w:type="dxa"/>
            <w:tcBorders>
              <w:top w:val="single" w:color="auto"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主要性能指标</w:t>
            </w:r>
          </w:p>
        </w:tc>
        <w:tc>
          <w:tcPr>
            <w:tcW w:w="671" w:type="dxa"/>
            <w:tcBorders>
              <w:top w:val="single" w:color="auto"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单位</w:t>
            </w:r>
          </w:p>
        </w:tc>
        <w:tc>
          <w:tcPr>
            <w:tcW w:w="645" w:type="dxa"/>
            <w:tcBorders>
              <w:top w:val="single" w:color="auto" w:sz="4" w:space="0"/>
              <w:left w:val="single" w:color="000000" w:sz="4" w:space="0"/>
              <w:bottom w:val="single" w:color="000000" w:sz="4" w:space="0"/>
              <w:right w:val="single" w:color="auto" w:sz="4" w:space="0"/>
            </w:tcBorders>
            <w:shd w:val="clear" w:color="auto" w:fill="D8D8D8"/>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数量</w:t>
            </w: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1</w:t>
            </w:r>
          </w:p>
        </w:tc>
        <w:tc>
          <w:tcPr>
            <w:tcW w:w="9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计算资源</w:t>
            </w:r>
          </w:p>
          <w:p>
            <w:pPr>
              <w:widowControl/>
              <w:jc w:val="center"/>
              <w:textAlignment w:val="center"/>
              <w:rPr>
                <w:rFonts w:ascii="宋体" w:hAnsi="宋体" w:cs="宋体"/>
                <w:color w:val="000000"/>
              </w:rPr>
            </w:pPr>
            <w:r>
              <w:rPr>
                <w:rFonts w:hint="eastAsia" w:ascii="宋体" w:hAnsi="宋体" w:cs="宋体"/>
                <w:color w:val="000000"/>
                <w:kern w:val="0"/>
              </w:rPr>
              <w:t>服务器</w:t>
            </w:r>
          </w:p>
        </w:tc>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color w:val="000000"/>
                <w:kern w:val="0"/>
              </w:rPr>
            </w:pPr>
            <w:r>
              <w:rPr>
                <w:rFonts w:hint="eastAsia"/>
                <w:color w:val="000000"/>
              </w:rPr>
              <w:t>虚拟化服务器</w:t>
            </w:r>
          </w:p>
        </w:tc>
        <w:tc>
          <w:tcPr>
            <w:tcW w:w="7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2U机架式服务器；</w:t>
            </w:r>
          </w:p>
          <w:p>
            <w:pPr>
              <w:spacing w:line="300" w:lineRule="exact"/>
              <w:jc w:val="left"/>
              <w:rPr>
                <w:color w:val="000000"/>
              </w:rPr>
            </w:pPr>
            <w:r>
              <w:rPr>
                <w:rFonts w:hint="eastAsia"/>
                <w:color w:val="000000"/>
              </w:rPr>
              <w:t>CPU：配置≥2颗Intel至强金牌5218R CPU，每颗核数≥20核，主频≥2.1Ghz主频；</w:t>
            </w:r>
          </w:p>
          <w:p>
            <w:pPr>
              <w:spacing w:line="300" w:lineRule="exact"/>
              <w:jc w:val="left"/>
              <w:rPr>
                <w:color w:val="000000"/>
              </w:rPr>
            </w:pPr>
            <w:r>
              <w:rPr>
                <w:rFonts w:hint="eastAsia"/>
                <w:color w:val="000000"/>
              </w:rPr>
              <w:t>内存：配置≥512G DDR4 2933MHz ECC，支持NVDIMM和NVDIMM-N内存可实现意外断电时内存数据不丢失，最大可支持不少于12根英特尔傲腾数据中心级持久内存（DCPMM）；</w:t>
            </w:r>
          </w:p>
          <w:p>
            <w:pPr>
              <w:spacing w:line="300" w:lineRule="exact"/>
              <w:jc w:val="left"/>
              <w:rPr>
                <w:color w:val="000000"/>
              </w:rPr>
            </w:pPr>
            <w:r>
              <w:rPr>
                <w:rFonts w:hint="eastAsia"/>
                <w:color w:val="000000"/>
              </w:rPr>
              <w:t>硬盘：配置≥2块≥480G 2.5寸企业级SSD系统硬盘,板载支持2个PCIe M.2,支持2个SATA M.2；</w:t>
            </w:r>
          </w:p>
          <w:p>
            <w:pPr>
              <w:spacing w:line="300" w:lineRule="exact"/>
              <w:jc w:val="left"/>
              <w:rPr>
                <w:color w:val="000000"/>
              </w:rPr>
            </w:pPr>
            <w:r>
              <w:rPr>
                <w:rFonts w:hint="eastAsia"/>
                <w:color w:val="000000"/>
              </w:rPr>
              <w:t>网络：配置≥2个千兆电口，≥6个万兆光口（含模块）；</w:t>
            </w:r>
          </w:p>
          <w:p>
            <w:pPr>
              <w:spacing w:line="300" w:lineRule="exact"/>
              <w:jc w:val="left"/>
              <w:rPr>
                <w:color w:val="000000"/>
              </w:rPr>
            </w:pPr>
            <w:r>
              <w:rPr>
                <w:rFonts w:hint="eastAsia"/>
                <w:color w:val="000000"/>
              </w:rPr>
              <w:t>RAID卡：配置≥2GB缓存RAID卡，支持RAID0/1/5/6/10/50/60，同时支持直通，可选掉电保护超级电容；</w:t>
            </w:r>
          </w:p>
          <w:p>
            <w:pPr>
              <w:spacing w:line="300" w:lineRule="exact"/>
              <w:jc w:val="left"/>
              <w:rPr>
                <w:color w:val="000000"/>
              </w:rPr>
            </w:pPr>
            <w:r>
              <w:rPr>
                <w:rFonts w:hint="eastAsia"/>
                <w:color w:val="000000"/>
              </w:rPr>
              <w:t>PCIe扩展性：最大支持不少于10个PCIe3.0扩展插槽；</w:t>
            </w:r>
          </w:p>
          <w:p>
            <w:pPr>
              <w:spacing w:line="300" w:lineRule="exact"/>
              <w:jc w:val="left"/>
              <w:rPr>
                <w:color w:val="000000"/>
              </w:rPr>
            </w:pPr>
            <w:r>
              <w:rPr>
                <w:rFonts w:hint="eastAsia"/>
                <w:color w:val="000000"/>
              </w:rPr>
              <w:t>电源：冗余电源和满配风扇模块，单电源功率≥550W；</w:t>
            </w:r>
          </w:p>
          <w:p>
            <w:pPr>
              <w:spacing w:line="300" w:lineRule="exact"/>
              <w:jc w:val="left"/>
              <w:rPr>
                <w:color w:val="000000"/>
              </w:rPr>
            </w:pPr>
            <w:r>
              <w:rPr>
                <w:rFonts w:hint="eastAsia"/>
                <w:color w:val="000000"/>
              </w:rPr>
              <w:t>标准机柜导轨，所有网络模块配置齐全，3年原厂7*24整机产品保修服务，须提供原厂服务承诺函和来源渠道合法证明。</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color w:val="000000"/>
              </w:rPr>
            </w:pPr>
            <w:r>
              <w:rPr>
                <w:rFonts w:hint="eastAsia"/>
                <w:color w:val="000000"/>
              </w:rPr>
              <w:t>台</w:t>
            </w:r>
          </w:p>
        </w:tc>
        <w:tc>
          <w:tcPr>
            <w:tcW w:w="64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12</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w:t>
            </w:r>
          </w:p>
        </w:tc>
        <w:tc>
          <w:tcPr>
            <w:tcW w:w="93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容器平台</w:t>
            </w:r>
          </w:p>
          <w:p>
            <w:pPr>
              <w:spacing w:line="400" w:lineRule="exact"/>
              <w:jc w:val="center"/>
              <w:rPr>
                <w:color w:val="000000"/>
              </w:rPr>
            </w:pPr>
            <w:r>
              <w:rPr>
                <w:rFonts w:hint="eastAsia"/>
                <w:color w:val="000000"/>
              </w:rPr>
              <w:t>服务器</w:t>
            </w:r>
          </w:p>
        </w:tc>
        <w:tc>
          <w:tcPr>
            <w:tcW w:w="7810" w:type="dxa"/>
            <w:tcBorders>
              <w:top w:val="single" w:color="000000"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2U机架式服务器；</w:t>
            </w:r>
          </w:p>
          <w:p>
            <w:pPr>
              <w:spacing w:line="300" w:lineRule="exact"/>
              <w:jc w:val="left"/>
              <w:rPr>
                <w:color w:val="000000"/>
              </w:rPr>
            </w:pPr>
            <w:r>
              <w:rPr>
                <w:rFonts w:hint="eastAsia"/>
                <w:color w:val="000000"/>
              </w:rPr>
              <w:t>CPU：配置≥2颗Intel至强金牌5218R CPU，每颗核数≥20核，主频≥2.1Ghz主频；</w:t>
            </w:r>
          </w:p>
          <w:p>
            <w:pPr>
              <w:spacing w:line="300" w:lineRule="exact"/>
              <w:jc w:val="left"/>
              <w:rPr>
                <w:color w:val="000000"/>
              </w:rPr>
            </w:pPr>
            <w:r>
              <w:rPr>
                <w:rFonts w:hint="eastAsia"/>
                <w:color w:val="000000"/>
              </w:rPr>
              <w:t>内存：配置≥512G DDR4 2933MHz ECC，支持NVDIMM和NVDIMM-N内存可实现意外断电时内存数据不丢失，最大可支持12根英特尔傲腾数据中心级持久内存（DCPMM）；</w:t>
            </w:r>
          </w:p>
          <w:p>
            <w:pPr>
              <w:spacing w:line="300" w:lineRule="exact"/>
              <w:jc w:val="left"/>
              <w:rPr>
                <w:color w:val="000000"/>
              </w:rPr>
            </w:pPr>
            <w:r>
              <w:rPr>
                <w:rFonts w:hint="eastAsia"/>
                <w:color w:val="000000"/>
              </w:rPr>
              <w:t>硬盘：配置≥2块≥480G 2.5寸企业级SSD系统硬盘,板载支持2个PCIe M.2,支持2个SATA M.2；</w:t>
            </w:r>
          </w:p>
          <w:p>
            <w:pPr>
              <w:spacing w:line="300" w:lineRule="exact"/>
              <w:jc w:val="left"/>
              <w:rPr>
                <w:color w:val="000000"/>
              </w:rPr>
            </w:pPr>
            <w:r>
              <w:rPr>
                <w:rFonts w:hint="eastAsia"/>
                <w:color w:val="000000"/>
              </w:rPr>
              <w:t>网络：配置≥2个千兆电口，≥6个万兆光口（含模块）；</w:t>
            </w:r>
          </w:p>
          <w:p>
            <w:pPr>
              <w:spacing w:line="300" w:lineRule="exact"/>
              <w:jc w:val="left"/>
              <w:rPr>
                <w:color w:val="000000"/>
              </w:rPr>
            </w:pPr>
            <w:r>
              <w:rPr>
                <w:rFonts w:hint="eastAsia"/>
                <w:color w:val="000000"/>
              </w:rPr>
              <w:t>RAID卡：配置≥2GB缓存RAID卡，支持RAID0/1/5/6/10/50/60，同时支持直通，可选掉电保护超级电容；</w:t>
            </w:r>
          </w:p>
          <w:p>
            <w:pPr>
              <w:spacing w:line="300" w:lineRule="exact"/>
              <w:jc w:val="left"/>
              <w:rPr>
                <w:color w:val="000000"/>
              </w:rPr>
            </w:pPr>
            <w:r>
              <w:rPr>
                <w:rFonts w:hint="eastAsia"/>
                <w:color w:val="000000"/>
              </w:rPr>
              <w:t>PCIe扩展性：最大支持不少于10个PCIe3.0扩展插槽；</w:t>
            </w:r>
          </w:p>
          <w:p>
            <w:pPr>
              <w:spacing w:line="300" w:lineRule="exact"/>
              <w:jc w:val="left"/>
              <w:rPr>
                <w:color w:val="000000"/>
              </w:rPr>
            </w:pPr>
            <w:r>
              <w:rPr>
                <w:rFonts w:hint="eastAsia"/>
                <w:color w:val="000000"/>
              </w:rPr>
              <w:t>电源：冗余电源和满配风扇模块，单电源功率≥550W；</w:t>
            </w:r>
          </w:p>
          <w:p>
            <w:pPr>
              <w:spacing w:line="300" w:lineRule="exact"/>
              <w:jc w:val="left"/>
              <w:rPr>
                <w:color w:val="000000"/>
              </w:rPr>
            </w:pPr>
            <w:r>
              <w:rPr>
                <w:rFonts w:hint="eastAsia"/>
                <w:color w:val="000000"/>
              </w:rPr>
              <w:t>标准机柜导轨，所有网络模块配置齐全。3年原厂7*24整机产品保修服务，须提供原厂服务承诺函和来源渠道合法证明。</w:t>
            </w:r>
            <w:r>
              <w:rPr>
                <w:color w:val="000000"/>
              </w:rPr>
              <w:t xml:space="preserve"> </w:t>
            </w:r>
          </w:p>
        </w:tc>
        <w:tc>
          <w:tcPr>
            <w:tcW w:w="6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rPr>
            </w:pPr>
            <w:r>
              <w:rPr>
                <w:rFonts w:hint="eastAsia"/>
                <w:color w:val="000000"/>
              </w:rPr>
              <w:t>台</w:t>
            </w:r>
          </w:p>
        </w:tc>
        <w:tc>
          <w:tcPr>
            <w:tcW w:w="64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color w:val="000000"/>
              </w:rPr>
              <w:t>5</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w:t>
            </w:r>
          </w:p>
        </w:tc>
        <w:tc>
          <w:tcPr>
            <w:tcW w:w="93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容器平台高性能服务器</w:t>
            </w:r>
          </w:p>
        </w:tc>
        <w:tc>
          <w:tcPr>
            <w:tcW w:w="7810" w:type="dxa"/>
            <w:tcBorders>
              <w:top w:val="single" w:color="auto" w:sz="4" w:space="0"/>
              <w:left w:val="single" w:color="auto" w:sz="4" w:space="0"/>
              <w:bottom w:val="single" w:color="000000"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4U机架式服务器；</w:t>
            </w:r>
          </w:p>
          <w:p>
            <w:pPr>
              <w:spacing w:line="300" w:lineRule="exact"/>
              <w:jc w:val="left"/>
              <w:rPr>
                <w:color w:val="000000"/>
              </w:rPr>
            </w:pPr>
            <w:r>
              <w:rPr>
                <w:rFonts w:hint="eastAsia"/>
                <w:color w:val="000000"/>
              </w:rPr>
              <w:t>CPU：配置≥4颗Intel至强金牌6248 CPU，每颗核数≥20核，主频≥2.5Ghz主频；</w:t>
            </w:r>
          </w:p>
          <w:p>
            <w:pPr>
              <w:spacing w:line="300" w:lineRule="exact"/>
              <w:jc w:val="left"/>
              <w:rPr>
                <w:color w:val="000000"/>
              </w:rPr>
            </w:pPr>
            <w:r>
              <w:rPr>
                <w:rFonts w:hint="eastAsia"/>
                <w:color w:val="000000"/>
              </w:rPr>
              <w:t>内存：配置≥512G DDR4 2933MHz ECC，支持NVDIMM和NVDIMM-N内存可实现意外断电时内存数据不丢失，最大可支持24根英特尔傲腾数据中心级持久内存（DCPMM）；</w:t>
            </w:r>
          </w:p>
          <w:p>
            <w:pPr>
              <w:spacing w:line="300" w:lineRule="exact"/>
              <w:jc w:val="left"/>
              <w:rPr>
                <w:color w:val="000000"/>
              </w:rPr>
            </w:pPr>
            <w:r>
              <w:rPr>
                <w:rFonts w:hint="eastAsia"/>
                <w:color w:val="000000"/>
              </w:rPr>
              <w:t>硬盘：配置≥2块≥480G 2.5寸企业级SSD系统硬盘，配置≥15块≥7.68T 2.5寸企业级SSD数据硬盘,板载支持2个PCIe M.2,支持2个SATA M.2；</w:t>
            </w:r>
          </w:p>
          <w:p>
            <w:pPr>
              <w:spacing w:line="300" w:lineRule="exact"/>
              <w:jc w:val="left"/>
              <w:rPr>
                <w:color w:val="000000"/>
              </w:rPr>
            </w:pPr>
            <w:r>
              <w:rPr>
                <w:rFonts w:hint="eastAsia"/>
                <w:color w:val="000000"/>
              </w:rPr>
              <w:t>网络：配置≥2个千兆电口，≥4个万兆光口（含模块）；</w:t>
            </w:r>
          </w:p>
          <w:p>
            <w:pPr>
              <w:spacing w:line="300" w:lineRule="exact"/>
              <w:jc w:val="left"/>
              <w:rPr>
                <w:color w:val="000000"/>
              </w:rPr>
            </w:pPr>
            <w:r>
              <w:rPr>
                <w:rFonts w:hint="eastAsia"/>
                <w:color w:val="000000"/>
              </w:rPr>
              <w:t>RAID卡：配置≥2GB缓存RAID卡，支持RAID0/1/5/6/10/50/60，同时支持直通，配置掉电保护超级电容；</w:t>
            </w:r>
          </w:p>
          <w:p>
            <w:pPr>
              <w:spacing w:line="300" w:lineRule="exact"/>
              <w:jc w:val="left"/>
              <w:rPr>
                <w:color w:val="000000"/>
              </w:rPr>
            </w:pPr>
            <w:r>
              <w:rPr>
                <w:rFonts w:hint="eastAsia"/>
                <w:color w:val="000000"/>
              </w:rPr>
              <w:t>PCIe扩展性：最大支持不少于14个PCIe3.0扩展插槽；</w:t>
            </w:r>
          </w:p>
          <w:p>
            <w:pPr>
              <w:spacing w:line="300" w:lineRule="exact"/>
              <w:jc w:val="left"/>
              <w:rPr>
                <w:color w:val="000000"/>
              </w:rPr>
            </w:pPr>
            <w:r>
              <w:rPr>
                <w:rFonts w:hint="eastAsia"/>
                <w:color w:val="000000"/>
              </w:rPr>
              <w:t>电源：2+2冗余电源和满配风扇模块，单电源功率≥550W；</w:t>
            </w:r>
          </w:p>
          <w:p>
            <w:pPr>
              <w:spacing w:line="300" w:lineRule="exact"/>
              <w:jc w:val="left"/>
              <w:rPr>
                <w:color w:val="000000"/>
              </w:rPr>
            </w:pPr>
            <w:r>
              <w:rPr>
                <w:rFonts w:hint="eastAsia"/>
                <w:color w:val="000000"/>
              </w:rPr>
              <w:t>标准机柜导轨，所有网络模块配置齐全，3年原厂7*24整机产品保修服务，须提供原厂服务承诺函和来源渠道合法证明。</w:t>
            </w:r>
          </w:p>
        </w:tc>
        <w:tc>
          <w:tcPr>
            <w:tcW w:w="67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color w:val="000000"/>
                <w:szCs w:val="20"/>
              </w:rPr>
            </w:pPr>
            <w:r>
              <w:rPr>
                <w:rFonts w:hint="eastAsia"/>
                <w:color w:val="000000"/>
                <w:szCs w:val="20"/>
              </w:rPr>
              <w:t>台</w:t>
            </w:r>
          </w:p>
        </w:tc>
        <w:tc>
          <w:tcPr>
            <w:tcW w:w="64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1</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rPr>
            </w:pPr>
            <w:r>
              <w:rPr>
                <w:rFonts w:hint="eastAsia" w:ascii="宋体" w:hAnsi="宋体" w:cs="宋体"/>
                <w:color w:val="000000"/>
                <w:kern w:val="0"/>
              </w:rPr>
              <w:t>4</w:t>
            </w:r>
          </w:p>
        </w:tc>
        <w:tc>
          <w:tcPr>
            <w:tcW w:w="93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color w:val="000000"/>
              </w:rPr>
            </w:pPr>
          </w:p>
        </w:tc>
        <w:tc>
          <w:tcPr>
            <w:tcW w:w="114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同步分区负载服务器</w:t>
            </w:r>
          </w:p>
        </w:tc>
        <w:tc>
          <w:tcPr>
            <w:tcW w:w="7810" w:type="dxa"/>
            <w:tcBorders>
              <w:top w:val="single" w:color="000000"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color w:val="000000"/>
              </w:rPr>
              <w:t>4U机架式服务器；</w:t>
            </w:r>
          </w:p>
          <w:p>
            <w:pPr>
              <w:spacing w:line="300" w:lineRule="exact"/>
              <w:jc w:val="left"/>
              <w:rPr>
                <w:color w:val="000000"/>
              </w:rPr>
            </w:pPr>
            <w:r>
              <w:rPr>
                <w:color w:val="000000"/>
              </w:rPr>
              <w:t>CPU：配置≥4颗Intel</w:t>
            </w:r>
            <w:r>
              <w:rPr>
                <w:rFonts w:hint="eastAsia"/>
                <w:color w:val="000000"/>
              </w:rPr>
              <w:t>至强金牌</w:t>
            </w:r>
            <w:r>
              <w:rPr>
                <w:color w:val="000000"/>
              </w:rPr>
              <w:t>6248 CPU，每颗核数≥20核，主频≥2.5Ghz主频；</w:t>
            </w:r>
          </w:p>
          <w:p>
            <w:pPr>
              <w:spacing w:line="300" w:lineRule="exact"/>
              <w:jc w:val="left"/>
              <w:rPr>
                <w:color w:val="000000"/>
              </w:rPr>
            </w:pPr>
            <w:r>
              <w:rPr>
                <w:color w:val="000000"/>
              </w:rPr>
              <w:t>内存：配置≥512G DDR4 2933MHz ECC，</w:t>
            </w:r>
            <w:r>
              <w:rPr>
                <w:rFonts w:hint="eastAsia"/>
                <w:color w:val="000000"/>
              </w:rPr>
              <w:t>（32GB*16根</w:t>
            </w:r>
            <w:r>
              <w:rPr>
                <w:color w:val="000000"/>
              </w:rPr>
              <w:t>DDR4 2933MHz ECC</w:t>
            </w:r>
            <w:r>
              <w:rPr>
                <w:rFonts w:hint="eastAsia"/>
                <w:color w:val="000000"/>
              </w:rPr>
              <w:t>）</w:t>
            </w:r>
            <w:r>
              <w:rPr>
                <w:color w:val="000000"/>
              </w:rPr>
              <w:t>；</w:t>
            </w:r>
          </w:p>
          <w:p>
            <w:pPr>
              <w:spacing w:line="300" w:lineRule="exact"/>
              <w:jc w:val="left"/>
              <w:rPr>
                <w:color w:val="000000"/>
              </w:rPr>
            </w:pPr>
            <w:r>
              <w:rPr>
                <w:color w:val="000000"/>
              </w:rPr>
              <w:t>硬盘：配置≥2块≥480G 2.5寸企业级SSD</w:t>
            </w:r>
            <w:r>
              <w:rPr>
                <w:rFonts w:hint="eastAsia"/>
                <w:color w:val="000000"/>
              </w:rPr>
              <w:t xml:space="preserve">  6Gb SATA</w:t>
            </w:r>
            <w:r>
              <w:rPr>
                <w:color w:val="000000"/>
              </w:rPr>
              <w:t>系统硬盘；</w:t>
            </w:r>
          </w:p>
          <w:p>
            <w:pPr>
              <w:spacing w:line="300" w:lineRule="exact"/>
              <w:jc w:val="left"/>
              <w:rPr>
                <w:color w:val="000000"/>
              </w:rPr>
            </w:pPr>
            <w:r>
              <w:rPr>
                <w:color w:val="000000"/>
              </w:rPr>
              <w:t>网</w:t>
            </w:r>
            <w:r>
              <w:rPr>
                <w:rFonts w:hint="eastAsia"/>
                <w:color w:val="000000"/>
              </w:rPr>
              <w:t>卡</w:t>
            </w:r>
            <w:r>
              <w:rPr>
                <w:color w:val="000000"/>
              </w:rPr>
              <w:t>：配置≥</w:t>
            </w:r>
            <w:r>
              <w:rPr>
                <w:rFonts w:hint="eastAsia"/>
                <w:color w:val="000000"/>
              </w:rPr>
              <w:t>2</w:t>
            </w:r>
            <w:r>
              <w:rPr>
                <w:color w:val="000000"/>
              </w:rPr>
              <w:t>个</w:t>
            </w:r>
            <w:r>
              <w:rPr>
                <w:rFonts w:hint="eastAsia"/>
                <w:color w:val="000000"/>
              </w:rPr>
              <w:t>PCI-E 双口10G光纤网卡</w:t>
            </w:r>
            <w:r>
              <w:rPr>
                <w:color w:val="000000"/>
              </w:rPr>
              <w:t>；</w:t>
            </w:r>
          </w:p>
          <w:p>
            <w:pPr>
              <w:spacing w:line="300" w:lineRule="exact"/>
              <w:jc w:val="left"/>
              <w:rPr>
                <w:color w:val="000000"/>
              </w:rPr>
            </w:pPr>
            <w:r>
              <w:rPr>
                <w:rFonts w:hint="eastAsia"/>
                <w:color w:val="000000"/>
              </w:rPr>
              <w:t>网卡模块：</w:t>
            </w:r>
            <w:r>
              <w:rPr>
                <w:color w:val="000000"/>
              </w:rPr>
              <w:t>配置≥</w:t>
            </w:r>
            <w:r>
              <w:rPr>
                <w:rFonts w:hint="eastAsia"/>
                <w:color w:val="000000"/>
              </w:rPr>
              <w:t>4</w:t>
            </w:r>
            <w:r>
              <w:rPr>
                <w:color w:val="000000"/>
              </w:rPr>
              <w:t>个</w:t>
            </w:r>
            <w:r>
              <w:rPr>
                <w:rFonts w:hint="eastAsia"/>
                <w:color w:val="000000"/>
              </w:rPr>
              <w:t>SFP+ 万兆多模光纤模块（Intel/Mellanox通用）</w:t>
            </w:r>
          </w:p>
          <w:p>
            <w:pPr>
              <w:spacing w:line="300" w:lineRule="exact"/>
              <w:jc w:val="left"/>
              <w:rPr>
                <w:color w:val="000000"/>
              </w:rPr>
            </w:pPr>
            <w:r>
              <w:rPr>
                <w:rFonts w:hint="eastAsia"/>
                <w:color w:val="000000"/>
              </w:rPr>
              <w:t>FC HBA卡</w:t>
            </w:r>
            <w:r>
              <w:rPr>
                <w:color w:val="000000"/>
              </w:rPr>
              <w:t>：配置≥2块</w:t>
            </w:r>
            <w:r>
              <w:rPr>
                <w:rFonts w:hint="eastAsia"/>
                <w:color w:val="000000"/>
              </w:rPr>
              <w:t>16Gb/s 单端口多模PCIe x8 半高(含光模块)</w:t>
            </w:r>
            <w:r>
              <w:rPr>
                <w:color w:val="000000"/>
              </w:rPr>
              <w:t>；</w:t>
            </w:r>
          </w:p>
          <w:p>
            <w:pPr>
              <w:spacing w:line="300" w:lineRule="exact"/>
              <w:jc w:val="left"/>
              <w:rPr>
                <w:color w:val="000000"/>
              </w:rPr>
            </w:pPr>
            <w:r>
              <w:rPr>
                <w:color w:val="000000"/>
              </w:rPr>
              <w:t>RAID卡：配置≥2GB缓存RAID卡，支持</w:t>
            </w:r>
            <w:r>
              <w:rPr>
                <w:rFonts w:hint="eastAsia"/>
                <w:color w:val="000000"/>
              </w:rPr>
              <w:t>R0 1 5 6 10 50 60</w:t>
            </w:r>
            <w:r>
              <w:rPr>
                <w:color w:val="000000"/>
              </w:rPr>
              <w:t>；</w:t>
            </w:r>
          </w:p>
          <w:p>
            <w:pPr>
              <w:spacing w:line="300" w:lineRule="exact"/>
              <w:jc w:val="left"/>
              <w:rPr>
                <w:color w:val="000000"/>
              </w:rPr>
            </w:pPr>
            <w:r>
              <w:rPr>
                <w:color w:val="000000"/>
              </w:rPr>
              <w:t>电源：</w:t>
            </w:r>
            <w:r>
              <w:rPr>
                <w:rFonts w:hint="eastAsia"/>
                <w:color w:val="000000"/>
              </w:rPr>
              <w:t>1600W钛金96%效率2+2冗余电源</w:t>
            </w:r>
            <w:r>
              <w:rPr>
                <w:color w:val="000000"/>
              </w:rPr>
              <w:t>；</w:t>
            </w:r>
          </w:p>
          <w:p>
            <w:pPr>
              <w:spacing w:line="300" w:lineRule="exact"/>
              <w:jc w:val="left"/>
            </w:pPr>
            <w:r>
              <w:rPr>
                <w:rFonts w:hint="eastAsia"/>
                <w:color w:val="000000"/>
              </w:rPr>
              <w:t>标准机柜导轨，</w:t>
            </w:r>
            <w:r>
              <w:rPr>
                <w:color w:val="000000"/>
              </w:rPr>
              <w:t>3年原厂7*24整机产品保修服务，须提供</w:t>
            </w:r>
            <w:r>
              <w:rPr>
                <w:rFonts w:hint="eastAsia"/>
                <w:color w:val="000000"/>
              </w:rPr>
              <w:t>原厂服务承诺函和来源渠道合法证明</w:t>
            </w:r>
            <w:r>
              <w:rPr>
                <w:color w:val="000000"/>
              </w:rPr>
              <w:t>。</w:t>
            </w:r>
          </w:p>
        </w:tc>
        <w:tc>
          <w:tcPr>
            <w:tcW w:w="6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szCs w:val="20"/>
              </w:rPr>
            </w:pPr>
            <w:r>
              <w:rPr>
                <w:rFonts w:hint="eastAsia"/>
                <w:color w:val="000000"/>
                <w:szCs w:val="20"/>
              </w:rPr>
              <w:t>台</w:t>
            </w:r>
          </w:p>
        </w:tc>
        <w:tc>
          <w:tcPr>
            <w:tcW w:w="64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2</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w:t>
            </w:r>
          </w:p>
        </w:tc>
        <w:tc>
          <w:tcPr>
            <w:tcW w:w="93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color w:val="000000"/>
                <w:kern w:val="0"/>
                <w:szCs w:val="20"/>
              </w:rPr>
            </w:pPr>
            <w:r>
              <w:rPr>
                <w:rFonts w:hint="eastAsia"/>
                <w:color w:val="000000"/>
                <w:szCs w:val="20"/>
              </w:rPr>
              <w:t>交换共享平台服务器</w:t>
            </w:r>
          </w:p>
        </w:tc>
        <w:tc>
          <w:tcPr>
            <w:tcW w:w="7810" w:type="dxa"/>
            <w:tcBorders>
              <w:top w:val="single" w:color="auto"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4U机架式服务器；</w:t>
            </w:r>
          </w:p>
          <w:p>
            <w:pPr>
              <w:spacing w:line="300" w:lineRule="exact"/>
              <w:jc w:val="left"/>
              <w:rPr>
                <w:color w:val="000000"/>
              </w:rPr>
            </w:pPr>
            <w:r>
              <w:rPr>
                <w:rFonts w:hint="eastAsia"/>
                <w:color w:val="000000"/>
              </w:rPr>
              <w:t>CPU：配置≥4颗Intel至强金牌6248 CPU，每颗核数≥20核，主频≥2.5Ghz主频；</w:t>
            </w:r>
          </w:p>
          <w:p>
            <w:pPr>
              <w:spacing w:line="300" w:lineRule="exact"/>
              <w:jc w:val="left"/>
              <w:rPr>
                <w:color w:val="000000"/>
              </w:rPr>
            </w:pPr>
            <w:r>
              <w:rPr>
                <w:rFonts w:hint="eastAsia"/>
                <w:color w:val="000000"/>
              </w:rPr>
              <w:t>内存：配置≥512G DDR4 2933MHz ECC，支持NVDIMM和NVDIMM-N内存可实现意外断电时内存数据不丢失，最大可支持24根英特尔傲腾数据中心级持久内存（DCPMM）；</w:t>
            </w:r>
          </w:p>
          <w:p>
            <w:pPr>
              <w:spacing w:line="300" w:lineRule="exact"/>
              <w:jc w:val="left"/>
              <w:rPr>
                <w:color w:val="000000"/>
              </w:rPr>
            </w:pPr>
            <w:r>
              <w:rPr>
                <w:rFonts w:hint="eastAsia"/>
                <w:color w:val="000000"/>
              </w:rPr>
              <w:t>硬盘：配置≥2块≥480G 2.5寸企业级SSD系统硬盘，配置≥15块≥7.68T 2.5寸企业级SSD数据硬盘,板载支持2个PCIe M.2,支持2个SATA M.2；</w:t>
            </w:r>
          </w:p>
          <w:p>
            <w:pPr>
              <w:spacing w:line="300" w:lineRule="exact"/>
              <w:jc w:val="left"/>
              <w:rPr>
                <w:color w:val="000000"/>
              </w:rPr>
            </w:pPr>
            <w:r>
              <w:rPr>
                <w:rFonts w:hint="eastAsia"/>
                <w:color w:val="000000"/>
              </w:rPr>
              <w:t>网络：配置≥2个千兆电口，≥4个万兆光口（含模块）；</w:t>
            </w:r>
          </w:p>
          <w:p>
            <w:pPr>
              <w:spacing w:line="300" w:lineRule="exact"/>
              <w:jc w:val="left"/>
              <w:rPr>
                <w:color w:val="000000"/>
              </w:rPr>
            </w:pPr>
            <w:r>
              <w:rPr>
                <w:rFonts w:hint="eastAsia"/>
                <w:color w:val="000000"/>
              </w:rPr>
              <w:t>RAID卡：配置≥2GB缓存RAID卡，支持RAID0/1/5/6/10/50/60，同时支持直通，配置掉电保护超级电容；</w:t>
            </w:r>
          </w:p>
          <w:p>
            <w:pPr>
              <w:spacing w:line="300" w:lineRule="exact"/>
              <w:jc w:val="left"/>
              <w:rPr>
                <w:color w:val="000000"/>
              </w:rPr>
            </w:pPr>
            <w:r>
              <w:rPr>
                <w:rFonts w:hint="eastAsia"/>
                <w:color w:val="000000"/>
              </w:rPr>
              <w:t>PCIe扩展性：最大支持不少于14个PCIe3.0扩展插槽，当前配置≥5个PCIe 3.0 X16插槽；</w:t>
            </w:r>
          </w:p>
          <w:p>
            <w:pPr>
              <w:spacing w:line="300" w:lineRule="exact"/>
              <w:jc w:val="left"/>
              <w:rPr>
                <w:color w:val="000000"/>
              </w:rPr>
            </w:pPr>
            <w:r>
              <w:rPr>
                <w:rFonts w:hint="eastAsia"/>
                <w:color w:val="000000"/>
              </w:rPr>
              <w:t>电源：2+2冗余电源和满配风扇模块，单电源功率≥550W；</w:t>
            </w:r>
          </w:p>
          <w:p>
            <w:pPr>
              <w:spacing w:line="300" w:lineRule="exact"/>
              <w:jc w:val="left"/>
              <w:rPr>
                <w:color w:val="000000"/>
                <w:szCs w:val="20"/>
              </w:rPr>
            </w:pPr>
            <w:r>
              <w:rPr>
                <w:rFonts w:hint="eastAsia"/>
                <w:color w:val="000000"/>
              </w:rPr>
              <w:t>3年原厂7*24整机产品保修服务，须提供原厂服务承诺函和来源渠道合法证明。</w:t>
            </w:r>
          </w:p>
        </w:tc>
        <w:tc>
          <w:tcPr>
            <w:tcW w:w="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szCs w:val="20"/>
              </w:rPr>
            </w:pPr>
            <w:r>
              <w:rPr>
                <w:rFonts w:hint="eastAsia"/>
                <w:color w:val="000000"/>
                <w:szCs w:val="20"/>
              </w:rPr>
              <w:t>台</w:t>
            </w:r>
          </w:p>
        </w:tc>
        <w:tc>
          <w:tcPr>
            <w:tcW w:w="6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color w:val="000000"/>
              </w:rPr>
              <w:t>1</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w:t>
            </w:r>
          </w:p>
        </w:tc>
        <w:tc>
          <w:tcPr>
            <w:tcW w:w="9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存储资源服务器</w:t>
            </w: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全闪块存储</w:t>
            </w:r>
          </w:p>
          <w:p>
            <w:pPr>
              <w:spacing w:line="400" w:lineRule="exact"/>
              <w:jc w:val="center"/>
              <w:rPr>
                <w:color w:val="000000"/>
              </w:rPr>
            </w:pPr>
            <w:r>
              <w:rPr>
                <w:rFonts w:hint="eastAsia"/>
                <w:color w:val="000000"/>
              </w:rPr>
              <w:t>服务器</w:t>
            </w:r>
          </w:p>
        </w:tc>
        <w:tc>
          <w:tcPr>
            <w:tcW w:w="7810" w:type="dxa"/>
            <w:tcBorders>
              <w:top w:val="single" w:color="auto"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2U机架式服务器；</w:t>
            </w:r>
          </w:p>
          <w:p>
            <w:pPr>
              <w:spacing w:line="300" w:lineRule="exact"/>
              <w:jc w:val="left"/>
              <w:rPr>
                <w:color w:val="000000"/>
              </w:rPr>
            </w:pPr>
            <w:r>
              <w:rPr>
                <w:rFonts w:hint="eastAsia"/>
                <w:color w:val="000000"/>
              </w:rPr>
              <w:t>CPU：配置≥2颗Intel至强金牌5218R CPU，每颗核数≥20核，主频≥2.1Ghz主频；</w:t>
            </w:r>
          </w:p>
          <w:p>
            <w:pPr>
              <w:spacing w:line="300" w:lineRule="exact"/>
              <w:jc w:val="left"/>
              <w:rPr>
                <w:color w:val="000000"/>
              </w:rPr>
            </w:pPr>
            <w:r>
              <w:rPr>
                <w:rFonts w:hint="eastAsia"/>
                <w:color w:val="000000"/>
              </w:rPr>
              <w:t>内存：配置≥256G DDR4 2933MHz ECC，支持NVDIMM和NVDIMM-N内存可实现意外断电时内存数据不丢失，最大可支持12根英特尔傲腾数据中心级持久内存（DCPMM）；</w:t>
            </w:r>
          </w:p>
          <w:p>
            <w:pPr>
              <w:spacing w:line="300" w:lineRule="exact"/>
              <w:jc w:val="left"/>
              <w:rPr>
                <w:color w:val="000000"/>
              </w:rPr>
            </w:pPr>
            <w:r>
              <w:rPr>
                <w:rFonts w:hint="eastAsia"/>
                <w:color w:val="000000"/>
              </w:rPr>
              <w:t>硬盘：配置≥2块≥480G 2.5寸企业级SSD系统硬盘，配置≥22块≥960G 2.5寸读写均衡型 企业级SSD数据硬盘,板载支持2个PCIe M.2,支持2个SATA M.2；</w:t>
            </w:r>
          </w:p>
          <w:p>
            <w:pPr>
              <w:spacing w:line="300" w:lineRule="exact"/>
              <w:jc w:val="left"/>
              <w:rPr>
                <w:color w:val="000000"/>
              </w:rPr>
            </w:pPr>
            <w:r>
              <w:rPr>
                <w:rFonts w:hint="eastAsia"/>
                <w:color w:val="000000"/>
              </w:rPr>
              <w:t>网络：配置≥2个千兆电口，≥4个万兆光口（含模块）；</w:t>
            </w:r>
          </w:p>
          <w:p>
            <w:pPr>
              <w:spacing w:line="300" w:lineRule="exact"/>
              <w:jc w:val="left"/>
              <w:rPr>
                <w:color w:val="000000"/>
              </w:rPr>
            </w:pPr>
            <w:r>
              <w:rPr>
                <w:rFonts w:hint="eastAsia"/>
                <w:color w:val="000000"/>
              </w:rPr>
              <w:t>RAID卡：配置≥2GB缓存RAID卡，支持RAID0/1/5/6/10/50/60，同时支持直通，可选掉电保护超级电容；</w:t>
            </w:r>
          </w:p>
          <w:p>
            <w:pPr>
              <w:spacing w:line="300" w:lineRule="exact"/>
              <w:jc w:val="left"/>
              <w:rPr>
                <w:color w:val="000000"/>
              </w:rPr>
            </w:pPr>
            <w:r>
              <w:rPr>
                <w:rFonts w:hint="eastAsia"/>
                <w:color w:val="000000"/>
              </w:rPr>
              <w:t>PCIe扩展性：最大支持不少于10个PCIe3.0扩展插槽；</w:t>
            </w:r>
          </w:p>
          <w:p>
            <w:pPr>
              <w:spacing w:line="300" w:lineRule="exact"/>
              <w:jc w:val="left"/>
              <w:rPr>
                <w:color w:val="000000"/>
              </w:rPr>
            </w:pPr>
            <w:r>
              <w:rPr>
                <w:rFonts w:hint="eastAsia"/>
                <w:color w:val="000000"/>
              </w:rPr>
              <w:t>电源：冗余电源和满配风扇模块，单电源功率≥800W；</w:t>
            </w:r>
          </w:p>
          <w:p>
            <w:pPr>
              <w:spacing w:line="300" w:lineRule="exact"/>
              <w:jc w:val="left"/>
              <w:rPr>
                <w:color w:val="000000"/>
              </w:rPr>
            </w:pPr>
            <w:r>
              <w:rPr>
                <w:rFonts w:hint="eastAsia"/>
                <w:color w:val="000000"/>
              </w:rPr>
              <w:t>标准机柜导轨，所有网络模块配置齐全，3年原厂7*24整机产品保修服务，须提供原厂服务承诺函和来源渠道合法证明。</w:t>
            </w:r>
          </w:p>
        </w:tc>
        <w:tc>
          <w:tcPr>
            <w:tcW w:w="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rPr>
            </w:pPr>
            <w:r>
              <w:rPr>
                <w:rFonts w:hint="eastAsia"/>
                <w:color w:val="000000"/>
              </w:rPr>
              <w:t>台</w:t>
            </w:r>
          </w:p>
        </w:tc>
        <w:tc>
          <w:tcPr>
            <w:tcW w:w="6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3</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w:t>
            </w:r>
          </w:p>
        </w:tc>
        <w:tc>
          <w:tcPr>
            <w:tcW w:w="9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混合块存储</w:t>
            </w:r>
          </w:p>
          <w:p>
            <w:pPr>
              <w:spacing w:line="400" w:lineRule="exact"/>
              <w:jc w:val="center"/>
              <w:rPr>
                <w:color w:val="000000"/>
              </w:rPr>
            </w:pPr>
            <w:r>
              <w:rPr>
                <w:rFonts w:hint="eastAsia"/>
                <w:color w:val="000000"/>
              </w:rPr>
              <w:t>服务器</w:t>
            </w:r>
          </w:p>
        </w:tc>
        <w:tc>
          <w:tcPr>
            <w:tcW w:w="7810" w:type="dxa"/>
            <w:tcBorders>
              <w:top w:val="single" w:color="auto"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2U机架式服务器；</w:t>
            </w:r>
          </w:p>
          <w:p>
            <w:pPr>
              <w:spacing w:line="300" w:lineRule="exact"/>
              <w:jc w:val="left"/>
              <w:rPr>
                <w:color w:val="000000"/>
              </w:rPr>
            </w:pPr>
            <w:r>
              <w:rPr>
                <w:rFonts w:hint="eastAsia"/>
                <w:color w:val="000000"/>
              </w:rPr>
              <w:t>CPU：配置≥2颗Intel至强银牌4310 CPU，每颗核数≥12核，主频≥2.1Ghz主频；</w:t>
            </w:r>
          </w:p>
          <w:p>
            <w:pPr>
              <w:spacing w:line="300" w:lineRule="exact"/>
              <w:jc w:val="left"/>
              <w:rPr>
                <w:color w:val="000000"/>
              </w:rPr>
            </w:pPr>
            <w:r>
              <w:rPr>
                <w:rFonts w:hint="eastAsia"/>
                <w:color w:val="000000"/>
              </w:rPr>
              <w:t>内存：配置≥16G DDR4 2933MHz ECC，支持NVDIMM和NVDIMM-N内存可实现意外断电时内存数据不丢失，最大可支持12根英特尔傲腾数据中心级持久内存（DCPMM）；</w:t>
            </w:r>
          </w:p>
          <w:p>
            <w:pPr>
              <w:spacing w:line="300" w:lineRule="exact"/>
              <w:jc w:val="left"/>
              <w:rPr>
                <w:color w:val="000000"/>
              </w:rPr>
            </w:pPr>
            <w:r>
              <w:rPr>
                <w:rFonts w:hint="eastAsia"/>
                <w:color w:val="000000"/>
              </w:rPr>
              <w:t>硬盘：配置≥2块≥480G 2.5寸企业级SSD系统硬盘，配置≥2块≥960G 2.5寸企业级SSD数据硬盘；配置≥12块≥10TB 3.5寸 7.2K 企业级SATA数据硬盘,板载支持2个PCIe M.2,支持2个SATA M.2；</w:t>
            </w:r>
          </w:p>
          <w:p>
            <w:pPr>
              <w:spacing w:line="300" w:lineRule="exact"/>
              <w:jc w:val="left"/>
              <w:rPr>
                <w:color w:val="000000"/>
              </w:rPr>
            </w:pPr>
            <w:r>
              <w:rPr>
                <w:rFonts w:hint="eastAsia"/>
                <w:color w:val="000000"/>
              </w:rPr>
              <w:t>网络：配置≥2个千兆电口，≥4个万兆光口（含模块）；</w:t>
            </w:r>
          </w:p>
          <w:p>
            <w:pPr>
              <w:spacing w:line="300" w:lineRule="exact"/>
              <w:jc w:val="left"/>
              <w:rPr>
                <w:color w:val="000000"/>
              </w:rPr>
            </w:pPr>
            <w:r>
              <w:rPr>
                <w:rFonts w:hint="eastAsia"/>
                <w:color w:val="000000"/>
              </w:rPr>
              <w:t>RAID卡：配置≥2GB缓存RAID卡，支持RAID0/1/5/6/10/50/60，同时支持直通，可选掉电保护超级电容；</w:t>
            </w:r>
          </w:p>
          <w:p>
            <w:pPr>
              <w:spacing w:line="300" w:lineRule="exact"/>
              <w:jc w:val="left"/>
              <w:rPr>
                <w:color w:val="000000"/>
              </w:rPr>
            </w:pPr>
            <w:r>
              <w:rPr>
                <w:rFonts w:hint="eastAsia"/>
                <w:color w:val="000000"/>
              </w:rPr>
              <w:t>PCIe扩展性：最大支持不少于10个PCIe3.0扩展插槽；</w:t>
            </w:r>
          </w:p>
          <w:p>
            <w:pPr>
              <w:spacing w:line="300" w:lineRule="exact"/>
              <w:jc w:val="left"/>
              <w:rPr>
                <w:color w:val="000000"/>
              </w:rPr>
            </w:pPr>
            <w:r>
              <w:rPr>
                <w:rFonts w:hint="eastAsia"/>
                <w:color w:val="000000"/>
              </w:rPr>
              <w:t>电源：冗余电源和满配风扇模块，单电源功率≥800W；</w:t>
            </w:r>
          </w:p>
          <w:p>
            <w:pPr>
              <w:spacing w:line="300" w:lineRule="exact"/>
              <w:jc w:val="left"/>
              <w:rPr>
                <w:color w:val="000000"/>
              </w:rPr>
            </w:pPr>
            <w:r>
              <w:rPr>
                <w:rFonts w:hint="eastAsia"/>
                <w:color w:val="000000"/>
              </w:rPr>
              <w:t>标准机柜导轨，所有网络模块配置齐全，3年原厂7*24整机产品保修服务，须提供原厂服务承诺函和来源渠道合法证明。</w:t>
            </w:r>
          </w:p>
        </w:tc>
        <w:tc>
          <w:tcPr>
            <w:tcW w:w="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rPr>
            </w:pPr>
            <w:r>
              <w:rPr>
                <w:rFonts w:hint="eastAsia"/>
                <w:color w:val="000000"/>
              </w:rPr>
              <w:t>台</w:t>
            </w:r>
          </w:p>
        </w:tc>
        <w:tc>
          <w:tcPr>
            <w:tcW w:w="6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3</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9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容器平台存储服务器</w:t>
            </w:r>
          </w:p>
        </w:tc>
        <w:tc>
          <w:tcPr>
            <w:tcW w:w="7810" w:type="dxa"/>
            <w:tcBorders>
              <w:top w:val="single" w:color="auto"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2U机架式服务器；</w:t>
            </w:r>
          </w:p>
          <w:p>
            <w:pPr>
              <w:spacing w:line="300" w:lineRule="exact"/>
              <w:jc w:val="left"/>
              <w:rPr>
                <w:color w:val="000000"/>
              </w:rPr>
            </w:pPr>
            <w:r>
              <w:rPr>
                <w:rFonts w:hint="eastAsia"/>
                <w:color w:val="000000"/>
              </w:rPr>
              <w:t>CPU：配置≥2颗Intel至强银牌4310 CPU，每颗核数≥12核，主频≥2.1Ghz主频；</w:t>
            </w:r>
          </w:p>
          <w:p>
            <w:pPr>
              <w:spacing w:line="300" w:lineRule="exact"/>
              <w:jc w:val="left"/>
              <w:rPr>
                <w:color w:val="000000"/>
              </w:rPr>
            </w:pPr>
            <w:r>
              <w:rPr>
                <w:rFonts w:hint="eastAsia"/>
                <w:color w:val="000000"/>
              </w:rPr>
              <w:t>内存：配置≥16G DDR4 2933MHz ECC，支持NVDIMM和NVDIMM-N内存可实现意外断电时内存数据不丢失，最大可支持12根英特尔傲腾数据中心级持久内存（DCPMM）；</w:t>
            </w:r>
          </w:p>
          <w:p>
            <w:pPr>
              <w:spacing w:line="300" w:lineRule="exact"/>
              <w:jc w:val="left"/>
              <w:rPr>
                <w:color w:val="000000"/>
              </w:rPr>
            </w:pPr>
            <w:r>
              <w:rPr>
                <w:rFonts w:hint="eastAsia"/>
                <w:color w:val="000000"/>
              </w:rPr>
              <w:t>硬盘：配置≥2块≥480G 2.5寸企业级SSD系统硬盘，配置≥2块≥960G 2.5寸企业级SSD数据硬盘；配置≥12块≥10TB 3.5寸 7.2K 企业级SATA数据硬盘,板载支持2个PCIe M.2,支持2个SATA M.2；</w:t>
            </w:r>
          </w:p>
          <w:p>
            <w:pPr>
              <w:spacing w:line="300" w:lineRule="exact"/>
              <w:jc w:val="left"/>
              <w:rPr>
                <w:color w:val="000000"/>
              </w:rPr>
            </w:pPr>
            <w:r>
              <w:rPr>
                <w:rFonts w:hint="eastAsia"/>
                <w:color w:val="000000"/>
              </w:rPr>
              <w:t>网络：配置≥2个千兆电口，≥4个万兆光口（含模块）；</w:t>
            </w:r>
          </w:p>
          <w:p>
            <w:pPr>
              <w:spacing w:line="300" w:lineRule="exact"/>
              <w:jc w:val="left"/>
              <w:rPr>
                <w:color w:val="000000"/>
              </w:rPr>
            </w:pPr>
            <w:r>
              <w:rPr>
                <w:rFonts w:hint="eastAsia"/>
                <w:color w:val="000000"/>
              </w:rPr>
              <w:t>RAID卡：配置≥2GB缓存RAID卡，支持RAID0/1/5/6/10/50/60，同时支持直通，可选掉电保护超级电容；</w:t>
            </w:r>
          </w:p>
          <w:p>
            <w:pPr>
              <w:spacing w:line="300" w:lineRule="exact"/>
              <w:jc w:val="left"/>
              <w:rPr>
                <w:color w:val="000000"/>
              </w:rPr>
            </w:pPr>
            <w:r>
              <w:rPr>
                <w:rFonts w:hint="eastAsia"/>
                <w:color w:val="000000"/>
              </w:rPr>
              <w:t>PCIe扩展性：最大支持不少于10个PCIe3.0扩展插槽；</w:t>
            </w:r>
          </w:p>
          <w:p>
            <w:pPr>
              <w:spacing w:line="300" w:lineRule="exact"/>
              <w:jc w:val="left"/>
              <w:rPr>
                <w:color w:val="000000"/>
              </w:rPr>
            </w:pPr>
            <w:r>
              <w:rPr>
                <w:rFonts w:hint="eastAsia"/>
                <w:color w:val="000000"/>
              </w:rPr>
              <w:t>电源：冗余电源和满配风扇模块，单电源功率≥800W；</w:t>
            </w:r>
          </w:p>
          <w:p>
            <w:pPr>
              <w:spacing w:line="300" w:lineRule="exact"/>
              <w:jc w:val="left"/>
              <w:rPr>
                <w:color w:val="000000"/>
              </w:rPr>
            </w:pPr>
            <w:r>
              <w:rPr>
                <w:rFonts w:hint="eastAsia"/>
                <w:color w:val="000000"/>
              </w:rPr>
              <w:t>标准机柜导轨，所有网络模块配置齐全。3年原厂7*24整机产品保修服务，须提供原厂服务承诺函和来源渠道合法证明。</w:t>
            </w:r>
            <w:r>
              <w:rPr>
                <w:color w:val="000000"/>
              </w:rPr>
              <w:t xml:space="preserve"> </w:t>
            </w:r>
          </w:p>
        </w:tc>
        <w:tc>
          <w:tcPr>
            <w:tcW w:w="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szCs w:val="20"/>
              </w:rPr>
            </w:pPr>
            <w:r>
              <w:rPr>
                <w:rFonts w:hint="eastAsia"/>
                <w:color w:val="000000"/>
                <w:szCs w:val="20"/>
              </w:rPr>
              <w:t>台</w:t>
            </w:r>
          </w:p>
        </w:tc>
        <w:tc>
          <w:tcPr>
            <w:tcW w:w="6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1</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9</w:t>
            </w:r>
          </w:p>
        </w:tc>
        <w:tc>
          <w:tcPr>
            <w:tcW w:w="9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color w:val="000000"/>
                <w:szCs w:val="20"/>
              </w:rPr>
            </w:pPr>
            <w:r>
              <w:rPr>
                <w:rFonts w:hint="eastAsia"/>
                <w:color w:val="000000"/>
                <w:szCs w:val="20"/>
              </w:rPr>
              <w:t>高性能全闪</w:t>
            </w:r>
          </w:p>
          <w:p>
            <w:pPr>
              <w:widowControl/>
              <w:spacing w:line="400" w:lineRule="exact"/>
              <w:jc w:val="center"/>
              <w:rPr>
                <w:rFonts w:ascii="宋体" w:hAnsi="宋体" w:cs="宋体"/>
                <w:color w:val="000000"/>
                <w:kern w:val="0"/>
                <w:szCs w:val="20"/>
              </w:rPr>
            </w:pPr>
            <w:r>
              <w:rPr>
                <w:rFonts w:hint="eastAsia"/>
                <w:color w:val="000000"/>
                <w:szCs w:val="20"/>
              </w:rPr>
              <w:t>存储服务器</w:t>
            </w:r>
          </w:p>
        </w:tc>
        <w:tc>
          <w:tcPr>
            <w:tcW w:w="7810" w:type="dxa"/>
            <w:tcBorders>
              <w:top w:val="single" w:color="auto" w:sz="4" w:space="0"/>
              <w:left w:val="single" w:color="auto"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控制器自带≥50个盘位，NVMe SSD硬盘与CPU采用NVMe协议直接进行数据交换；配置冗余双活存储控制器，一体化SAN+NAS统一存储架构，同时支持NAS、IP SAN和FC SAN模式；每个控制器配置2颗Intel处理器，单颗CPU≥10核，存储设备可支持扩展≥48个SAN控制器（提供官网截图证明）；配置双控存储总缓存256GB，存储双控系统支持一级缓存扩展≥3TB（提供官网截图证明）；配置8个16Gb FC前端接口、4个10Gb前端主机接口；配置4块1.92TB NVMe SSD企业级固态盘，配置19块3.84TB NVMe SSD企业级固态盘；每块NVMe SSD配置2个x2 PCI-e 3.0的接口，单盘交换带宽32Gbps，双控制器可提供最大1600Gbps的后端总带宽（提供官网截图证明）；单RAID硬盘组任意3块硬盘发生整盘永久性故障，数据不丢失，业务不中断；单RAID5硬盘组的两块及以上硬盘同时发生介质错误，业务不中断、数据不丢失；具备SPC-1性能测试值≥1100万（提供SPC-1报告证明）；支持SAN、NFS、CIFS、iSCSI与VVOLs协议；支持网盘功能，网盘支持10000+用户数，同时可支持ai、psd、eps、CAD、3D、图片音视频多媒体等100+格式文档在线预览；配置性能监控软件许可；配置自动精简功能；配置存储级基于时间点的数据快照功能，要求存储设备同时支持COW及ROW快照，单LUN支持快照数量≥2048个；配置存储数据重删功能；配置卷克隆软件；支持异构虚拟化功能，支持存储双活功能；支持Windows、Linux、Vmware、UNIX (HP-UX、AIX、Solaris等)；提供原厂工程师上门安装服务，三年7×24小时免费现场技术支持与售后服务。</w:t>
            </w:r>
          </w:p>
          <w:p>
            <w:pPr>
              <w:pStyle w:val="7"/>
              <w:spacing w:line="300" w:lineRule="exact"/>
              <w:jc w:val="left"/>
              <w:rPr>
                <w:color w:val="000000"/>
              </w:rPr>
            </w:pPr>
            <w:r>
              <w:rPr>
                <w:rFonts w:hint="eastAsia"/>
                <w:color w:val="000000"/>
              </w:rPr>
              <w:t>3年原厂7*24整机产品保修服务，须提供原厂服务承诺函和来源渠道合法证明。</w:t>
            </w:r>
          </w:p>
        </w:tc>
        <w:tc>
          <w:tcPr>
            <w:tcW w:w="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center"/>
              <w:rPr>
                <w:color w:val="000000"/>
                <w:szCs w:val="20"/>
              </w:rPr>
            </w:pPr>
            <w:r>
              <w:rPr>
                <w:rFonts w:hint="eastAsia"/>
                <w:color w:val="000000"/>
                <w:szCs w:val="20"/>
              </w:rPr>
              <w:t>台</w:t>
            </w:r>
          </w:p>
        </w:tc>
        <w:tc>
          <w:tcPr>
            <w:tcW w:w="6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1</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0</w:t>
            </w:r>
          </w:p>
        </w:tc>
        <w:tc>
          <w:tcPr>
            <w:tcW w:w="9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ascii="宋体" w:hAnsi="宋体" w:cs="宋体"/>
                <w:color w:val="000000"/>
                <w:kern w:val="0"/>
              </w:rPr>
              <w:t>网络扩容</w:t>
            </w:r>
          </w:p>
          <w:p>
            <w:pPr>
              <w:widowControl/>
              <w:jc w:val="center"/>
              <w:textAlignment w:val="center"/>
              <w:rPr>
                <w:rFonts w:ascii="宋体" w:hAnsi="宋体" w:cs="宋体"/>
                <w:color w:val="000000"/>
                <w:kern w:val="0"/>
              </w:rPr>
            </w:pPr>
            <w:r>
              <w:rPr>
                <w:rFonts w:ascii="宋体" w:hAnsi="宋体" w:cs="宋体"/>
                <w:color w:val="000000"/>
                <w:kern w:val="0"/>
              </w:rPr>
              <w:t>资源</w:t>
            </w: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接入交换机</w:t>
            </w:r>
          </w:p>
        </w:tc>
        <w:tc>
          <w:tcPr>
            <w:tcW w:w="781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exact"/>
              <w:jc w:val="left"/>
              <w:rPr>
                <w:color w:val="000000"/>
              </w:rPr>
            </w:pPr>
            <w:r>
              <w:rPr>
                <w:rFonts w:hint="eastAsia"/>
                <w:color w:val="000000"/>
              </w:rPr>
              <w:t>交换容量≥4Tbps；包转发率≥1200Mpps；万兆光接口≥48个，2个40G QSFP光接口,4个100G（兼容40G）光接口，USB接口≥1个。配置1+1冗余电源，模块热插拔，单个模块故障不影响整机运行。</w:t>
            </w:r>
          </w:p>
          <w:p>
            <w:pPr>
              <w:spacing w:line="300" w:lineRule="exact"/>
              <w:jc w:val="left"/>
              <w:rPr>
                <w:color w:val="000000"/>
              </w:rPr>
            </w:pPr>
            <w:r>
              <w:rPr>
                <w:rFonts w:hint="eastAsia"/>
                <w:color w:val="000000"/>
              </w:rPr>
              <w:t>MAC容量≥128K。支持MPLS L3 VPN，支持标准、扩展ACL，支持基于MAC的ACL、支持基于时间的ACL等；支持IP+MAC+端口的绑定，支持IEEE 802.1X系列认证。支持广播、组播、位置单播风暴攻击抑制；ARP攻击防范、MAC地址攻击防范、CPU防攻击功能；</w:t>
            </w:r>
            <w:r>
              <w:rPr>
                <w:color w:val="000000"/>
              </w:rPr>
              <w:t>SDN</w:t>
            </w:r>
            <w:r>
              <w:rPr>
                <w:rFonts w:hint="eastAsia"/>
                <w:color w:val="000000"/>
              </w:rPr>
              <w:t>：要求支持NETCONF功能并提供第三方检测报告。要求支持OPENFLOW功能并提供第三方检测报告。支持IPV6。3年7*24硬件产品保修服务，含接口满配光模块。须提供原厂服务承诺函和来源渠道合法证明</w:t>
            </w:r>
          </w:p>
        </w:tc>
        <w:tc>
          <w:tcPr>
            <w:tcW w:w="67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color w:val="000000"/>
              </w:rPr>
            </w:pPr>
            <w:r>
              <w:rPr>
                <w:rFonts w:hint="eastAsia"/>
                <w:color w:val="000000"/>
                <w:szCs w:val="22"/>
              </w:rPr>
              <w:t>　</w:t>
            </w:r>
            <w:r>
              <w:rPr>
                <w:rFonts w:hint="eastAsia"/>
                <w:color w:val="000000"/>
                <w:szCs w:val="20"/>
              </w:rPr>
              <w:t>台</w:t>
            </w:r>
          </w:p>
        </w:tc>
        <w:tc>
          <w:tcPr>
            <w:tcW w:w="64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4</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1</w:t>
            </w:r>
          </w:p>
        </w:tc>
        <w:tc>
          <w:tcPr>
            <w:tcW w:w="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接入交换机</w:t>
            </w:r>
          </w:p>
        </w:tc>
        <w:tc>
          <w:tcPr>
            <w:tcW w:w="7810"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jc w:val="left"/>
              <w:rPr>
                <w:color w:val="000000"/>
              </w:rPr>
            </w:pPr>
            <w:r>
              <w:rPr>
                <w:rFonts w:hint="eastAsia"/>
                <w:color w:val="000000"/>
              </w:rPr>
              <w:t>交换容量≥1.92Tbps；包转发率≥1000Mpps；万兆光接口≥24个，2个40G QSFP光接口,4个100G（兼容40G）光接口，USB接口≥1个。配置1+1冗余电源，模块热插拔，单个模块故障不影响整机运行。</w:t>
            </w:r>
          </w:p>
          <w:p>
            <w:pPr>
              <w:spacing w:line="300" w:lineRule="exact"/>
              <w:jc w:val="left"/>
              <w:rPr>
                <w:color w:val="000000"/>
              </w:rPr>
            </w:pPr>
            <w:r>
              <w:rPr>
                <w:rFonts w:hint="eastAsia"/>
                <w:color w:val="000000"/>
              </w:rPr>
              <w:t>MAC容量≥128K。支持MPLS L3 VPN，支持标准、扩展ACL，支持基于MAC的ACL、支持基于时间的ACL等；支持IP+MAC+端口的绑定，支持IEEE 802.1X系列认证。支持广播、组播、位置单播风暴攻击抑制；ARP攻击防范、MAC地址攻击防范、CPU防攻击功能；</w:t>
            </w:r>
            <w:r>
              <w:rPr>
                <w:color w:val="000000"/>
              </w:rPr>
              <w:t>SDN</w:t>
            </w:r>
            <w:r>
              <w:rPr>
                <w:rFonts w:hint="eastAsia"/>
                <w:color w:val="000000"/>
              </w:rPr>
              <w:t>：要求支持NETCONF功能并提供第三方检测报告。要求支持OPENFLOW功能并提供第三方检测报告。支持IPV6，3年7*24硬件产品保修服务，含接口满配光模块。须提供原厂服务承诺函和来源渠道合法证明</w:t>
            </w:r>
          </w:p>
        </w:tc>
        <w:tc>
          <w:tcPr>
            <w:tcW w:w="6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left"/>
              <w:rPr>
                <w:color w:val="000000"/>
              </w:rPr>
            </w:pPr>
            <w:r>
              <w:rPr>
                <w:rFonts w:hint="eastAsia"/>
                <w:color w:val="000000"/>
                <w:szCs w:val="22"/>
              </w:rPr>
              <w:t>　</w:t>
            </w:r>
            <w:r>
              <w:rPr>
                <w:rFonts w:hint="eastAsia"/>
                <w:color w:val="000000"/>
                <w:szCs w:val="20"/>
              </w:rPr>
              <w:t>台</w:t>
            </w:r>
          </w:p>
        </w:tc>
        <w:tc>
          <w:tcPr>
            <w:tcW w:w="64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2</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2</w:t>
            </w:r>
          </w:p>
        </w:tc>
        <w:tc>
          <w:tcPr>
            <w:tcW w:w="9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路网接入</w:t>
            </w:r>
          </w:p>
          <w:p>
            <w:pPr>
              <w:spacing w:line="300" w:lineRule="exact"/>
              <w:jc w:val="center"/>
              <w:rPr>
                <w:color w:val="000000"/>
              </w:rPr>
            </w:pPr>
            <w:r>
              <w:rPr>
                <w:rFonts w:hint="eastAsia"/>
                <w:color w:val="000000"/>
              </w:rPr>
              <w:t>交换机</w:t>
            </w:r>
          </w:p>
        </w:tc>
        <w:tc>
          <w:tcPr>
            <w:tcW w:w="781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jc w:val="left"/>
              <w:rPr>
                <w:color w:val="000000"/>
              </w:rPr>
            </w:pPr>
            <w:r>
              <w:rPr>
                <w:rFonts w:hint="eastAsia"/>
                <w:color w:val="000000"/>
              </w:rPr>
              <w:t>模块化设计，提供1+1主控引擎槽位；业务线卡槽位≥3；电源槽位≥4；风扇槽位≥2。设备整机包括电源、业务卡、主控卡必须符合数据中心冷热风道前后隔离部署需求，产品所有部件通风必须采用前面板进风、后面板出风的直通风散热架构设计。交换容量≥19Tbps，包转发率≥2300Mpps。主控引擎卡具备独立SD外接存储接口，具备Mini USB 形态的console口。要求提供ISSU不中断业务升级功能。提供电源、风扇不影响业务转发的冗余能力检测报告。支持安全加密功能，包括OSPF国密SM3算法加密、配置文件SM3算法加密等。支持IPV6，3年7*24硬件产品保修服务，含接口满配光模块。须提供原厂服务承诺函和来源渠道合法证明</w:t>
            </w:r>
          </w:p>
        </w:tc>
        <w:tc>
          <w:tcPr>
            <w:tcW w:w="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jc w:val="left"/>
              <w:rPr>
                <w:color w:val="000000"/>
              </w:rPr>
            </w:pPr>
            <w:r>
              <w:rPr>
                <w:rFonts w:hint="eastAsia"/>
                <w:color w:val="000000"/>
                <w:szCs w:val="22"/>
              </w:rPr>
              <w:t>　</w:t>
            </w:r>
            <w:r>
              <w:rPr>
                <w:rFonts w:hint="eastAsia"/>
                <w:color w:val="000000"/>
                <w:szCs w:val="20"/>
              </w:rPr>
              <w:t>台</w:t>
            </w:r>
          </w:p>
        </w:tc>
        <w:tc>
          <w:tcPr>
            <w:tcW w:w="6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2</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3</w:t>
            </w:r>
          </w:p>
        </w:tc>
        <w:tc>
          <w:tcPr>
            <w:tcW w:w="930"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千兆管理</w:t>
            </w:r>
          </w:p>
          <w:p>
            <w:pPr>
              <w:spacing w:line="300" w:lineRule="exact"/>
              <w:jc w:val="center"/>
              <w:rPr>
                <w:color w:val="000000"/>
              </w:rPr>
            </w:pPr>
            <w:r>
              <w:rPr>
                <w:rFonts w:hint="eastAsia"/>
                <w:color w:val="000000"/>
              </w:rPr>
              <w:t>交换机</w:t>
            </w:r>
          </w:p>
        </w:tc>
        <w:tc>
          <w:tcPr>
            <w:tcW w:w="781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exact"/>
              <w:jc w:val="left"/>
              <w:rPr>
                <w:color w:val="000000"/>
              </w:rPr>
            </w:pPr>
            <w:r>
              <w:rPr>
                <w:rFonts w:hint="eastAsia"/>
                <w:color w:val="000000"/>
              </w:rPr>
              <w:t>交换容量≥598Gbps；包转发率≥160Mpps。固化48个10/100/1000M电接口，6个万兆光接口。MAC容量≥32K。支持DHCP Server，静态路由、RIP、OSPF、BGP和RIPng、OSPFv3、BGP4+等动态路由协议；支持BFD for VRRP/Static/RIP/OSPF等。支持IGMP、IGMP Snooping；支持PIM-SM、PIM-DM等三层组播协议。支持手工隧道、支持ISATAP、支持6to4隧道。支持 MCE。3年7*24硬件产品保修服务，含接口满配光模块。须提供原厂服务承诺函和来源渠道合法证明</w:t>
            </w:r>
          </w:p>
        </w:tc>
        <w:tc>
          <w:tcPr>
            <w:tcW w:w="67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color w:val="000000"/>
              </w:rPr>
            </w:pPr>
            <w:r>
              <w:rPr>
                <w:rFonts w:hint="eastAsia"/>
                <w:color w:val="000000"/>
                <w:szCs w:val="22"/>
              </w:rPr>
              <w:t>　</w:t>
            </w:r>
            <w:r>
              <w:rPr>
                <w:rFonts w:hint="eastAsia"/>
                <w:color w:val="000000"/>
                <w:szCs w:val="20"/>
              </w:rPr>
              <w:t>台</w:t>
            </w:r>
          </w:p>
        </w:tc>
        <w:tc>
          <w:tcPr>
            <w:tcW w:w="64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1</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w:t>
            </w:r>
          </w:p>
        </w:tc>
        <w:tc>
          <w:tcPr>
            <w:tcW w:w="93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负载均衡设备</w:t>
            </w:r>
          </w:p>
        </w:tc>
        <w:tc>
          <w:tcPr>
            <w:tcW w:w="7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exact"/>
              <w:jc w:val="left"/>
              <w:rPr>
                <w:color w:val="000000"/>
              </w:rPr>
            </w:pPr>
            <w:r>
              <w:rPr>
                <w:rFonts w:hint="eastAsia"/>
                <w:color w:val="000000"/>
              </w:rPr>
              <w:t>1U机架式设备,CPU≥4核，内存≥16GB，千兆电口≥6个，千兆光口≥2个，万兆自适应光口≥4个，四层每秒新建连接数（CPS）≥700,000，七层每秒新建连接数（CPS）≥300,000(1:1)，七层最大吞吐量≥35Gbps；能够与现有负载均衡设备进行HA部署;支持Active-Active、Active-Standby等HA部署方式，支持通过网络的心跳检测机制，支持L2层透明、路由等多种部署方式，支持旁路方式部署。提供连接会话的镜像功能，实现无缝故障切换。投标设备能够与现有负载均衡设备组成集群，支持多台设备的N+M集群方式，并能够统一管理。须提供原厂服务承诺函和来源渠道合法证明</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color w:val="000000"/>
              </w:rPr>
            </w:pPr>
            <w:r>
              <w:rPr>
                <w:rFonts w:hint="eastAsia"/>
                <w:color w:val="000000"/>
                <w:szCs w:val="22"/>
              </w:rPr>
              <w:t>　</w:t>
            </w:r>
            <w:r>
              <w:rPr>
                <w:rFonts w:hint="eastAsia"/>
                <w:color w:val="000000"/>
                <w:szCs w:val="20"/>
              </w:rPr>
              <w:t>台</w:t>
            </w:r>
          </w:p>
        </w:tc>
        <w:tc>
          <w:tcPr>
            <w:tcW w:w="64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2</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color w:val="000000"/>
              </w:rPr>
              <w:t>15</w:t>
            </w:r>
          </w:p>
        </w:tc>
        <w:tc>
          <w:tcPr>
            <w:tcW w:w="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p>
        </w:tc>
        <w:tc>
          <w:tcPr>
            <w:tcW w:w="11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color w:val="000000"/>
              </w:rPr>
            </w:pPr>
            <w:r>
              <w:rPr>
                <w:rFonts w:hint="eastAsia"/>
                <w:color w:val="000000"/>
              </w:rPr>
              <w:t>防火墙</w:t>
            </w:r>
          </w:p>
          <w:p>
            <w:pPr>
              <w:spacing w:line="300" w:lineRule="exact"/>
              <w:jc w:val="center"/>
              <w:rPr>
                <w:color w:val="000000"/>
              </w:rPr>
            </w:pPr>
            <w:r>
              <w:rPr>
                <w:rFonts w:hint="eastAsia"/>
                <w:color w:val="000000"/>
              </w:rPr>
              <w:t>万兆板卡</w:t>
            </w:r>
          </w:p>
        </w:tc>
        <w:tc>
          <w:tcPr>
            <w:tcW w:w="7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exact"/>
              <w:jc w:val="left"/>
              <w:rPr>
                <w:color w:val="000000"/>
              </w:rPr>
            </w:pPr>
            <w:r>
              <w:rPr>
                <w:rFonts w:hint="eastAsia"/>
                <w:color w:val="000000"/>
              </w:rPr>
              <w:t>现有路网接入防火墙板卡扩展，支持4个万兆多模接口（含4个万兆多模模块）。须提供原厂服务承诺函和来源渠道合法证明</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color w:val="000000"/>
              </w:rPr>
            </w:pPr>
            <w:r>
              <w:rPr>
                <w:rFonts w:hint="eastAsia"/>
                <w:color w:val="000000"/>
                <w:szCs w:val="22"/>
              </w:rPr>
              <w:t>　块</w:t>
            </w:r>
          </w:p>
        </w:tc>
        <w:tc>
          <w:tcPr>
            <w:tcW w:w="64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jc w:val="center"/>
              <w:rPr>
                <w:color w:val="000000"/>
              </w:rPr>
            </w:pPr>
            <w:r>
              <w:rPr>
                <w:rFonts w:hint="eastAsia"/>
                <w:color w:val="000000"/>
              </w:rPr>
              <w:t>1</w:t>
            </w: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ascii="宋体" w:hAnsi="宋体" w:cs="宋体"/>
                <w:color w:val="000000"/>
                <w:kern w:val="0"/>
              </w:rPr>
              <w:t>16</w:t>
            </w:r>
          </w:p>
        </w:tc>
        <w:tc>
          <w:tcPr>
            <w:tcW w:w="930" w:type="dxa"/>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color w:val="000000"/>
              </w:rPr>
            </w:pPr>
          </w:p>
          <w:p>
            <w:pPr>
              <w:spacing w:line="300" w:lineRule="exact"/>
              <w:jc w:val="center"/>
              <w:rPr>
                <w:color w:val="000000"/>
              </w:rPr>
            </w:pPr>
            <w:r>
              <w:rPr>
                <w:rFonts w:hint="eastAsia"/>
                <w:color w:val="000000"/>
              </w:rPr>
              <w:t>收费数据资源同步分区负载平台</w:t>
            </w:r>
          </w:p>
        </w:tc>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高性能数据库复制系统</w:t>
            </w:r>
          </w:p>
        </w:tc>
        <w:tc>
          <w:tcPr>
            <w:tcW w:w="78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spacing w:line="300" w:lineRule="exact"/>
              <w:jc w:val="left"/>
              <w:rPr>
                <w:color w:val="000000"/>
              </w:rPr>
            </w:pPr>
            <w:r>
              <w:rPr>
                <w:rFonts w:hint="eastAsia"/>
                <w:color w:val="000000"/>
              </w:rPr>
              <w:t>高性能数据库复制系统（要求无缝兼容原有业务的数据库双活系统）</w:t>
            </w:r>
            <w:r>
              <w:rPr>
                <w:color w:val="000000"/>
              </w:rPr>
              <w:t>:</w:t>
            </w:r>
          </w:p>
          <w:p>
            <w:pPr>
              <w:spacing w:line="300" w:lineRule="exact"/>
              <w:jc w:val="left"/>
              <w:rPr>
                <w:color w:val="000000"/>
              </w:rPr>
            </w:pPr>
            <w:r>
              <w:rPr>
                <w:rFonts w:hint="eastAsia"/>
                <w:color w:val="000000"/>
              </w:rPr>
              <w:t>（1）非OEM产品，拥有自主知识产权。提供软件著作权证书。</w:t>
            </w:r>
            <w:r>
              <w:rPr>
                <w:rFonts w:hint="eastAsia"/>
                <w:color w:val="000000"/>
              </w:rPr>
              <w:br w:type="textWrapping"/>
            </w:r>
            <w:r>
              <w:rPr>
                <w:rFonts w:hint="eastAsia"/>
                <w:color w:val="000000"/>
              </w:rPr>
              <w:t>（2）分布式部署：采用分布式云架构设计，支持云上、云下分别部署，支持单机部署模式和集群部署模式，支持代理及无代理部署模式。</w:t>
            </w:r>
            <w:r>
              <w:rPr>
                <w:rFonts w:hint="eastAsia"/>
                <w:color w:val="000000"/>
              </w:rPr>
              <w:br w:type="textWrapping"/>
            </w:r>
            <w:r>
              <w:rPr>
                <w:rFonts w:hint="eastAsia"/>
                <w:color w:val="000000"/>
              </w:rPr>
              <w:t>（3）存量数据在上述硬件资源情况下，同步效率每小时处理能力不低于1000GB的归档、1.7亿次的事务数、执行7.6亿次的SQL以及3000GB网络流量数据，源端CPU耗费率需低于5%；常规业务数据实时同步效率达到秒级。</w:t>
            </w:r>
            <w:r>
              <w:rPr>
                <w:rFonts w:hint="eastAsia"/>
                <w:color w:val="000000"/>
              </w:rPr>
              <w:br w:type="textWrapping"/>
            </w:r>
            <w:r>
              <w:rPr>
                <w:rFonts w:hint="eastAsia"/>
                <w:color w:val="000000"/>
              </w:rPr>
              <w:t>（4）支持以Oracle</w:t>
            </w:r>
            <w:r>
              <w:rPr>
                <w:color w:val="000000"/>
              </w:rPr>
              <w:t xml:space="preserve"> ADG</w:t>
            </w:r>
            <w:r>
              <w:rPr>
                <w:rFonts w:hint="eastAsia"/>
                <w:color w:val="000000"/>
              </w:rPr>
              <w:t>作为数据源进行实时数据复制。</w:t>
            </w:r>
            <w:r>
              <w:rPr>
                <w:rFonts w:hint="eastAsia"/>
                <w:color w:val="000000"/>
              </w:rPr>
              <w:br w:type="textWrapping"/>
            </w:r>
            <w:r>
              <w:rPr>
                <w:rFonts w:hint="eastAsia"/>
                <w:color w:val="000000"/>
              </w:rPr>
              <w:t>（5）支持按需归档：将生产数据库中的历史数据拆分到静态存储池，静态存储池支持在线使用，以便在需要时能快速调取和恢复。</w:t>
            </w:r>
            <w:r>
              <w:rPr>
                <w:rFonts w:hint="eastAsia"/>
                <w:color w:val="000000"/>
              </w:rPr>
              <w:br w:type="textWrapping"/>
            </w:r>
            <w:r>
              <w:rPr>
                <w:rFonts w:hint="eastAsia"/>
                <w:color w:val="000000"/>
              </w:rPr>
              <w:t>（6）支持逆向追踪：根据追踪策略记录数据库操作；对违规操作进行报警和留痕；跟踪并回溯数据库操作历史；提供用户操作分析功能和对象操作分析功能；提供对错误数据的在线修复建议；提供按各种条件和粒度查询数据库操作的功能。</w:t>
            </w:r>
            <w:r>
              <w:rPr>
                <w:rFonts w:hint="eastAsia"/>
                <w:color w:val="000000"/>
              </w:rPr>
              <w:br w:type="textWrapping"/>
            </w:r>
            <w:r>
              <w:rPr>
                <w:rFonts w:hint="eastAsia"/>
                <w:color w:val="000000"/>
              </w:rPr>
              <w:t>（7）易用性要求：支持 Web 页面的数据交换管理，方便运维人员通过图、表的形式直观的了解数据 ETL 任务的情况，并进行任务的管理；支持系统配置导入和导出，便于在开发环境和生产环境平滑升级；支持异构数据库自动建表功。</w:t>
            </w:r>
          </w:p>
          <w:p>
            <w:pPr>
              <w:spacing w:line="300" w:lineRule="exact"/>
              <w:jc w:val="left"/>
              <w:rPr>
                <w:color w:val="000000"/>
              </w:rPr>
            </w:pPr>
            <w:r>
              <w:rPr>
                <w:rFonts w:hint="eastAsia"/>
                <w:color w:val="000000"/>
              </w:rPr>
              <w:t xml:space="preserve">（8）支持不添加表级别附加日志实时分析。避免影响生产库正常运行，需要支持不打开表级别附加日志进行数据实时同步。实现数据库系统日志分析、传输压缩、高速装载等数据库同步全过程，不接受使用数据库系统自带工具。 </w:t>
            </w:r>
            <w:r>
              <w:rPr>
                <w:rFonts w:hint="eastAsia"/>
                <w:color w:val="000000"/>
              </w:rPr>
              <w:br w:type="textWrapping"/>
            </w:r>
            <w:r>
              <w:rPr>
                <w:rFonts w:hint="eastAsia"/>
                <w:color w:val="000000"/>
              </w:rPr>
              <w:t>（9）可靠性要求：支持高可用部署，提供单节点容错机制，在出现单节点故障时，数据交换工作仍可正常运行；支持自动断点继传，在网络故障和服务器故障修复后，可自动重启中断的交换任务，从故障点自动继传数据。</w:t>
            </w:r>
            <w:r>
              <w:rPr>
                <w:rFonts w:hint="eastAsia"/>
                <w:color w:val="000000"/>
              </w:rPr>
              <w:br w:type="textWrapping"/>
            </w:r>
            <w:r>
              <w:rPr>
                <w:rFonts w:hint="eastAsia"/>
                <w:color w:val="000000"/>
              </w:rPr>
              <w:t>（10）提供多种方式传输数据给异构的Kafka，并且可生成定制化的文本文件如Txt、Sql、Xml、Json、avro等。存量、实时同步源端符合视图结果集数据：由于生产库有部分数据是通过视图查询得出结果，需要直接配置视图把结果集全量、实时的同步到目标端环境上。</w:t>
            </w:r>
          </w:p>
          <w:p>
            <w:pPr>
              <w:spacing w:line="300" w:lineRule="exact"/>
              <w:jc w:val="left"/>
              <w:rPr>
                <w:color w:val="000000"/>
              </w:rPr>
            </w:pPr>
            <w:r>
              <w:rPr>
                <w:rFonts w:hint="eastAsia"/>
                <w:color w:val="000000"/>
              </w:rPr>
              <w:t>（11）存量、实时数据增加ROWID列：由于生产库有部分数据没有PK、UK列需要在不添加表级别附加日志时进行同步，因此需要对数据进行增加ROWID列，并且以ROWID列为PK进行同步。</w:t>
            </w:r>
          </w:p>
          <w:p>
            <w:pPr>
              <w:spacing w:line="300" w:lineRule="exact"/>
              <w:jc w:val="left"/>
              <w:rPr>
                <w:color w:val="000000"/>
              </w:rPr>
            </w:pPr>
            <w:r>
              <w:rPr>
                <w:rFonts w:hint="eastAsia"/>
                <w:color w:val="000000"/>
              </w:rPr>
              <w:t>（12）DML操作：支持同步表的各种数据类型，包括XML、BLOB、CLOB、LONG RAW、LONG 和用户定义类型；支持DML操作复制、支持SEQUENCE、函数、存储过程、视图、同义词、索引、应用包、用户等数据库对象进行复制；持没有PK/UK字段的表的复制、并无需打开或修改数据库参数，可定义并过滤不需要复制的事务；支持按照schema方式设置复制关系，无需单表设置复制关系，支持不同源和目标端在不同的schema名情况下的复制；支持压缩表、I</w:t>
            </w:r>
            <w:r>
              <w:rPr>
                <w:color w:val="000000"/>
              </w:rPr>
              <w:t>OT</w:t>
            </w:r>
            <w:r>
              <w:rPr>
                <w:rFonts w:hint="eastAsia"/>
                <w:color w:val="000000"/>
              </w:rPr>
              <w:t>表、临时表、物化视图的实时复制。</w:t>
            </w:r>
          </w:p>
          <w:p>
            <w:pPr>
              <w:spacing w:line="300" w:lineRule="exact"/>
              <w:jc w:val="left"/>
              <w:rPr>
                <w:color w:val="000000"/>
              </w:rPr>
            </w:pPr>
            <w:r>
              <w:rPr>
                <w:rFonts w:hint="eastAsia"/>
                <w:color w:val="000000"/>
              </w:rPr>
              <w:t>（13） DDL操作：支持对drop、truncate等敏感操作保护功能，可将drop、truncate 操作转换为rename或类似的操作；源数据库对目标库进行指定表、分区、schema同步时，源数据库在线新增表、分区，在不重启应用情况下自动对目标库进行新增表、分区数据同步；源数据库新建临时表，生成记录到临时表后与生产表交换表名的情况下，源库生产表向目标库的数据同步正常；支持create/truncate/drop/rename/alter等DDL操作。</w:t>
            </w:r>
          </w:p>
          <w:p>
            <w:pPr>
              <w:spacing w:line="300" w:lineRule="exact"/>
              <w:jc w:val="left"/>
              <w:rPr>
                <w:color w:val="000000"/>
              </w:rPr>
            </w:pPr>
            <w:r>
              <w:rPr>
                <w:rFonts w:hint="eastAsia"/>
                <w:color w:val="000000"/>
              </w:rPr>
              <w:t>（14）可维护性：提供RDBMS级的数据稽核能力，源端数据及目标端数据不一致的情况需具备及时告警能力，同时能够配合业务和其他业务厂商对数据质量管控能力做定制化的需求响应，以便快速识别问题原因；提供可视化的维护界面，在不重启同步软件的情况下，完成日常手工和自动的同步任务配置、修改、启停、监控的操作。</w:t>
            </w:r>
            <w:r>
              <w:rPr>
                <w:rFonts w:hint="eastAsia"/>
                <w:color w:val="000000"/>
              </w:rPr>
              <w:br w:type="textWrapping"/>
            </w:r>
            <w:r>
              <w:rPr>
                <w:rFonts w:hint="eastAsia"/>
                <w:color w:val="000000"/>
              </w:rPr>
              <w:t>（15）故障应对能力：在遇到系统错误引起的复制中断时，例如硬件故障、数据库故障、网络中断或延迟，分级存储机制能完好的保存已经合成的交易信息，避免数据丢失，直到系统故障解决，恢复从队列传输的中断点开始；在源与目标无需停机情况下，提供数据比对功能功能，提供值、散列比对等多种方式，并提供图形化的数据不一致及改进建议报告；如果在线数据比对发现不一致情况后能够提供便利的单表以及单用户的数据修复工作，要求操作简单，修复速度快，且修复过程中不影响业务正常运行；据实时同步组件支持源系统和目标系统之间的OS系统、存储系统、数据库版本、数据库类型不相同。</w:t>
            </w:r>
          </w:p>
          <w:p>
            <w:pPr>
              <w:spacing w:line="300" w:lineRule="exact"/>
              <w:jc w:val="left"/>
              <w:rPr>
                <w:color w:val="000000"/>
              </w:rPr>
            </w:pPr>
            <w:r>
              <w:rPr>
                <w:rFonts w:hint="eastAsia"/>
                <w:color w:val="000000"/>
              </w:rPr>
              <w:t>（16）集中统一界面管理系统：提供中文统一管理平台，安装、配置、业务流启停、监控分析一体化管理。具备大屏展示等服务功能。</w:t>
            </w:r>
          </w:p>
        </w:tc>
        <w:tc>
          <w:tcPr>
            <w:tcW w:w="6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套</w:t>
            </w:r>
          </w:p>
        </w:tc>
        <w:tc>
          <w:tcPr>
            <w:tcW w:w="64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p>
        </w:tc>
      </w:tr>
      <w:tr>
        <w:tblPrEx>
          <w:tblCellMar>
            <w:top w:w="0" w:type="dxa"/>
            <w:left w:w="0" w:type="dxa"/>
            <w:bottom w:w="0" w:type="dxa"/>
            <w:right w:w="0" w:type="dxa"/>
          </w:tblCellMar>
        </w:tblPrEx>
        <w:trPr>
          <w:trHeight w:val="540" w:hRule="atLeast"/>
          <w:jc w:val="center"/>
        </w:trPr>
        <w:tc>
          <w:tcPr>
            <w:tcW w:w="61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rPr>
            </w:pPr>
            <w:r>
              <w:rPr>
                <w:rFonts w:ascii="宋体" w:hAnsi="宋体" w:cs="宋体"/>
                <w:color w:val="000000"/>
                <w:kern w:val="0"/>
              </w:rPr>
              <w:t>17</w:t>
            </w:r>
          </w:p>
        </w:tc>
        <w:tc>
          <w:tcPr>
            <w:tcW w:w="9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数据交换共享平台</w:t>
            </w:r>
          </w:p>
        </w:tc>
        <w:tc>
          <w:tcPr>
            <w:tcW w:w="11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color w:val="000000"/>
              </w:rPr>
            </w:pPr>
            <w:r>
              <w:rPr>
                <w:rFonts w:hint="eastAsia"/>
                <w:color w:val="000000"/>
              </w:rPr>
              <w:t>数据交换共享平台软件</w:t>
            </w:r>
          </w:p>
        </w:tc>
        <w:tc>
          <w:tcPr>
            <w:tcW w:w="78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spacing w:line="300" w:lineRule="exact"/>
              <w:ind w:right="116"/>
              <w:jc w:val="left"/>
              <w:textAlignment w:val="top"/>
              <w:rPr>
                <w:color w:val="000000"/>
              </w:rPr>
            </w:pPr>
            <w:r>
              <w:rPr>
                <w:rFonts w:hint="eastAsia"/>
                <w:color w:val="000000"/>
              </w:rPr>
              <w:t>非OEM产品，拥有自主知识产权。（要求无缝兼容原有数据库双活系统）</w:t>
            </w:r>
          </w:p>
          <w:p>
            <w:pPr>
              <w:widowControl/>
              <w:spacing w:line="300" w:lineRule="exact"/>
              <w:ind w:right="116"/>
              <w:jc w:val="left"/>
              <w:textAlignment w:val="top"/>
              <w:rPr>
                <w:color w:val="000000"/>
              </w:rPr>
            </w:pPr>
            <w:r>
              <w:rPr>
                <w:rFonts w:hint="eastAsia"/>
                <w:color w:val="000000"/>
              </w:rPr>
              <w:t>（1）以实时同步海量、多模、异构平台的数据，形成统一的数据库群为基础，分布式ETL技术为核心，可实现数据抽取、关联、排序、去重、转换、拆分、聚合、装载等功能，支持对列的数据进行转换，包括列映射、增/删除列、列转换。支持从Oracle Exadata一体机采集数据，并在数据采集过程中进行数据规整、稽核，保证数据处理（</w:t>
            </w:r>
            <w:r>
              <w:rPr>
                <w:color w:val="000000"/>
              </w:rPr>
              <w:t>1</w:t>
            </w:r>
            <w:r>
              <w:rPr>
                <w:rFonts w:hint="eastAsia"/>
                <w:color w:val="000000"/>
              </w:rPr>
              <w:t>）的性能和质量，依托数据库复制系统，可建立多维度的索引主题库，为后续应用开发提供敏捷数据。</w:t>
            </w:r>
          </w:p>
          <w:p>
            <w:pPr>
              <w:widowControl/>
              <w:spacing w:line="300" w:lineRule="exact"/>
              <w:ind w:right="116"/>
              <w:jc w:val="left"/>
              <w:textAlignment w:val="top"/>
              <w:rPr>
                <w:color w:val="000000"/>
              </w:rPr>
            </w:pPr>
            <w:r>
              <w:rPr>
                <w:rFonts w:hint="eastAsia"/>
                <w:color w:val="000000"/>
              </w:rPr>
              <w:t>（2）支持各级用户掌握数据资产盘点的进度、盘点的数量、盘点通知、盘点消息、盘点文件下载等。</w:t>
            </w:r>
          </w:p>
          <w:p>
            <w:pPr>
              <w:widowControl/>
              <w:spacing w:line="300" w:lineRule="exact"/>
              <w:ind w:right="116"/>
              <w:jc w:val="left"/>
              <w:textAlignment w:val="top"/>
              <w:rPr>
                <w:color w:val="000000"/>
              </w:rPr>
            </w:pPr>
            <w:r>
              <w:rPr>
                <w:rFonts w:hint="eastAsia"/>
                <w:color w:val="000000"/>
              </w:rPr>
              <w:t>（3）共享资源管理应实现数据挂接、申请审核、查询和综合管理，通过将数据资源挂载到资源目录管理系统中，使数据资源可理解，支撑目录系统有数据可用。包含资源设置资源挂接、挂接审核、资源发布和资源统计等内容。</w:t>
            </w:r>
          </w:p>
          <w:p>
            <w:pPr>
              <w:widowControl/>
              <w:spacing w:line="300" w:lineRule="exact"/>
              <w:ind w:right="116"/>
              <w:jc w:val="left"/>
              <w:textAlignment w:val="top"/>
              <w:rPr>
                <w:color w:val="000000"/>
              </w:rPr>
            </w:pPr>
            <w:r>
              <w:rPr>
                <w:rFonts w:hint="eastAsia"/>
                <w:color w:val="000000"/>
              </w:rPr>
              <w:t>（4）服务接口管理根据任务所需数据，可对接口进行设计，通过可视化界面对接口进行模型定义、相关入参、出参定义。接口模型基于元数据进行定义。通过可视化界面对元数据字段进行快速勾选、定义字段关联，快速生成API模型。</w:t>
            </w:r>
          </w:p>
          <w:p>
            <w:pPr>
              <w:widowControl/>
              <w:spacing w:line="300" w:lineRule="exact"/>
              <w:ind w:right="116"/>
              <w:jc w:val="left"/>
              <w:textAlignment w:val="top"/>
              <w:rPr>
                <w:color w:val="000000"/>
              </w:rPr>
            </w:pPr>
            <w:r>
              <w:rPr>
                <w:rFonts w:hint="eastAsia"/>
                <w:color w:val="000000"/>
              </w:rPr>
              <w:t>（5）当用户通过门户订阅库表资源时，在经过审批之后，可以通过过实时交换系统的库表交换功能，将库表资源推送给用户制定的目的数据库内。</w:t>
            </w:r>
          </w:p>
          <w:p>
            <w:pPr>
              <w:widowControl/>
              <w:spacing w:line="300" w:lineRule="exact"/>
              <w:ind w:right="116"/>
              <w:jc w:val="left"/>
              <w:textAlignment w:val="top"/>
              <w:rPr>
                <w:color w:val="000000"/>
              </w:rPr>
            </w:pPr>
            <w:r>
              <w:rPr>
                <w:rFonts w:hint="eastAsia"/>
                <w:color w:val="000000"/>
              </w:rPr>
              <w:t>（6）平台按照指定策略使用数据库、SFTP服务器、API接口、消息中间件等方式向消费方推送资源。</w:t>
            </w:r>
          </w:p>
          <w:p>
            <w:pPr>
              <w:widowControl/>
              <w:spacing w:line="300" w:lineRule="exact"/>
              <w:ind w:right="116"/>
              <w:jc w:val="left"/>
              <w:textAlignment w:val="top"/>
              <w:rPr>
                <w:color w:val="000000"/>
              </w:rPr>
            </w:pPr>
            <w:r>
              <w:rPr>
                <w:rFonts w:hint="eastAsia"/>
                <w:color w:val="000000"/>
              </w:rPr>
              <w:t>（7）按照不同的维度，具备以大屏的形式对数据的共享情况进行监控、统计与展示。从业务流转过程中的数据监管维度出发，建立覆盖业务范围的多种维度与指标项，从整体观察和分析数据流转情况与数据异常情况。</w:t>
            </w:r>
          </w:p>
          <w:p>
            <w:pPr>
              <w:widowControl/>
              <w:spacing w:line="300" w:lineRule="exact"/>
              <w:ind w:right="116"/>
              <w:jc w:val="left"/>
              <w:textAlignment w:val="top"/>
              <w:rPr>
                <w:color w:val="000000"/>
              </w:rPr>
            </w:pPr>
            <w:r>
              <w:rPr>
                <w:rFonts w:hint="eastAsia"/>
                <w:color w:val="000000"/>
              </w:rPr>
              <w:t>（8）个人中心功能应实现对登录用户个人历史申请记录、审核状态信息、订阅信息、待处理消息、待审批信息等进行展示与操作的功能。</w:t>
            </w:r>
          </w:p>
          <w:p>
            <w:pPr>
              <w:widowControl/>
              <w:spacing w:line="300" w:lineRule="exact"/>
              <w:ind w:right="116"/>
              <w:jc w:val="left"/>
              <w:textAlignment w:val="top"/>
              <w:rPr>
                <w:color w:val="000000"/>
              </w:rPr>
            </w:pPr>
            <w:r>
              <w:rPr>
                <w:rFonts w:hint="eastAsia"/>
                <w:color w:val="000000"/>
              </w:rPr>
              <w:t>（9）集成先进爬虫、日志采集、文件采集转换技术，实现各类半结构化和文件源的采集，集成Kafka大数据组件，实现数据缓存与开放共享。</w:t>
            </w:r>
          </w:p>
          <w:p>
            <w:pPr>
              <w:spacing w:line="300" w:lineRule="exact"/>
              <w:jc w:val="left"/>
              <w:rPr>
                <w:color w:val="000000"/>
              </w:rPr>
            </w:pPr>
            <w:r>
              <w:rPr>
                <w:rFonts w:hint="eastAsia"/>
                <w:color w:val="000000"/>
              </w:rPr>
              <w:t>（</w:t>
            </w:r>
            <w:r>
              <w:rPr>
                <w:color w:val="000000"/>
              </w:rPr>
              <w:t>10</w:t>
            </w:r>
            <w:r>
              <w:rPr>
                <w:rFonts w:hint="eastAsia"/>
                <w:color w:val="000000"/>
              </w:rPr>
              <w:t>）统一平台管理</w:t>
            </w:r>
            <w:r>
              <w:rPr>
                <w:color w:val="000000"/>
              </w:rPr>
              <w:t>:应</w:t>
            </w:r>
            <w:r>
              <w:rPr>
                <w:rFonts w:hint="eastAsia"/>
                <w:color w:val="000000"/>
              </w:rPr>
              <w:t>具备中文操作界面，实现对数据同步的数据变化时间、数据变化量级、软件运行状态、软件资源占用、主机硬件状态以及网络环境的全面监控和管理。管理平台具备对数据库探测并对探测结果进行评估分析，通过数据库探测工具对数据库各维度指标的收集、解析、存放，自定义各维度指标趋势的变化展现，利用内置的算法做好相应指标的提前感知和预警。</w:t>
            </w:r>
          </w:p>
        </w:tc>
        <w:tc>
          <w:tcPr>
            <w:tcW w:w="67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套</w:t>
            </w:r>
          </w:p>
        </w:tc>
        <w:tc>
          <w:tcPr>
            <w:tcW w:w="6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1</w:t>
            </w:r>
          </w:p>
        </w:tc>
      </w:tr>
      <w:tr>
        <w:tblPrEx>
          <w:tblCellMar>
            <w:top w:w="0" w:type="dxa"/>
            <w:left w:w="0" w:type="dxa"/>
            <w:bottom w:w="0" w:type="dxa"/>
            <w:right w:w="0" w:type="dxa"/>
          </w:tblCellMar>
        </w:tblPrEx>
        <w:trPr>
          <w:trHeight w:val="1093" w:hRule="atLeast"/>
          <w:jc w:val="center"/>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color w:val="000000"/>
              </w:rPr>
              <w:t>18</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软件定义存储授权</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分布式存储软件授权</w:t>
            </w:r>
          </w:p>
        </w:tc>
        <w:tc>
          <w:tcPr>
            <w:tcW w:w="7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left="113" w:right="113"/>
              <w:jc w:val="left"/>
              <w:rPr>
                <w:color w:val="000000"/>
              </w:rPr>
            </w:pPr>
            <w:r>
              <w:rPr>
                <w:rFonts w:hint="eastAsia"/>
                <w:color w:val="000000"/>
              </w:rPr>
              <w:t>1</w:t>
            </w:r>
            <w:r>
              <w:rPr>
                <w:color w:val="000000"/>
              </w:rPr>
              <w:t>.</w:t>
            </w:r>
            <w:r>
              <w:rPr>
                <w:rFonts w:hint="eastAsia"/>
                <w:color w:val="000000"/>
              </w:rPr>
              <w:t>授权满足</w:t>
            </w:r>
            <w:r>
              <w:rPr>
                <w:color w:val="000000"/>
              </w:rPr>
              <w:t>3</w:t>
            </w:r>
            <w:r>
              <w:rPr>
                <w:rFonts w:hint="eastAsia"/>
                <w:color w:val="000000"/>
              </w:rPr>
              <w:t>台全闪存储服务器节点许可。</w:t>
            </w:r>
          </w:p>
          <w:p>
            <w:pPr>
              <w:spacing w:line="300" w:lineRule="exact"/>
              <w:ind w:left="113" w:right="113"/>
              <w:jc w:val="left"/>
              <w:rPr>
                <w:color w:val="000000"/>
              </w:rPr>
            </w:pPr>
            <w:r>
              <w:rPr>
                <w:rFonts w:hint="eastAsia"/>
                <w:color w:val="000000"/>
              </w:rPr>
              <w:t>2</w:t>
            </w:r>
            <w:r>
              <w:rPr>
                <w:color w:val="000000"/>
              </w:rPr>
              <w:t>.</w:t>
            </w:r>
            <w:r>
              <w:rPr>
                <w:rFonts w:hint="eastAsia"/>
                <w:color w:val="000000"/>
              </w:rPr>
              <w:t>授权满足</w:t>
            </w:r>
            <w:r>
              <w:rPr>
                <w:color w:val="000000"/>
              </w:rPr>
              <w:t>4</w:t>
            </w:r>
            <w:r>
              <w:rPr>
                <w:rFonts w:hint="eastAsia"/>
                <w:color w:val="000000"/>
              </w:rPr>
              <w:t>台混合存储服务器节点许可。</w:t>
            </w:r>
            <w:r>
              <w:rPr>
                <w:rFonts w:hint="eastAsia"/>
                <w:color w:val="000000"/>
              </w:rPr>
              <w:br w:type="textWrapping"/>
            </w:r>
            <w:r>
              <w:rPr>
                <w:color w:val="000000"/>
              </w:rPr>
              <w:t>3.</w:t>
            </w:r>
            <w:r>
              <w:rPr>
                <w:rFonts w:hint="eastAsia"/>
                <w:color w:val="000000"/>
              </w:rPr>
              <w:t>维保要求：3年软件免费升级服务，提供解决方案实施服务、安装服务。</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套</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1</w:t>
            </w:r>
          </w:p>
        </w:tc>
      </w:tr>
      <w:tr>
        <w:tblPrEx>
          <w:tblCellMar>
            <w:top w:w="0" w:type="dxa"/>
            <w:left w:w="0" w:type="dxa"/>
            <w:bottom w:w="0" w:type="dxa"/>
            <w:right w:w="0" w:type="dxa"/>
          </w:tblCellMar>
        </w:tblPrEx>
        <w:trPr>
          <w:trHeight w:val="386" w:hRule="atLeast"/>
          <w:jc w:val="center"/>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color w:val="000000"/>
              </w:rPr>
              <w:t>19</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机柜</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机柜</w:t>
            </w:r>
          </w:p>
        </w:tc>
        <w:tc>
          <w:tcPr>
            <w:tcW w:w="7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left="113" w:right="113"/>
              <w:jc w:val="left"/>
              <w:rPr>
                <w:color w:val="000000"/>
              </w:rPr>
            </w:pPr>
            <w:r>
              <w:rPr>
                <w:rFonts w:hint="eastAsia"/>
                <w:color w:val="000000"/>
              </w:rPr>
              <w:t>配置标准42U服务器机柜</w:t>
            </w:r>
            <w:r>
              <w:rPr>
                <w:color w:val="000000"/>
              </w:rPr>
              <w:t>5</w:t>
            </w:r>
            <w:r>
              <w:rPr>
                <w:rFonts w:hint="eastAsia"/>
                <w:color w:val="000000"/>
              </w:rPr>
              <w:t>台，12个 PDU配件等整体功能，含配电、安装</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台</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5</w:t>
            </w:r>
          </w:p>
        </w:tc>
      </w:tr>
      <w:tr>
        <w:tblPrEx>
          <w:tblCellMar>
            <w:top w:w="0" w:type="dxa"/>
            <w:left w:w="0" w:type="dxa"/>
            <w:bottom w:w="0" w:type="dxa"/>
            <w:right w:w="0" w:type="dxa"/>
          </w:tblCellMar>
        </w:tblPrEx>
        <w:trPr>
          <w:trHeight w:val="496" w:hRule="atLeast"/>
          <w:jc w:val="center"/>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2</w:t>
            </w:r>
            <w:r>
              <w:rPr>
                <w:color w:val="000000"/>
              </w:rPr>
              <w:t>0</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辅材</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线缆辅材</w:t>
            </w:r>
          </w:p>
        </w:tc>
        <w:tc>
          <w:tcPr>
            <w:tcW w:w="7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left="116" w:right="116"/>
              <w:jc w:val="left"/>
              <w:rPr>
                <w:color w:val="000000"/>
              </w:rPr>
            </w:pPr>
            <w:r>
              <w:rPr>
                <w:rFonts w:hint="eastAsia"/>
                <w:color w:val="000000"/>
              </w:rPr>
              <w:t>各类光纤以及网线</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1</w:t>
            </w:r>
          </w:p>
        </w:tc>
      </w:tr>
      <w:tr>
        <w:tblPrEx>
          <w:tblCellMar>
            <w:top w:w="0" w:type="dxa"/>
            <w:left w:w="0" w:type="dxa"/>
            <w:bottom w:w="0" w:type="dxa"/>
            <w:right w:w="0" w:type="dxa"/>
          </w:tblCellMar>
        </w:tblPrEx>
        <w:trPr>
          <w:trHeight w:val="496" w:hRule="atLeast"/>
          <w:jc w:val="center"/>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color w:val="000000"/>
              </w:rPr>
              <w:t>21</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网络分流</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网络分流器</w:t>
            </w:r>
          </w:p>
        </w:tc>
        <w:tc>
          <w:tcPr>
            <w:tcW w:w="7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left="116" w:right="116"/>
              <w:jc w:val="left"/>
              <w:rPr>
                <w:color w:val="000000"/>
              </w:rPr>
            </w:pPr>
            <w:r>
              <w:rPr>
                <w:rFonts w:hint="eastAsia"/>
                <w:color w:val="000000"/>
              </w:rPr>
              <w:t>网络分流器主机，48个千兆电口，6个10G SFP+接口，2个100G(兼容40G)接口，两个模块化交流电源插槽。须提供原厂服务承诺函和来源渠道合法证明</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台</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1</w:t>
            </w:r>
          </w:p>
        </w:tc>
      </w:tr>
      <w:tr>
        <w:tblPrEx>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000000"/>
              </w:rPr>
            </w:pPr>
            <w:r>
              <w:rPr>
                <w:rFonts w:hint="eastAsia"/>
                <w:color w:val="000000"/>
              </w:rPr>
              <w:t>2</w:t>
            </w:r>
            <w:r>
              <w:rPr>
                <w:color w:val="000000"/>
              </w:rPr>
              <w:t>2</w:t>
            </w: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left="116" w:right="116"/>
              <w:jc w:val="center"/>
              <w:rPr>
                <w:color w:val="000000"/>
              </w:rPr>
            </w:pPr>
            <w:r>
              <w:rPr>
                <w:rFonts w:hint="eastAsia"/>
                <w:color w:val="000000"/>
              </w:rPr>
              <w:t>安装调试费</w:t>
            </w:r>
          </w:p>
        </w:tc>
        <w:tc>
          <w:tcPr>
            <w:tcW w:w="7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left="116" w:right="116"/>
              <w:jc w:val="left"/>
              <w:rPr>
                <w:color w:val="000000"/>
              </w:rPr>
            </w:pPr>
            <w:r>
              <w:rPr>
                <w:color w:val="000000"/>
              </w:rPr>
              <w:t>包含设备的安装、调试、培训及方案设计服务等</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rPr>
            </w:pPr>
            <w:r>
              <w:rPr>
                <w:rFonts w:hint="eastAsia" w:ascii="宋体" w:hAnsi="宋体" w:cs="宋体"/>
                <w:kern w:val="0"/>
              </w:rPr>
              <w:t>1</w:t>
            </w:r>
          </w:p>
        </w:tc>
      </w:tr>
    </w:tbl>
    <w:p>
      <w:pPr>
        <w:spacing w:line="440" w:lineRule="exact"/>
        <w:jc w:val="left"/>
        <w:rPr>
          <w:rFonts w:ascii="宋体" w:hAnsi="宋体" w:cs="宋体"/>
          <w:b/>
          <w:sz w:val="24"/>
        </w:rPr>
        <w:sectPr>
          <w:pgSz w:w="16838" w:h="11906" w:orient="landscape"/>
          <w:pgMar w:top="1701" w:right="1417" w:bottom="1417" w:left="1417" w:header="851" w:footer="992" w:gutter="0"/>
          <w:cols w:space="720" w:num="1"/>
          <w:docGrid w:type="lines" w:linePitch="313" w:charSpace="0"/>
        </w:sectPr>
      </w:pPr>
    </w:p>
    <w:p>
      <w:pPr>
        <w:pStyle w:val="7"/>
      </w:pPr>
    </w:p>
    <w:p>
      <w:pPr>
        <w:pStyle w:val="3"/>
        <w:widowControl/>
        <w:numPr>
          <w:ilvl w:val="0"/>
          <w:numId w:val="7"/>
        </w:numPr>
        <w:spacing w:line="348" w:lineRule="auto"/>
        <w:jc w:val="center"/>
        <w:rPr>
          <w:rFonts w:ascii="宋体" w:hAnsi="宋体" w:cs="宋体"/>
        </w:rPr>
      </w:pPr>
      <w:bookmarkStart w:id="88" w:name="_Toc421778377"/>
      <w:bookmarkStart w:id="89" w:name="_Toc19346"/>
      <w:bookmarkStart w:id="90" w:name="_Toc221523521"/>
      <w:bookmarkStart w:id="91" w:name="_Toc351989128"/>
      <w:bookmarkStart w:id="92" w:name="_Toc11459"/>
      <w:bookmarkStart w:id="93" w:name="_Toc11524"/>
      <w:bookmarkStart w:id="94" w:name="_Toc27609"/>
      <w:bookmarkStart w:id="95" w:name="_Toc3275"/>
      <w:r>
        <w:rPr>
          <w:rFonts w:hint="eastAsia" w:ascii="宋体" w:hAnsi="宋体" w:cs="宋体"/>
        </w:rPr>
        <w:t xml:space="preserve"> 合同</w:t>
      </w:r>
      <w:bookmarkEnd w:id="88"/>
      <w:bookmarkEnd w:id="89"/>
      <w:bookmarkEnd w:id="90"/>
      <w:bookmarkEnd w:id="91"/>
      <w:r>
        <w:rPr>
          <w:rFonts w:hint="eastAsia" w:ascii="宋体" w:hAnsi="宋体" w:cs="宋体"/>
        </w:rPr>
        <w:t>条款及格式</w:t>
      </w:r>
      <w:bookmarkEnd w:id="92"/>
      <w:bookmarkEnd w:id="93"/>
      <w:bookmarkEnd w:id="94"/>
      <w:bookmarkEnd w:id="95"/>
      <w:r>
        <w:rPr>
          <w:rFonts w:hint="eastAsia" w:ascii="宋体" w:hAnsi="宋体" w:cs="宋体"/>
        </w:rPr>
        <w:t>（仅供参考）</w:t>
      </w:r>
    </w:p>
    <w:p>
      <w:pPr>
        <w:spacing w:line="360" w:lineRule="auto"/>
        <w:ind w:firstLine="420" w:firstLineChars="200"/>
        <w:rPr>
          <w:rFonts w:ascii="宋体" w:hAnsi="宋体" w:cs="宋体"/>
          <w:szCs w:val="21"/>
        </w:rPr>
      </w:pPr>
      <w:bookmarkStart w:id="96" w:name="_Toc12295"/>
      <w:bookmarkStart w:id="97" w:name="_Toc421778384"/>
      <w:bookmarkStart w:id="98" w:name="_Toc30384"/>
      <w:bookmarkStart w:id="99" w:name="_Toc22677"/>
      <w:bookmarkStart w:id="100" w:name="_Toc2409"/>
      <w:bookmarkStart w:id="101" w:name="_Toc5905"/>
      <w:r>
        <w:rPr>
          <w:rFonts w:hint="eastAsia" w:ascii="宋体" w:hAnsi="宋体" w:cs="宋体"/>
          <w:szCs w:val="21"/>
        </w:rPr>
        <w:t>甲方： （采购人）</w:t>
      </w:r>
    </w:p>
    <w:p>
      <w:pPr>
        <w:spacing w:line="360" w:lineRule="auto"/>
        <w:ind w:firstLine="420" w:firstLineChars="200"/>
        <w:rPr>
          <w:rFonts w:ascii="宋体" w:hAnsi="宋体" w:cs="宋体"/>
          <w:szCs w:val="21"/>
        </w:rPr>
      </w:pPr>
      <w:r>
        <w:rPr>
          <w:rFonts w:hint="eastAsia" w:ascii="宋体" w:hAnsi="宋体" w:cs="宋体"/>
          <w:szCs w:val="21"/>
        </w:rPr>
        <w:t>乙方：（中标供应商）</w:t>
      </w:r>
    </w:p>
    <w:p>
      <w:pPr>
        <w:spacing w:line="360" w:lineRule="auto"/>
        <w:ind w:firstLine="420" w:firstLineChars="200"/>
        <w:rPr>
          <w:rFonts w:ascii="宋体" w:hAnsi="宋体" w:cs="宋体"/>
          <w:szCs w:val="21"/>
        </w:rPr>
      </w:pPr>
      <w:r>
        <w:rPr>
          <w:rFonts w:hint="eastAsia" w:ascii="宋体" w:hAnsi="宋体" w:cs="宋体"/>
          <w:szCs w:val="21"/>
        </w:rPr>
        <w:t>在陕西省财政厅政府采购管理处的监督管理下，按照政府采购程序组织公开招标，确定乙方为中标供应商。依据《中华人民共和国政府采购法》、《中华人民共和国招标投标法》、《中华人民共和国民法典》 以及招标文件、中标供应商的投标文件正本和澄清表（函）、中标通知书，经甲、乙双方协商，达成如下条款：</w:t>
      </w:r>
    </w:p>
    <w:p>
      <w:pPr>
        <w:snapToGrid w:val="0"/>
        <w:spacing w:line="360" w:lineRule="auto"/>
        <w:ind w:firstLine="482" w:firstLineChars="200"/>
        <w:rPr>
          <w:rFonts w:ascii="宋体" w:hAnsi="宋体" w:cs="宋体"/>
          <w:b/>
          <w:sz w:val="24"/>
        </w:rPr>
      </w:pPr>
      <w:r>
        <w:rPr>
          <w:rFonts w:hint="eastAsia" w:ascii="宋体" w:hAnsi="宋体" w:cs="宋体"/>
          <w:b/>
          <w:sz w:val="24"/>
        </w:rPr>
        <w:t>第一条：合同标的物：</w:t>
      </w:r>
    </w:p>
    <w:tbl>
      <w:tblPr>
        <w:tblStyle w:val="16"/>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16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pPr>
              <w:snapToGrid w:val="0"/>
              <w:spacing w:line="360" w:lineRule="auto"/>
              <w:jc w:val="center"/>
              <w:rPr>
                <w:rFonts w:ascii="宋体" w:hAnsi="宋体" w:cs="宋体"/>
                <w:b/>
                <w:sz w:val="24"/>
              </w:rPr>
            </w:pPr>
            <w:r>
              <w:rPr>
                <w:rFonts w:hint="eastAsia" w:ascii="宋体" w:hAnsi="宋体" w:cs="宋体"/>
                <w:b/>
                <w:sz w:val="24"/>
              </w:rPr>
              <w:t>产品名称</w:t>
            </w:r>
          </w:p>
        </w:tc>
        <w:tc>
          <w:tcPr>
            <w:tcW w:w="1620" w:type="dxa"/>
          </w:tcPr>
          <w:p>
            <w:pPr>
              <w:snapToGrid w:val="0"/>
              <w:spacing w:line="360" w:lineRule="auto"/>
              <w:jc w:val="center"/>
              <w:rPr>
                <w:rFonts w:ascii="宋体" w:hAnsi="宋体" w:cs="宋体"/>
                <w:b/>
                <w:sz w:val="24"/>
              </w:rPr>
            </w:pPr>
            <w:r>
              <w:rPr>
                <w:rFonts w:hint="eastAsia" w:ascii="宋体" w:hAnsi="宋体" w:cs="宋体"/>
                <w:b/>
                <w:sz w:val="24"/>
              </w:rPr>
              <w:t>注册证名称</w:t>
            </w:r>
          </w:p>
        </w:tc>
        <w:tc>
          <w:tcPr>
            <w:tcW w:w="1360" w:type="dxa"/>
          </w:tcPr>
          <w:p>
            <w:pPr>
              <w:snapToGrid w:val="0"/>
              <w:spacing w:line="360" w:lineRule="auto"/>
              <w:jc w:val="center"/>
              <w:rPr>
                <w:rFonts w:ascii="宋体" w:hAnsi="宋体" w:cs="宋体"/>
                <w:b/>
                <w:sz w:val="24"/>
              </w:rPr>
            </w:pPr>
            <w:r>
              <w:rPr>
                <w:rFonts w:hint="eastAsia" w:ascii="宋体" w:hAnsi="宋体" w:cs="宋体"/>
                <w:b/>
                <w:sz w:val="24"/>
              </w:rPr>
              <w:t>品牌型号</w:t>
            </w:r>
          </w:p>
        </w:tc>
        <w:tc>
          <w:tcPr>
            <w:tcW w:w="878" w:type="dxa"/>
          </w:tcPr>
          <w:p>
            <w:pPr>
              <w:snapToGrid w:val="0"/>
              <w:spacing w:line="360" w:lineRule="auto"/>
              <w:jc w:val="center"/>
              <w:rPr>
                <w:rFonts w:ascii="宋体" w:hAnsi="宋体" w:cs="宋体"/>
                <w:b/>
                <w:sz w:val="24"/>
              </w:rPr>
            </w:pPr>
            <w:r>
              <w:rPr>
                <w:rFonts w:hint="eastAsia" w:ascii="宋体" w:hAnsi="宋体" w:cs="宋体"/>
                <w:b/>
                <w:sz w:val="24"/>
              </w:rPr>
              <w:t>产地</w:t>
            </w:r>
          </w:p>
        </w:tc>
        <w:tc>
          <w:tcPr>
            <w:tcW w:w="750" w:type="dxa"/>
          </w:tcPr>
          <w:p>
            <w:pPr>
              <w:snapToGrid w:val="0"/>
              <w:spacing w:line="360" w:lineRule="auto"/>
              <w:jc w:val="center"/>
              <w:rPr>
                <w:rFonts w:ascii="宋体" w:hAnsi="宋体" w:cs="宋体"/>
                <w:b/>
                <w:sz w:val="24"/>
              </w:rPr>
            </w:pPr>
            <w:r>
              <w:rPr>
                <w:rFonts w:hint="eastAsia" w:ascii="宋体" w:hAnsi="宋体" w:cs="宋体"/>
                <w:b/>
                <w:sz w:val="24"/>
              </w:rPr>
              <w:t>单位</w:t>
            </w:r>
          </w:p>
        </w:tc>
        <w:tc>
          <w:tcPr>
            <w:tcW w:w="571" w:type="dxa"/>
          </w:tcPr>
          <w:p>
            <w:pPr>
              <w:snapToGrid w:val="0"/>
              <w:spacing w:line="360" w:lineRule="auto"/>
              <w:jc w:val="center"/>
              <w:rPr>
                <w:rFonts w:ascii="宋体" w:hAnsi="宋体" w:cs="宋体"/>
                <w:b/>
                <w:sz w:val="24"/>
              </w:rPr>
            </w:pPr>
            <w:r>
              <w:rPr>
                <w:rFonts w:hint="eastAsia" w:ascii="宋体" w:hAnsi="宋体" w:cs="宋体"/>
                <w:b/>
                <w:sz w:val="24"/>
              </w:rPr>
              <w:t>数量</w:t>
            </w:r>
          </w:p>
        </w:tc>
        <w:tc>
          <w:tcPr>
            <w:tcW w:w="1164" w:type="dxa"/>
          </w:tcPr>
          <w:p>
            <w:pPr>
              <w:snapToGrid w:val="0"/>
              <w:spacing w:line="360" w:lineRule="auto"/>
              <w:jc w:val="center"/>
              <w:rPr>
                <w:rFonts w:ascii="宋体" w:hAnsi="宋体" w:cs="宋体"/>
                <w:b/>
                <w:sz w:val="24"/>
              </w:rPr>
            </w:pPr>
            <w:r>
              <w:rPr>
                <w:rFonts w:hint="eastAsia" w:ascii="宋体" w:hAnsi="宋体" w:cs="宋体"/>
                <w:b/>
                <w:sz w:val="24"/>
              </w:rPr>
              <w:t>单价（人民币）</w:t>
            </w:r>
          </w:p>
        </w:tc>
        <w:tc>
          <w:tcPr>
            <w:tcW w:w="1348" w:type="dxa"/>
          </w:tcPr>
          <w:p>
            <w:pPr>
              <w:snapToGrid w:val="0"/>
              <w:spacing w:line="360" w:lineRule="auto"/>
              <w:jc w:val="center"/>
              <w:rPr>
                <w:rFonts w:ascii="宋体" w:hAnsi="宋体" w:cs="宋体"/>
                <w:b/>
                <w:sz w:val="24"/>
              </w:rPr>
            </w:pPr>
            <w:r>
              <w:rPr>
                <w:rFonts w:hint="eastAsia" w:ascii="宋体" w:hAnsi="宋体" w:cs="宋体"/>
                <w:b/>
                <w:sz w:val="24"/>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pPr>
              <w:snapToGrid w:val="0"/>
              <w:spacing w:line="360" w:lineRule="auto"/>
              <w:rPr>
                <w:rFonts w:ascii="宋体" w:hAnsi="宋体" w:cs="宋体"/>
                <w:sz w:val="24"/>
              </w:rPr>
            </w:pPr>
          </w:p>
        </w:tc>
        <w:tc>
          <w:tcPr>
            <w:tcW w:w="1620" w:type="dxa"/>
          </w:tcPr>
          <w:p>
            <w:pPr>
              <w:snapToGrid w:val="0"/>
              <w:spacing w:line="360" w:lineRule="auto"/>
              <w:rPr>
                <w:rFonts w:ascii="宋体" w:hAnsi="宋体" w:cs="宋体"/>
                <w:sz w:val="24"/>
              </w:rPr>
            </w:pPr>
          </w:p>
        </w:tc>
        <w:tc>
          <w:tcPr>
            <w:tcW w:w="1360" w:type="dxa"/>
          </w:tcPr>
          <w:p>
            <w:pPr>
              <w:snapToGrid w:val="0"/>
              <w:spacing w:line="360" w:lineRule="auto"/>
              <w:jc w:val="left"/>
              <w:rPr>
                <w:rFonts w:ascii="宋体" w:hAnsi="宋体" w:cs="宋体"/>
                <w:sz w:val="24"/>
              </w:rPr>
            </w:pPr>
          </w:p>
        </w:tc>
        <w:tc>
          <w:tcPr>
            <w:tcW w:w="878" w:type="dxa"/>
          </w:tcPr>
          <w:p>
            <w:pPr>
              <w:snapToGrid w:val="0"/>
              <w:spacing w:line="360" w:lineRule="auto"/>
              <w:rPr>
                <w:rFonts w:ascii="宋体" w:hAnsi="宋体" w:cs="宋体"/>
                <w:sz w:val="24"/>
              </w:rPr>
            </w:pPr>
          </w:p>
        </w:tc>
        <w:tc>
          <w:tcPr>
            <w:tcW w:w="750" w:type="dxa"/>
          </w:tcPr>
          <w:p>
            <w:pPr>
              <w:snapToGrid w:val="0"/>
              <w:spacing w:line="360" w:lineRule="auto"/>
              <w:rPr>
                <w:rFonts w:ascii="宋体" w:hAnsi="宋体" w:cs="宋体"/>
                <w:sz w:val="24"/>
              </w:rPr>
            </w:pPr>
            <w:r>
              <w:rPr>
                <w:rFonts w:hint="eastAsia" w:ascii="宋体" w:hAnsi="宋体" w:cs="宋体"/>
                <w:sz w:val="24"/>
              </w:rPr>
              <w:t>台</w:t>
            </w:r>
          </w:p>
        </w:tc>
        <w:tc>
          <w:tcPr>
            <w:tcW w:w="571" w:type="dxa"/>
          </w:tcPr>
          <w:p>
            <w:pPr>
              <w:snapToGrid w:val="0"/>
              <w:spacing w:line="360" w:lineRule="auto"/>
              <w:rPr>
                <w:rFonts w:ascii="宋体" w:hAnsi="宋体" w:cs="宋体"/>
                <w:sz w:val="24"/>
              </w:rPr>
            </w:pPr>
          </w:p>
        </w:tc>
        <w:tc>
          <w:tcPr>
            <w:tcW w:w="1164" w:type="dxa"/>
            <w:vAlign w:val="center"/>
          </w:tcPr>
          <w:p>
            <w:pPr>
              <w:snapToGrid w:val="0"/>
              <w:spacing w:line="360" w:lineRule="auto"/>
              <w:rPr>
                <w:rFonts w:ascii="宋体" w:hAnsi="宋体" w:cs="宋体"/>
                <w:sz w:val="24"/>
              </w:rPr>
            </w:pPr>
            <w:r>
              <w:rPr>
                <w:rFonts w:hint="eastAsia" w:ascii="宋体" w:hAnsi="宋体" w:cs="宋体"/>
                <w:sz w:val="24"/>
              </w:rPr>
              <w:t>￥</w:t>
            </w:r>
          </w:p>
        </w:tc>
        <w:tc>
          <w:tcPr>
            <w:tcW w:w="1348" w:type="dxa"/>
            <w:vAlign w:val="center"/>
          </w:tcPr>
          <w:p>
            <w:pPr>
              <w:snapToGrid w:val="0"/>
              <w:spacing w:line="360" w:lineRule="auto"/>
              <w:ind w:right="960"/>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11" w:type="dxa"/>
            <w:gridSpan w:val="8"/>
          </w:tcPr>
          <w:p>
            <w:pPr>
              <w:snapToGrid w:val="0"/>
              <w:spacing w:line="360" w:lineRule="auto"/>
              <w:rPr>
                <w:rFonts w:ascii="宋体" w:hAnsi="宋体" w:cs="宋体"/>
                <w:sz w:val="24"/>
              </w:rPr>
            </w:pPr>
            <w:r>
              <w:rPr>
                <w:rFonts w:hint="eastAsia" w:ascii="宋体" w:hAnsi="宋体" w:cs="宋体"/>
                <w:sz w:val="24"/>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311" w:type="dxa"/>
            <w:gridSpan w:val="8"/>
          </w:tcPr>
          <w:p>
            <w:pPr>
              <w:widowControl/>
              <w:snapToGrid w:val="0"/>
              <w:spacing w:line="360" w:lineRule="auto"/>
              <w:jc w:val="left"/>
              <w:rPr>
                <w:rFonts w:ascii="宋体" w:hAnsi="宋体" w:cs="宋体"/>
                <w:sz w:val="24"/>
              </w:rPr>
            </w:pPr>
            <w:r>
              <w:rPr>
                <w:rFonts w:hint="eastAsia" w:ascii="宋体" w:hAnsi="宋体" w:cs="宋体"/>
                <w:b/>
                <w:sz w:val="24"/>
              </w:rPr>
              <w:t xml:space="preserve"> 备注：      </w:t>
            </w:r>
            <w:r>
              <w:rPr>
                <w:rFonts w:hint="eastAsia" w:ascii="宋体" w:hAnsi="宋体" w:cs="宋体"/>
                <w:sz w:val="24"/>
              </w:rPr>
              <w:t xml:space="preserve">                                                         </w:t>
            </w:r>
          </w:p>
          <w:p>
            <w:pPr>
              <w:widowControl/>
              <w:snapToGrid w:val="0"/>
              <w:spacing w:line="360" w:lineRule="auto"/>
              <w:jc w:val="left"/>
              <w:rPr>
                <w:rFonts w:ascii="宋体" w:hAnsi="宋体" w:cs="宋体"/>
                <w:sz w:val="24"/>
              </w:rPr>
            </w:pPr>
            <w:r>
              <w:rPr>
                <w:rFonts w:hint="eastAsia" w:ascii="宋体" w:hAnsi="宋体" w:cs="宋体"/>
                <w:sz w:val="24"/>
              </w:rPr>
              <w:t xml:space="preserve">                                                                      </w:t>
            </w:r>
          </w:p>
        </w:tc>
      </w:tr>
    </w:tbl>
    <w:p>
      <w:pPr>
        <w:spacing w:line="360" w:lineRule="auto"/>
        <w:ind w:firstLine="210" w:firstLineChars="100"/>
        <w:rPr>
          <w:rFonts w:ascii="宋体" w:hAnsi="宋体" w:cs="宋体"/>
          <w:szCs w:val="21"/>
        </w:rPr>
      </w:pPr>
      <w:r>
        <w:rPr>
          <w:rFonts w:hint="eastAsia" w:ascii="宋体" w:hAnsi="宋体" w:cs="宋体"/>
          <w:szCs w:val="21"/>
        </w:rPr>
        <w:t>产品应当符合国家规范规定的标准及乙方投标文件所述和宣传的标准，设备配置详单附后。</w:t>
      </w:r>
    </w:p>
    <w:p>
      <w:pPr>
        <w:snapToGrid w:val="0"/>
        <w:spacing w:line="360" w:lineRule="auto"/>
        <w:ind w:firstLine="482" w:firstLineChars="200"/>
        <w:rPr>
          <w:rFonts w:ascii="宋体" w:hAnsi="宋体" w:cs="宋体"/>
          <w:b/>
          <w:sz w:val="24"/>
        </w:rPr>
      </w:pPr>
      <w:r>
        <w:rPr>
          <w:rFonts w:hint="eastAsia" w:ascii="宋体" w:hAnsi="宋体" w:cs="宋体"/>
          <w:b/>
          <w:sz w:val="24"/>
        </w:rPr>
        <w:t>第二条：合同价款：</w:t>
      </w:r>
    </w:p>
    <w:p>
      <w:pPr>
        <w:snapToGrid w:val="0"/>
        <w:spacing w:line="360" w:lineRule="auto"/>
        <w:ind w:firstLine="480" w:firstLineChars="200"/>
        <w:rPr>
          <w:rFonts w:ascii="宋体" w:hAnsi="宋体" w:cs="宋体"/>
          <w:sz w:val="24"/>
        </w:rPr>
      </w:pPr>
      <w:r>
        <w:rPr>
          <w:rFonts w:hint="eastAsia" w:ascii="宋体" w:hAnsi="宋体" w:cs="宋体"/>
          <w:sz w:val="24"/>
        </w:rPr>
        <w:t>1.合同总金额：</w:t>
      </w:r>
      <w:r>
        <w:rPr>
          <w:rFonts w:hint="eastAsia" w:ascii="宋体" w:hAnsi="宋体" w:cs="宋体"/>
          <w:b/>
          <w:sz w:val="24"/>
        </w:rPr>
        <w:t>人民币</w:t>
      </w:r>
      <w:r>
        <w:rPr>
          <w:rFonts w:hint="eastAsia" w:ascii="宋体" w:hAnsi="宋体" w:cs="宋体"/>
          <w:b/>
          <w:sz w:val="24"/>
          <w:u w:val="single"/>
        </w:rPr>
        <w:t xml:space="preserve">          </w:t>
      </w:r>
      <w:r>
        <w:rPr>
          <w:rFonts w:hint="eastAsia" w:ascii="宋体" w:hAnsi="宋体" w:cs="宋体"/>
          <w:b/>
          <w:sz w:val="24"/>
        </w:rPr>
        <w:t>元整。</w:t>
      </w:r>
    </w:p>
    <w:p>
      <w:pPr>
        <w:snapToGrid w:val="0"/>
        <w:spacing w:line="360" w:lineRule="auto"/>
        <w:ind w:firstLine="480" w:firstLineChars="200"/>
        <w:rPr>
          <w:rFonts w:ascii="宋体" w:hAnsi="宋体" w:cs="宋体"/>
          <w:sz w:val="24"/>
        </w:rPr>
      </w:pPr>
      <w:r>
        <w:rPr>
          <w:rFonts w:hint="eastAsia" w:ascii="宋体" w:hAnsi="宋体" w:cs="宋体"/>
          <w:sz w:val="24"/>
        </w:rPr>
        <w:t>2.合同总金额包含产品供应价、运杂费（含仓储费、装卸费、保险费）、安装调试费、设备零部件和备品备件（提供设备运行后一年所需）、易损件、专用工具的费用、培训费、税金及其它不可预见费用。</w:t>
      </w:r>
    </w:p>
    <w:p>
      <w:pPr>
        <w:snapToGrid w:val="0"/>
        <w:spacing w:line="360" w:lineRule="auto"/>
        <w:ind w:firstLine="482" w:firstLineChars="200"/>
        <w:rPr>
          <w:rFonts w:ascii="宋体" w:hAnsi="宋体" w:cs="宋体"/>
          <w:b/>
          <w:sz w:val="24"/>
        </w:rPr>
      </w:pPr>
      <w:r>
        <w:rPr>
          <w:rFonts w:hint="eastAsia" w:ascii="宋体" w:hAnsi="宋体" w:cs="宋体"/>
          <w:b/>
          <w:sz w:val="24"/>
        </w:rPr>
        <w:t>第三条：交货地点：</w:t>
      </w:r>
    </w:p>
    <w:p>
      <w:pPr>
        <w:snapToGrid w:val="0"/>
        <w:spacing w:line="360" w:lineRule="auto"/>
        <w:ind w:firstLine="470" w:firstLineChars="196"/>
        <w:rPr>
          <w:rFonts w:ascii="宋体" w:hAnsi="宋体" w:cs="宋体"/>
          <w:sz w:val="24"/>
        </w:rPr>
      </w:pPr>
      <w:r>
        <w:rPr>
          <w:rFonts w:hint="eastAsia" w:ascii="宋体" w:hAnsi="宋体" w:cs="宋体"/>
          <w:sz w:val="24"/>
        </w:rPr>
        <w:t xml:space="preserve"> 采购人指定地点。</w:t>
      </w:r>
    </w:p>
    <w:p>
      <w:pPr>
        <w:snapToGrid w:val="0"/>
        <w:spacing w:line="360" w:lineRule="auto"/>
        <w:ind w:firstLine="482" w:firstLineChars="200"/>
        <w:rPr>
          <w:rFonts w:ascii="宋体" w:hAnsi="宋体" w:cs="宋体"/>
          <w:b/>
          <w:sz w:val="24"/>
        </w:rPr>
      </w:pPr>
      <w:r>
        <w:rPr>
          <w:rFonts w:hint="eastAsia" w:ascii="宋体" w:hAnsi="宋体" w:cs="宋体"/>
          <w:b/>
          <w:sz w:val="24"/>
        </w:rPr>
        <w:t>第四条：</w:t>
      </w:r>
      <w:r>
        <w:rPr>
          <w:rFonts w:hint="eastAsia" w:hAnsi="宋体" w:cs="宋体"/>
          <w:b/>
          <w:bCs/>
          <w:sz w:val="24"/>
        </w:rPr>
        <w:t>服务工期</w:t>
      </w:r>
      <w:r>
        <w:rPr>
          <w:rFonts w:hint="eastAsia" w:ascii="宋体" w:hAnsi="宋体" w:cs="宋体"/>
          <w:b/>
          <w:sz w:val="24"/>
        </w:rPr>
        <w:t>：</w:t>
      </w:r>
    </w:p>
    <w:p>
      <w:pPr>
        <w:spacing w:line="400" w:lineRule="exact"/>
        <w:ind w:firstLine="480" w:firstLineChars="200"/>
        <w:rPr>
          <w:rFonts w:hAnsi="宋体" w:cs="宋体"/>
          <w:sz w:val="24"/>
        </w:rPr>
      </w:pPr>
      <w:r>
        <w:rPr>
          <w:rFonts w:hint="eastAsia" w:hAnsi="宋体" w:cs="宋体"/>
          <w:sz w:val="24"/>
        </w:rPr>
        <w:t>交货工期：自合同签订之日起30个日历日完成建设；</w:t>
      </w:r>
    </w:p>
    <w:p>
      <w:pPr>
        <w:spacing w:line="360" w:lineRule="auto"/>
        <w:ind w:left="479" w:leftChars="228"/>
        <w:rPr>
          <w:rFonts w:hAnsi="宋体" w:cs="宋体"/>
          <w:sz w:val="24"/>
        </w:rPr>
      </w:pPr>
      <w:r>
        <w:rPr>
          <w:rFonts w:ascii="宋体" w:hAnsi="宋体" w:cs="宋体"/>
          <w:sz w:val="24"/>
        </w:rPr>
        <w:t>质保期：自验收通过之日起三年</w:t>
      </w:r>
      <w:r>
        <w:rPr>
          <w:rFonts w:hint="eastAsia" w:ascii="宋体" w:hAnsi="宋体" w:cs="宋体"/>
          <w:sz w:val="24"/>
        </w:rPr>
        <w:t>；</w:t>
      </w:r>
      <w:r>
        <w:rPr>
          <w:rFonts w:ascii="宋体" w:hAnsi="宋体" w:cs="宋体"/>
          <w:sz w:val="24"/>
        </w:rPr>
        <w:br w:type="textWrapping"/>
      </w:r>
      <w:r>
        <w:rPr>
          <w:rFonts w:ascii="宋体" w:hAnsi="宋体" w:cs="宋体"/>
          <w:sz w:val="24"/>
        </w:rPr>
        <w:t>维护期：自</w:t>
      </w:r>
      <w:r>
        <w:rPr>
          <w:rFonts w:hint="eastAsia" w:ascii="宋体" w:hAnsi="宋体" w:cs="宋体"/>
          <w:sz w:val="24"/>
        </w:rPr>
        <w:t>验收</w:t>
      </w:r>
      <w:r>
        <w:rPr>
          <w:rFonts w:ascii="宋体" w:hAnsi="宋体" w:cs="宋体"/>
          <w:sz w:val="24"/>
        </w:rPr>
        <w:t>通过之日起三年</w:t>
      </w:r>
      <w:r>
        <w:rPr>
          <w:rFonts w:hint="eastAsia" w:ascii="宋体" w:hAnsi="宋体" w:cs="宋体"/>
          <w:sz w:val="24"/>
        </w:rPr>
        <w:t>；</w:t>
      </w:r>
    </w:p>
    <w:p>
      <w:pPr>
        <w:snapToGrid w:val="0"/>
        <w:spacing w:line="360" w:lineRule="auto"/>
        <w:ind w:firstLine="482" w:firstLineChars="200"/>
        <w:rPr>
          <w:rFonts w:ascii="宋体" w:hAnsi="宋体" w:cs="宋体"/>
          <w:b/>
          <w:sz w:val="24"/>
        </w:rPr>
      </w:pPr>
      <w:r>
        <w:rPr>
          <w:rFonts w:hint="eastAsia" w:ascii="宋体" w:hAnsi="宋体" w:cs="宋体"/>
          <w:b/>
          <w:sz w:val="24"/>
        </w:rPr>
        <w:t>第五条：货款结算方式：</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付款比例：</w:t>
      </w:r>
    </w:p>
    <w:p>
      <w:pPr>
        <w:spacing w:line="360" w:lineRule="auto"/>
        <w:ind w:firstLine="480" w:firstLineChars="200"/>
        <w:rPr>
          <w:rFonts w:ascii="宋体" w:hAnsi="宋体" w:cs="宋体"/>
          <w:sz w:val="24"/>
        </w:rPr>
      </w:pPr>
      <w:r>
        <w:rPr>
          <w:rFonts w:hint="eastAsia" w:ascii="宋体" w:hAnsi="宋体" w:cs="宋体"/>
          <w:sz w:val="24"/>
        </w:rPr>
        <w:sym w:font="Wingdings" w:char="F081"/>
      </w:r>
      <w:r>
        <w:rPr>
          <w:rFonts w:ascii="宋体" w:hAnsi="宋体" w:cs="宋体"/>
          <w:sz w:val="24"/>
        </w:rPr>
        <w:t>设备到货，加电自检合格</w:t>
      </w:r>
      <w:r>
        <w:rPr>
          <w:rFonts w:hint="eastAsia" w:ascii="宋体" w:hAnsi="宋体" w:cs="宋体"/>
          <w:sz w:val="24"/>
        </w:rPr>
        <w:t>，</w:t>
      </w:r>
      <w:r>
        <w:rPr>
          <w:rFonts w:ascii="宋体" w:hAnsi="宋体" w:cs="宋体"/>
          <w:sz w:val="24"/>
        </w:rPr>
        <w:t>支付合同</w:t>
      </w:r>
      <w:r>
        <w:rPr>
          <w:rFonts w:hint="eastAsia" w:ascii="宋体" w:hAnsi="宋体" w:cs="宋体"/>
          <w:sz w:val="24"/>
        </w:rPr>
        <w:t>金额</w:t>
      </w:r>
      <w:r>
        <w:rPr>
          <w:rFonts w:ascii="宋体" w:hAnsi="宋体" w:cs="宋体"/>
          <w:sz w:val="24"/>
        </w:rPr>
        <w:t>总价的</w:t>
      </w:r>
      <w:r>
        <w:rPr>
          <w:rFonts w:hint="eastAsia" w:ascii="宋体" w:hAnsi="宋体" w:cs="宋体"/>
          <w:sz w:val="24"/>
        </w:rPr>
        <w:t>3</w:t>
      </w:r>
      <w:r>
        <w:rPr>
          <w:rFonts w:ascii="宋体" w:hAnsi="宋体" w:cs="宋体"/>
          <w:sz w:val="24"/>
        </w:rPr>
        <w:t>0%；</w:t>
      </w:r>
    </w:p>
    <w:p>
      <w:pPr>
        <w:spacing w:line="360" w:lineRule="auto"/>
        <w:ind w:firstLine="480" w:firstLineChars="200"/>
        <w:rPr>
          <w:rFonts w:ascii="宋体" w:hAnsi="宋体" w:cs="宋体"/>
          <w:sz w:val="24"/>
        </w:rPr>
      </w:pPr>
      <w:r>
        <w:rPr>
          <w:rFonts w:hint="eastAsia" w:ascii="宋体" w:hAnsi="宋体" w:cs="宋体"/>
          <w:sz w:val="24"/>
        </w:rPr>
        <w:sym w:font="Wingdings" w:char="F082"/>
      </w:r>
      <w:r>
        <w:rPr>
          <w:rFonts w:ascii="宋体" w:hAnsi="宋体" w:cs="宋体"/>
          <w:sz w:val="24"/>
        </w:rPr>
        <w:t>建成后</w:t>
      </w:r>
      <w:r>
        <w:rPr>
          <w:rFonts w:hint="eastAsia" w:ascii="宋体" w:hAnsi="宋体" w:cs="宋体"/>
          <w:sz w:val="24"/>
        </w:rPr>
        <w:t>试运行一个月，验收完成后</w:t>
      </w:r>
      <w:r>
        <w:rPr>
          <w:rFonts w:ascii="宋体" w:hAnsi="宋体" w:cs="宋体"/>
          <w:sz w:val="24"/>
        </w:rPr>
        <w:t>支付合同</w:t>
      </w:r>
      <w:r>
        <w:rPr>
          <w:rFonts w:hint="eastAsia" w:ascii="宋体" w:hAnsi="宋体" w:cs="宋体"/>
          <w:sz w:val="24"/>
        </w:rPr>
        <w:t>金额</w:t>
      </w:r>
      <w:r>
        <w:rPr>
          <w:rFonts w:ascii="宋体" w:hAnsi="宋体" w:cs="宋体"/>
          <w:sz w:val="24"/>
        </w:rPr>
        <w:t>总价的</w:t>
      </w:r>
      <w:r>
        <w:rPr>
          <w:rFonts w:hint="eastAsia" w:ascii="宋体" w:hAnsi="宋体" w:cs="宋体"/>
          <w:sz w:val="24"/>
        </w:rPr>
        <w:t>65</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sym w:font="Wingdings" w:char="F083"/>
      </w:r>
      <w:r>
        <w:rPr>
          <w:rFonts w:hint="eastAsia" w:ascii="宋体" w:hAnsi="宋体" w:cs="宋体"/>
          <w:sz w:val="24"/>
        </w:rPr>
        <w:t>质保期满3年后支付剩余5%。</w:t>
      </w:r>
    </w:p>
    <w:p>
      <w:pPr>
        <w:numPr>
          <w:ilvl w:val="0"/>
          <w:numId w:val="9"/>
        </w:numPr>
        <w:snapToGrid w:val="0"/>
        <w:spacing w:line="360" w:lineRule="auto"/>
        <w:ind w:left="479" w:leftChars="228"/>
        <w:rPr>
          <w:rFonts w:ascii="宋体" w:hAnsi="宋体" w:cs="宋体"/>
          <w:sz w:val="24"/>
        </w:rPr>
      </w:pPr>
      <w:r>
        <w:rPr>
          <w:rFonts w:hint="eastAsia" w:ascii="宋体" w:hAnsi="宋体" w:cs="宋体"/>
          <w:sz w:val="24"/>
        </w:rPr>
        <w:t>支付方式：甲方直接将货款通过银行转账的方式转入乙方指定的专用账号。乙方账户名：</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left="479" w:leftChars="228" w:firstLine="480" w:firstLineChars="200"/>
        <w:rPr>
          <w:rFonts w:ascii="宋体" w:hAnsi="宋体" w:cs="宋体"/>
          <w:sz w:val="24"/>
        </w:rPr>
      </w:pPr>
      <w:r>
        <w:rPr>
          <w:rFonts w:hint="eastAsia" w:ascii="宋体" w:hAnsi="宋体" w:cs="宋体"/>
          <w:sz w:val="24"/>
        </w:rPr>
        <w:t>账号：</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left="479" w:leftChars="228" w:firstLine="480" w:firstLineChars="200"/>
        <w:rPr>
          <w:rFonts w:ascii="宋体" w:hAnsi="宋体" w:cs="宋体"/>
          <w:sz w:val="24"/>
        </w:rPr>
      </w:pPr>
      <w:r>
        <w:rPr>
          <w:rFonts w:hint="eastAsia" w:ascii="宋体" w:hAnsi="宋体" w:cs="宋体"/>
          <w:sz w:val="24"/>
        </w:rPr>
        <w:t>开户行</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2" w:firstLineChars="200"/>
        <w:rPr>
          <w:rFonts w:ascii="宋体" w:hAnsi="宋体" w:cs="宋体"/>
          <w:b/>
          <w:sz w:val="24"/>
        </w:rPr>
      </w:pPr>
      <w:r>
        <w:rPr>
          <w:rFonts w:hint="eastAsia" w:ascii="宋体" w:hAnsi="宋体" w:cs="宋体"/>
          <w:b/>
          <w:sz w:val="24"/>
        </w:rPr>
        <w:t>第六条：包装方式：</w:t>
      </w:r>
    </w:p>
    <w:p>
      <w:pPr>
        <w:snapToGrid w:val="0"/>
        <w:spacing w:line="360" w:lineRule="auto"/>
        <w:ind w:firstLine="480" w:firstLineChars="200"/>
        <w:rPr>
          <w:rFonts w:ascii="宋体" w:hAnsi="宋体" w:cs="宋体"/>
          <w:sz w:val="24"/>
        </w:rPr>
      </w:pPr>
      <w:r>
        <w:rPr>
          <w:rFonts w:hint="eastAsia" w:ascii="宋体" w:hAnsi="宋体" w:cs="宋体"/>
          <w:sz w:val="24"/>
        </w:rPr>
        <w:t>乙方自行选择包装方式，确保产品到达之后各项功能完好无损，包装材料必须符合中国有关动植物检疫等相关规定。</w:t>
      </w:r>
    </w:p>
    <w:p>
      <w:pPr>
        <w:snapToGrid w:val="0"/>
        <w:spacing w:line="360" w:lineRule="auto"/>
        <w:ind w:firstLine="482" w:firstLineChars="200"/>
        <w:rPr>
          <w:rFonts w:ascii="宋体" w:hAnsi="宋体" w:cs="宋体"/>
          <w:b/>
          <w:sz w:val="24"/>
        </w:rPr>
      </w:pPr>
      <w:r>
        <w:rPr>
          <w:rFonts w:hint="eastAsia" w:ascii="宋体" w:hAnsi="宋体" w:cs="宋体"/>
          <w:b/>
          <w:sz w:val="24"/>
        </w:rPr>
        <w:t>第七条：运输及风险：</w:t>
      </w:r>
    </w:p>
    <w:p>
      <w:pPr>
        <w:snapToGrid w:val="0"/>
        <w:spacing w:line="360" w:lineRule="auto"/>
        <w:ind w:firstLine="480" w:firstLineChars="200"/>
        <w:rPr>
          <w:rFonts w:ascii="宋体" w:hAnsi="宋体" w:cs="宋体"/>
          <w:sz w:val="24"/>
        </w:rPr>
      </w:pPr>
      <w:r>
        <w:rPr>
          <w:rFonts w:hint="eastAsia" w:ascii="宋体" w:hAnsi="宋体" w:cs="宋体"/>
          <w:sz w:val="24"/>
        </w:rPr>
        <w:t>1.选择运输风险小、运费低、距离短的运输路线。</w:t>
      </w:r>
    </w:p>
    <w:p>
      <w:pPr>
        <w:snapToGrid w:val="0"/>
        <w:spacing w:line="360" w:lineRule="auto"/>
        <w:ind w:firstLine="480" w:firstLineChars="200"/>
        <w:rPr>
          <w:rFonts w:ascii="宋体" w:hAnsi="宋体" w:cs="宋体"/>
          <w:sz w:val="24"/>
        </w:rPr>
      </w:pPr>
      <w:r>
        <w:rPr>
          <w:rFonts w:hint="eastAsia" w:ascii="宋体" w:hAnsi="宋体" w:cs="宋体"/>
          <w:sz w:val="24"/>
        </w:rPr>
        <w:t>2.乙方自行选择运送方式并负责将产品运输到指定交货地点，并承担合同中约定的全部费用。</w:t>
      </w:r>
    </w:p>
    <w:p>
      <w:pPr>
        <w:snapToGrid w:val="0"/>
        <w:spacing w:line="360" w:lineRule="auto"/>
        <w:ind w:firstLine="480" w:firstLineChars="200"/>
        <w:rPr>
          <w:rFonts w:ascii="宋体" w:hAnsi="宋体" w:cs="宋体"/>
          <w:sz w:val="24"/>
        </w:rPr>
      </w:pPr>
      <w:r>
        <w:rPr>
          <w:rFonts w:hint="eastAsia" w:ascii="宋体" w:hAnsi="宋体" w:cs="宋体"/>
          <w:sz w:val="24"/>
        </w:rPr>
        <w:t>3.运杂费包含在合同总金额内，包括乙方发货地至交货地之间所需的运输费、仓储费、装卸费、保险费、二次倒运费、现场保管费用等。</w:t>
      </w:r>
    </w:p>
    <w:p>
      <w:pPr>
        <w:snapToGrid w:val="0"/>
        <w:spacing w:line="360" w:lineRule="auto"/>
        <w:ind w:firstLine="480" w:firstLineChars="200"/>
        <w:rPr>
          <w:rFonts w:ascii="宋体" w:hAnsi="宋体" w:cs="宋体"/>
          <w:sz w:val="24"/>
        </w:rPr>
      </w:pPr>
      <w:r>
        <w:rPr>
          <w:rFonts w:hint="eastAsia" w:ascii="宋体" w:hAnsi="宋体" w:cs="宋体"/>
          <w:sz w:val="24"/>
        </w:rPr>
        <w:t>4.货物在交付甲方之前，毁损、灭失的风险均由乙方全部承担。</w:t>
      </w:r>
    </w:p>
    <w:p>
      <w:pPr>
        <w:snapToGrid w:val="0"/>
        <w:spacing w:line="360" w:lineRule="auto"/>
        <w:ind w:firstLine="482" w:firstLineChars="200"/>
        <w:rPr>
          <w:rFonts w:ascii="宋体" w:hAnsi="宋体" w:cs="宋体"/>
          <w:b/>
          <w:sz w:val="24"/>
        </w:rPr>
      </w:pPr>
      <w:r>
        <w:rPr>
          <w:rFonts w:hint="eastAsia" w:ascii="宋体" w:hAnsi="宋体" w:cs="宋体"/>
          <w:b/>
          <w:sz w:val="24"/>
        </w:rPr>
        <w:t>第八条：质量保证：</w:t>
      </w:r>
    </w:p>
    <w:p>
      <w:pPr>
        <w:snapToGrid w:val="0"/>
        <w:spacing w:line="360" w:lineRule="auto"/>
        <w:ind w:firstLine="480" w:firstLineChars="200"/>
        <w:rPr>
          <w:rFonts w:ascii="宋体" w:hAnsi="宋体" w:cs="宋体"/>
          <w:sz w:val="24"/>
        </w:rPr>
      </w:pPr>
      <w:r>
        <w:rPr>
          <w:rFonts w:hint="eastAsia" w:ascii="宋体" w:hAnsi="宋体" w:cs="宋体"/>
          <w:sz w:val="24"/>
        </w:rPr>
        <w:t>1.乙方的产品质量应当符合国家行业规定的标准，并无任何瑕疵；乙方应按配置清单要求提供原装全新产品，对该产品实行三包（即包修、包退、包换）。</w:t>
      </w:r>
    </w:p>
    <w:p>
      <w:pPr>
        <w:snapToGrid w:val="0"/>
        <w:spacing w:line="360" w:lineRule="auto"/>
        <w:ind w:firstLine="480" w:firstLineChars="200"/>
        <w:rPr>
          <w:rFonts w:ascii="宋体" w:hAnsi="宋体" w:cs="宋体"/>
          <w:sz w:val="24"/>
        </w:rPr>
      </w:pPr>
      <w:r>
        <w:rPr>
          <w:rFonts w:hint="eastAsia" w:ascii="宋体" w:hAnsi="宋体" w:cs="宋体"/>
          <w:sz w:val="24"/>
        </w:rPr>
        <w:t>2.如交付品种、</w:t>
      </w:r>
      <w:r>
        <w:fldChar w:fldCharType="begin"/>
      </w:r>
      <w:r>
        <w:instrText xml:space="preserve"> HYPERLINK "http://www.hudong.com/wiki/%E5%9E%8B%E5%8F%B7" \t "_blank" \o "型号" </w:instrText>
      </w:r>
      <w:r>
        <w:fldChar w:fldCharType="separate"/>
      </w:r>
      <w:r>
        <w:rPr>
          <w:rFonts w:hint="eastAsia" w:ascii="宋体" w:hAnsi="宋体" w:cs="宋体"/>
          <w:sz w:val="24"/>
        </w:rPr>
        <w:t>型号</w:t>
      </w:r>
      <w:r>
        <w:rPr>
          <w:rFonts w:hint="eastAsia" w:ascii="宋体" w:hAnsi="宋体" w:cs="宋体"/>
          <w:sz w:val="24"/>
        </w:rPr>
        <w:fldChar w:fldCharType="end"/>
      </w:r>
      <w:r>
        <w:rPr>
          <w:rFonts w:hint="eastAsia" w:ascii="宋体" w:hAnsi="宋体" w:cs="宋体"/>
          <w:sz w:val="24"/>
        </w:rPr>
        <w:t>、</w:t>
      </w:r>
      <w:r>
        <w:fldChar w:fldCharType="begin"/>
      </w:r>
      <w:r>
        <w:instrText xml:space="preserve"> HYPERLINK "http://www.hudong.com/wiki/%E8%A7%84%E6%A0%BC" \t "_blank" \o "规格" </w:instrText>
      </w:r>
      <w:r>
        <w:fldChar w:fldCharType="separate"/>
      </w:r>
      <w:r>
        <w:rPr>
          <w:rFonts w:hint="eastAsia" w:ascii="宋体" w:hAnsi="宋体" w:cs="宋体"/>
          <w:sz w:val="24"/>
        </w:rPr>
        <w:t>规格</w:t>
      </w:r>
      <w:r>
        <w:rPr>
          <w:rFonts w:hint="eastAsia" w:ascii="宋体" w:hAnsi="宋体" w:cs="宋体"/>
          <w:sz w:val="24"/>
        </w:rPr>
        <w:fldChar w:fldCharType="end"/>
      </w:r>
      <w:r>
        <w:rPr>
          <w:rFonts w:hint="eastAsia" w:ascii="宋体" w:hAnsi="宋体" w:cs="宋体"/>
          <w:sz w:val="24"/>
        </w:rPr>
        <w:t>不符合同约定的，由乙方负责退换，由此产生的一切费用及给甲方造成的相关损失由乙方全部承担并赔偿相应损失。</w:t>
      </w:r>
    </w:p>
    <w:p>
      <w:pPr>
        <w:snapToGrid w:val="0"/>
        <w:spacing w:line="360" w:lineRule="auto"/>
        <w:ind w:firstLine="480" w:firstLineChars="200"/>
        <w:rPr>
          <w:rFonts w:ascii="宋体" w:hAnsi="宋体" w:cs="宋体"/>
          <w:sz w:val="24"/>
        </w:rPr>
      </w:pPr>
      <w:r>
        <w:rPr>
          <w:rFonts w:hint="eastAsia" w:ascii="宋体" w:hAnsi="宋体" w:cs="宋体"/>
          <w:sz w:val="24"/>
        </w:rPr>
        <w:t>3.如不能修理或者不能调换的，按不能交货处理，因此给甲方造成的所有经济损失乙方应予全额赔偿。</w:t>
      </w:r>
    </w:p>
    <w:p>
      <w:pPr>
        <w:snapToGrid w:val="0"/>
        <w:spacing w:line="360" w:lineRule="auto"/>
        <w:ind w:firstLine="480" w:firstLineChars="200"/>
        <w:rPr>
          <w:rFonts w:ascii="宋体" w:hAnsi="宋体" w:cs="宋体"/>
          <w:sz w:val="24"/>
        </w:rPr>
      </w:pPr>
      <w:r>
        <w:rPr>
          <w:rFonts w:hint="eastAsia" w:ascii="宋体" w:hAnsi="宋体" w:cs="宋体"/>
          <w:sz w:val="24"/>
        </w:rPr>
        <w:t>4.如因该产品本身的质量原因而在使用过程中造成的任何医疗事故纠纷，由乙方全额负责赔偿。</w:t>
      </w:r>
    </w:p>
    <w:p>
      <w:pPr>
        <w:snapToGrid w:val="0"/>
        <w:spacing w:line="360" w:lineRule="auto"/>
        <w:ind w:firstLine="482" w:firstLineChars="200"/>
        <w:rPr>
          <w:rFonts w:ascii="宋体" w:hAnsi="宋体" w:cs="宋体"/>
          <w:b/>
          <w:sz w:val="24"/>
        </w:rPr>
      </w:pPr>
      <w:r>
        <w:rPr>
          <w:rFonts w:hint="eastAsia" w:ascii="宋体" w:hAnsi="宋体" w:cs="宋体"/>
          <w:b/>
          <w:sz w:val="24"/>
        </w:rPr>
        <w:t>第九条：售后服务：</w:t>
      </w:r>
    </w:p>
    <w:p>
      <w:pPr>
        <w:snapToGrid w:val="0"/>
        <w:spacing w:line="360" w:lineRule="auto"/>
        <w:ind w:firstLine="470" w:firstLineChars="196"/>
        <w:rPr>
          <w:rFonts w:ascii="宋体" w:hAnsi="宋体" w:cs="宋体"/>
          <w:sz w:val="24"/>
        </w:rPr>
      </w:pPr>
      <w:r>
        <w:rPr>
          <w:rFonts w:hint="eastAsia" w:ascii="宋体" w:hAnsi="宋体" w:cs="宋体"/>
          <w:sz w:val="24"/>
        </w:rPr>
        <w:t>1.乙方必须具有完善的售后服务体系，高水平的技术维修人员和良好的设备备件供应能力。</w:t>
      </w:r>
    </w:p>
    <w:p>
      <w:pPr>
        <w:snapToGrid w:val="0"/>
        <w:spacing w:line="360" w:lineRule="auto"/>
        <w:ind w:firstLine="480" w:firstLineChars="200"/>
        <w:rPr>
          <w:rFonts w:ascii="宋体" w:hAnsi="宋体" w:cs="宋体"/>
          <w:sz w:val="24"/>
        </w:rPr>
      </w:pPr>
      <w:r>
        <w:rPr>
          <w:rFonts w:hint="eastAsia" w:ascii="宋体" w:hAnsi="宋体" w:cs="宋体"/>
          <w:sz w:val="24"/>
        </w:rPr>
        <w:t>2.乙方同意该产品自安装、调试、验收合格并正常使用之日起免费保修，质保期为</w:t>
      </w:r>
      <w:r>
        <w:rPr>
          <w:rFonts w:hint="eastAsia" w:ascii="宋体" w:hAnsi="宋体" w:cs="宋体"/>
          <w:sz w:val="24"/>
          <w:u w:val="single"/>
        </w:rPr>
        <w:t xml:space="preserve">   </w:t>
      </w:r>
      <w:r>
        <w:rPr>
          <w:rFonts w:hint="eastAsia" w:ascii="宋体" w:hAnsi="宋体" w:cs="宋体"/>
          <w:sz w:val="24"/>
        </w:rPr>
        <w:t xml:space="preserve">年，在保修、保质期内出现的任何质量问题，乙方保证在接到甲方维修通知之日起24小时内派专业维修人员赶赴现场（即甲方指定地点）进行维修。     </w:t>
      </w:r>
    </w:p>
    <w:p>
      <w:pPr>
        <w:snapToGrid w:val="0"/>
        <w:spacing w:line="360" w:lineRule="auto"/>
        <w:ind w:firstLine="480" w:firstLineChars="200"/>
        <w:rPr>
          <w:rFonts w:ascii="宋体" w:hAnsi="宋体" w:cs="宋体"/>
          <w:sz w:val="24"/>
        </w:rPr>
      </w:pPr>
      <w:r>
        <w:rPr>
          <w:rFonts w:hint="eastAsia" w:ascii="宋体" w:hAnsi="宋体" w:cs="宋体"/>
          <w:sz w:val="24"/>
        </w:rPr>
        <w:t>3.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pPr>
        <w:snapToGrid w:val="0"/>
        <w:spacing w:line="360" w:lineRule="auto"/>
        <w:ind w:firstLine="480" w:firstLineChars="200"/>
        <w:rPr>
          <w:rFonts w:ascii="宋体" w:hAnsi="宋体" w:cs="宋体"/>
          <w:sz w:val="24"/>
        </w:rPr>
      </w:pPr>
      <w:r>
        <w:rPr>
          <w:rFonts w:hint="eastAsia" w:ascii="宋体" w:hAnsi="宋体" w:cs="宋体"/>
          <w:sz w:val="24"/>
        </w:rPr>
        <w:t>4.保修、保质期内，维修费用、乙方维修人员的差旅费及其他相关费用均由乙方承担。</w:t>
      </w:r>
    </w:p>
    <w:p>
      <w:pPr>
        <w:snapToGrid w:val="0"/>
        <w:spacing w:line="360" w:lineRule="auto"/>
        <w:ind w:firstLine="480" w:firstLineChars="200"/>
        <w:rPr>
          <w:rFonts w:ascii="宋体" w:hAnsi="宋体" w:cs="宋体"/>
          <w:sz w:val="24"/>
        </w:rPr>
      </w:pPr>
      <w:r>
        <w:rPr>
          <w:rFonts w:hint="eastAsia" w:ascii="宋体" w:hAnsi="宋体" w:cs="宋体"/>
          <w:sz w:val="24"/>
        </w:rPr>
        <w:t>5.保修、保质期满后，乙方负责终身优质服务，检修更换的产品配置零件按标准报价</w:t>
      </w:r>
      <w:r>
        <w:rPr>
          <w:rFonts w:hint="eastAsia" w:ascii="宋体" w:hAnsi="宋体" w:cs="宋体"/>
          <w:sz w:val="24"/>
          <w:u w:val="single"/>
        </w:rPr>
        <w:t xml:space="preserve"> 8 </w:t>
      </w:r>
      <w:r>
        <w:rPr>
          <w:rFonts w:hint="eastAsia" w:ascii="宋体" w:hAnsi="宋体" w:cs="宋体"/>
          <w:sz w:val="24"/>
        </w:rPr>
        <w:t>折的优惠价向甲方提供，免人工费、差旅费及工时费，只收取更换的零配件成本费。</w:t>
      </w:r>
    </w:p>
    <w:p>
      <w:pPr>
        <w:snapToGrid w:val="0"/>
        <w:spacing w:line="360" w:lineRule="auto"/>
        <w:ind w:firstLine="480" w:firstLineChars="200"/>
        <w:rPr>
          <w:rFonts w:ascii="宋体" w:hAnsi="宋体" w:cs="宋体"/>
          <w:sz w:val="24"/>
        </w:rPr>
      </w:pPr>
      <w:r>
        <w:rPr>
          <w:rFonts w:hint="eastAsia" w:ascii="宋体" w:hAnsi="宋体" w:cs="宋体"/>
          <w:sz w:val="24"/>
        </w:rPr>
        <w:t>6.乙方负责产品机型系统错误改进，在保修、保质期内对该机型的软件免费更换或升级。</w:t>
      </w:r>
    </w:p>
    <w:p>
      <w:pPr>
        <w:snapToGrid w:val="0"/>
        <w:spacing w:line="360" w:lineRule="auto"/>
        <w:ind w:firstLine="480" w:firstLineChars="200"/>
        <w:rPr>
          <w:rFonts w:ascii="宋体" w:hAnsi="宋体" w:cs="宋体"/>
          <w:sz w:val="24"/>
        </w:rPr>
      </w:pPr>
      <w:r>
        <w:rPr>
          <w:rFonts w:hint="eastAsia" w:ascii="宋体" w:hAnsi="宋体" w:cs="宋体"/>
          <w:sz w:val="24"/>
        </w:rPr>
        <w:t>7.如因产品本身的隐蔽瑕疵而出现的质量问题，乙方应全面负责维修调试或更新更换并承担全部费用。</w:t>
      </w:r>
    </w:p>
    <w:p>
      <w:pPr>
        <w:snapToGrid w:val="0"/>
        <w:spacing w:line="360" w:lineRule="auto"/>
        <w:ind w:firstLine="480" w:firstLineChars="200"/>
        <w:rPr>
          <w:rFonts w:ascii="宋体" w:hAnsi="宋体" w:cs="宋体"/>
          <w:sz w:val="24"/>
        </w:rPr>
      </w:pPr>
      <w:r>
        <w:rPr>
          <w:rFonts w:hint="eastAsia" w:ascii="宋体" w:hAnsi="宋体" w:cs="宋体"/>
          <w:sz w:val="24"/>
        </w:rPr>
        <w:t>8.乙方必须严格依据合同约定及投标文件中的售后服务承诺履行售后服务义务。</w:t>
      </w:r>
    </w:p>
    <w:p>
      <w:pPr>
        <w:snapToGrid w:val="0"/>
        <w:spacing w:line="360" w:lineRule="auto"/>
        <w:ind w:firstLine="482" w:firstLineChars="200"/>
        <w:rPr>
          <w:rFonts w:ascii="宋体" w:hAnsi="宋体" w:cs="宋体"/>
          <w:b/>
          <w:sz w:val="24"/>
        </w:rPr>
      </w:pPr>
      <w:r>
        <w:rPr>
          <w:rFonts w:hint="eastAsia" w:ascii="宋体" w:hAnsi="宋体" w:cs="宋体"/>
          <w:b/>
          <w:sz w:val="24"/>
        </w:rPr>
        <w:t>第十条：技术服务：</w:t>
      </w:r>
    </w:p>
    <w:p>
      <w:pPr>
        <w:snapToGrid w:val="0"/>
        <w:spacing w:line="360" w:lineRule="auto"/>
        <w:ind w:firstLine="480" w:firstLineChars="200"/>
        <w:rPr>
          <w:rFonts w:ascii="宋体" w:hAnsi="宋体" w:cs="宋体"/>
          <w:sz w:val="24"/>
        </w:rPr>
      </w:pPr>
      <w:r>
        <w:rPr>
          <w:rFonts w:hint="eastAsia" w:ascii="宋体" w:hAnsi="宋体" w:cs="宋体"/>
          <w:sz w:val="24"/>
        </w:rPr>
        <w:t>1.乙方必须在交货时向甲方提供产品详细的中文技术资料1套/台、中文技术操作手册、中文维修手册、中文保养手册、设备总图、电子线路图、机械结构图、产品合格证、中文产品使用说明书等相关材料。</w:t>
      </w:r>
    </w:p>
    <w:p>
      <w:pPr>
        <w:snapToGrid w:val="0"/>
        <w:spacing w:line="360" w:lineRule="auto"/>
        <w:ind w:firstLine="480" w:firstLineChars="200"/>
        <w:rPr>
          <w:rFonts w:ascii="宋体" w:hAnsi="宋体" w:cs="宋体"/>
          <w:sz w:val="24"/>
        </w:rPr>
      </w:pPr>
      <w:r>
        <w:rPr>
          <w:rFonts w:hint="eastAsia" w:ascii="宋体" w:hAnsi="宋体" w:cs="宋体"/>
          <w:sz w:val="24"/>
        </w:rPr>
        <w:t>2.乙方应当负责对甲方的工作人员进行操作培训，使操作人员能够独立、熟练操作直至该产品可以正常使用为止。</w:t>
      </w:r>
    </w:p>
    <w:p>
      <w:pPr>
        <w:snapToGrid w:val="0"/>
        <w:spacing w:line="360" w:lineRule="auto"/>
        <w:ind w:firstLine="480" w:firstLineChars="200"/>
        <w:rPr>
          <w:rFonts w:ascii="宋体" w:hAnsi="宋体" w:cs="宋体"/>
          <w:sz w:val="24"/>
        </w:rPr>
      </w:pPr>
      <w:r>
        <w:rPr>
          <w:rFonts w:hint="eastAsia" w:ascii="宋体" w:hAnsi="宋体" w:cs="宋体"/>
          <w:sz w:val="24"/>
        </w:rPr>
        <w:t>3.乙方应当负责该产品的调试、安装到位，保证正常使用，全部费用由乙方承担。</w:t>
      </w:r>
    </w:p>
    <w:p>
      <w:pPr>
        <w:snapToGrid w:val="0"/>
        <w:spacing w:line="360" w:lineRule="auto"/>
        <w:ind w:firstLine="472" w:firstLineChars="196"/>
        <w:rPr>
          <w:rFonts w:ascii="宋体" w:hAnsi="宋体" w:cs="宋体"/>
          <w:b/>
          <w:sz w:val="24"/>
        </w:rPr>
      </w:pPr>
      <w:r>
        <w:rPr>
          <w:rFonts w:hint="eastAsia" w:ascii="宋体" w:hAnsi="宋体" w:cs="宋体"/>
          <w:b/>
          <w:sz w:val="24"/>
        </w:rPr>
        <w:t>第十一条：产品的验收：</w:t>
      </w:r>
    </w:p>
    <w:p>
      <w:pPr>
        <w:snapToGrid w:val="0"/>
        <w:spacing w:line="360" w:lineRule="auto"/>
        <w:ind w:firstLine="480" w:firstLineChars="200"/>
        <w:rPr>
          <w:rFonts w:ascii="宋体" w:hAnsi="宋体" w:cs="宋体"/>
          <w:sz w:val="24"/>
        </w:rPr>
      </w:pPr>
      <w:r>
        <w:rPr>
          <w:rFonts w:hint="eastAsia" w:ascii="宋体" w:hAnsi="宋体" w:cs="宋体"/>
          <w:sz w:val="24"/>
        </w:rPr>
        <w:t>1.甲方必须在乙方提出书面验收申请之日起</w:t>
      </w:r>
      <w:r>
        <w:rPr>
          <w:rFonts w:hint="eastAsia" w:ascii="宋体" w:hAnsi="宋体" w:cs="宋体"/>
          <w:sz w:val="24"/>
          <w:u w:val="single"/>
        </w:rPr>
        <w:t>2</w:t>
      </w:r>
      <w:r>
        <w:rPr>
          <w:rFonts w:hint="eastAsia" w:ascii="宋体" w:hAnsi="宋体" w:cs="宋体"/>
          <w:sz w:val="24"/>
        </w:rPr>
        <w:t>个工作日内，组织验收工作。验收由甲方指定单位及人员进行验收，验收合格后出具书面验收合格证明，作为对产品的最终认可。</w:t>
      </w:r>
    </w:p>
    <w:p>
      <w:pPr>
        <w:snapToGrid w:val="0"/>
        <w:spacing w:line="360" w:lineRule="auto"/>
        <w:ind w:firstLine="480" w:firstLineChars="200"/>
        <w:rPr>
          <w:rFonts w:ascii="宋体" w:hAnsi="宋体" w:cs="宋体"/>
          <w:sz w:val="24"/>
        </w:rPr>
      </w:pPr>
      <w:r>
        <w:rPr>
          <w:rFonts w:hint="eastAsia" w:ascii="宋体" w:hAnsi="宋体" w:cs="宋体"/>
          <w:sz w:val="24"/>
        </w:rPr>
        <w:t>2.验收依据：单证齐全，应有产品合格证、质量证明、使用说明、保修保质证明、发票和其他应当具有的单证，并符合国家法律、法规对该产品规定的国家标准的要求。</w:t>
      </w:r>
    </w:p>
    <w:p>
      <w:pPr>
        <w:snapToGrid w:val="0"/>
        <w:spacing w:line="360" w:lineRule="auto"/>
        <w:ind w:firstLine="472" w:firstLineChars="196"/>
        <w:rPr>
          <w:rFonts w:ascii="宋体" w:hAnsi="宋体" w:cs="宋体"/>
          <w:b/>
          <w:sz w:val="24"/>
        </w:rPr>
      </w:pPr>
      <w:r>
        <w:rPr>
          <w:rFonts w:hint="eastAsia" w:ascii="宋体" w:hAnsi="宋体" w:cs="宋体"/>
          <w:b/>
          <w:sz w:val="24"/>
        </w:rPr>
        <w:t>第十二条：违约责任：</w:t>
      </w:r>
    </w:p>
    <w:p>
      <w:pPr>
        <w:snapToGrid w:val="0"/>
        <w:spacing w:line="360" w:lineRule="auto"/>
        <w:ind w:firstLine="480" w:firstLineChars="200"/>
        <w:rPr>
          <w:rFonts w:ascii="宋体" w:hAnsi="宋体" w:cs="宋体"/>
          <w:sz w:val="24"/>
        </w:rPr>
      </w:pPr>
      <w:r>
        <w:rPr>
          <w:rFonts w:hint="eastAsia" w:ascii="宋体" w:hAnsi="宋体" w:cs="宋体"/>
          <w:sz w:val="24"/>
        </w:rPr>
        <w:t>1.乙方如不能及时交货或未按照本合同约定及时安装、调试完毕或违反第九条约定，应向甲方支付本合同总价款</w:t>
      </w:r>
      <w:r>
        <w:rPr>
          <w:rFonts w:hint="eastAsia" w:ascii="宋体" w:hAnsi="宋体" w:cs="宋体"/>
          <w:sz w:val="24"/>
          <w:u w:val="single"/>
        </w:rPr>
        <w:t xml:space="preserve">10 </w:t>
      </w:r>
      <w:r>
        <w:rPr>
          <w:rFonts w:hint="eastAsia" w:ascii="宋体" w:hAnsi="宋体" w:cs="宋体"/>
          <w:sz w:val="24"/>
        </w:rPr>
        <w:t>%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一计算。</w:t>
      </w:r>
    </w:p>
    <w:p>
      <w:pPr>
        <w:snapToGrid w:val="0"/>
        <w:spacing w:line="360" w:lineRule="auto"/>
        <w:ind w:firstLine="480" w:firstLineChars="200"/>
        <w:rPr>
          <w:rFonts w:ascii="宋体" w:hAnsi="宋体" w:cs="宋体"/>
          <w:sz w:val="24"/>
        </w:rPr>
      </w:pPr>
      <w:r>
        <w:rPr>
          <w:rFonts w:hint="eastAsia" w:ascii="宋体" w:hAnsi="宋体" w:cs="宋体"/>
          <w:sz w:val="24"/>
        </w:rPr>
        <w:t>2.除前款约定外，乙方未按合同要求提供产品或提供虚假材料，且质量不能满足技术要求的，甲方有权终止合同，同时要求乙方承担相应的经济损失或承担本合同总价款10％的违约金。</w:t>
      </w:r>
    </w:p>
    <w:p>
      <w:pPr>
        <w:snapToGrid w:val="0"/>
        <w:spacing w:line="360" w:lineRule="auto"/>
        <w:ind w:firstLine="480" w:firstLineChars="200"/>
        <w:rPr>
          <w:rFonts w:ascii="宋体" w:hAnsi="宋体" w:cs="宋体"/>
          <w:sz w:val="24"/>
        </w:rPr>
      </w:pPr>
      <w:r>
        <w:rPr>
          <w:rFonts w:hint="eastAsia" w:ascii="宋体" w:hAnsi="宋体" w:cs="宋体"/>
          <w:sz w:val="24"/>
        </w:rPr>
        <w:t>3.自本合同签订之日起，若甲方无故中途退货，应向乙方支付退货部分货款的</w:t>
      </w:r>
      <w:r>
        <w:rPr>
          <w:rFonts w:hint="eastAsia" w:ascii="宋体" w:hAnsi="宋体" w:cs="宋体"/>
          <w:sz w:val="24"/>
          <w:u w:val="single"/>
        </w:rPr>
        <w:t xml:space="preserve">10 </w:t>
      </w:r>
      <w:r>
        <w:rPr>
          <w:rFonts w:hint="eastAsia" w:ascii="宋体" w:hAnsi="宋体" w:cs="宋体"/>
          <w:sz w:val="24"/>
        </w:rPr>
        <w:t>%的违约金。</w:t>
      </w:r>
    </w:p>
    <w:p>
      <w:pPr>
        <w:snapToGrid w:val="0"/>
        <w:spacing w:line="360" w:lineRule="auto"/>
        <w:ind w:firstLine="480" w:firstLineChars="200"/>
        <w:rPr>
          <w:rFonts w:ascii="宋体" w:hAnsi="宋体" w:cs="宋体"/>
          <w:sz w:val="24"/>
        </w:rPr>
      </w:pPr>
      <w:r>
        <w:rPr>
          <w:rFonts w:hint="eastAsia" w:ascii="宋体" w:hAnsi="宋体" w:cs="宋体"/>
          <w:sz w:val="24"/>
        </w:rPr>
        <w:t>4.甲方应当按时向乙方支付货款，逾期付款的，应向乙方支付迟延履行的违约金，每日违约金按逾期付款金额的万分之一计算。</w:t>
      </w:r>
    </w:p>
    <w:p>
      <w:pPr>
        <w:snapToGrid w:val="0"/>
        <w:spacing w:line="360" w:lineRule="auto"/>
        <w:ind w:firstLine="472" w:firstLineChars="196"/>
        <w:rPr>
          <w:rFonts w:ascii="宋体" w:hAnsi="宋体" w:cs="宋体"/>
          <w:b/>
          <w:sz w:val="24"/>
        </w:rPr>
      </w:pPr>
      <w:r>
        <w:rPr>
          <w:rFonts w:hint="eastAsia" w:ascii="宋体" w:hAnsi="宋体" w:cs="宋体"/>
          <w:b/>
          <w:sz w:val="24"/>
        </w:rPr>
        <w:t>第十三条：不可抗力：</w:t>
      </w:r>
    </w:p>
    <w:p>
      <w:pPr>
        <w:snapToGrid w:val="0"/>
        <w:spacing w:line="360" w:lineRule="auto"/>
        <w:ind w:firstLine="480" w:firstLineChars="200"/>
        <w:rPr>
          <w:rFonts w:ascii="宋体" w:hAnsi="宋体" w:cs="宋体"/>
          <w:sz w:val="24"/>
        </w:rPr>
      </w:pPr>
      <w:r>
        <w:rPr>
          <w:rFonts w:hint="eastAsia" w:ascii="宋体" w:hAnsi="宋体" w:cs="宋体"/>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snapToGrid w:val="0"/>
        <w:spacing w:line="360" w:lineRule="auto"/>
        <w:ind w:firstLine="472" w:firstLineChars="196"/>
        <w:rPr>
          <w:rFonts w:ascii="宋体" w:hAnsi="宋体" w:cs="宋体"/>
          <w:b/>
          <w:sz w:val="24"/>
        </w:rPr>
      </w:pPr>
      <w:r>
        <w:rPr>
          <w:rFonts w:hint="eastAsia" w:ascii="宋体" w:hAnsi="宋体" w:cs="宋体"/>
          <w:b/>
          <w:sz w:val="24"/>
        </w:rPr>
        <w:t>第十四条：通知：</w:t>
      </w:r>
    </w:p>
    <w:p>
      <w:pPr>
        <w:snapToGrid w:val="0"/>
        <w:spacing w:line="360" w:lineRule="auto"/>
        <w:rPr>
          <w:rFonts w:ascii="宋体" w:hAnsi="宋体" w:cs="宋体"/>
          <w:sz w:val="24"/>
        </w:rPr>
      </w:pPr>
      <w:r>
        <w:rPr>
          <w:rFonts w:hint="eastAsia" w:ascii="宋体" w:hAnsi="宋体" w:cs="宋体"/>
          <w:sz w:val="24"/>
        </w:rPr>
        <w:t xml:space="preserve">    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甲、乙双方在此一致确认接收通知或文件（包括但不限于日后如发生诉讼案件或其他事件时，法院或其他司法机关或政府等部门送达文书均可采用以下信息）等的信息如下：</w:t>
      </w:r>
    </w:p>
    <w:p>
      <w:pPr>
        <w:snapToGrid w:val="0"/>
        <w:spacing w:line="360" w:lineRule="auto"/>
        <w:ind w:firstLine="470" w:firstLineChars="196"/>
        <w:rPr>
          <w:rFonts w:ascii="宋体" w:hAnsi="宋体" w:cs="宋体"/>
          <w:sz w:val="24"/>
        </w:rPr>
      </w:pPr>
      <w:r>
        <w:rPr>
          <w:rFonts w:hint="eastAsia" w:ascii="宋体" w:hAnsi="宋体" w:cs="宋体"/>
          <w:sz w:val="24"/>
        </w:rPr>
        <w:t>甲方：                                      乙方：</w:t>
      </w:r>
    </w:p>
    <w:p>
      <w:pPr>
        <w:snapToGrid w:val="0"/>
        <w:spacing w:line="360" w:lineRule="auto"/>
        <w:ind w:firstLine="480" w:firstLineChars="200"/>
        <w:rPr>
          <w:rFonts w:ascii="宋体" w:hAnsi="宋体" w:cs="宋体"/>
          <w:sz w:val="24"/>
        </w:rPr>
      </w:pPr>
      <w:r>
        <w:rPr>
          <w:rFonts w:hint="eastAsia" w:ascii="宋体" w:hAnsi="宋体" w:cs="宋体"/>
          <w:sz w:val="24"/>
        </w:rPr>
        <w:t>地址：                                      地址：</w:t>
      </w:r>
    </w:p>
    <w:p>
      <w:pPr>
        <w:snapToGrid w:val="0"/>
        <w:spacing w:line="360" w:lineRule="auto"/>
        <w:ind w:firstLine="480" w:firstLineChars="200"/>
        <w:rPr>
          <w:rFonts w:ascii="宋体" w:hAnsi="宋体" w:cs="宋体"/>
          <w:sz w:val="24"/>
        </w:rPr>
      </w:pPr>
      <w:r>
        <w:rPr>
          <w:rFonts w:hint="eastAsia" w:ascii="宋体" w:hAnsi="宋体" w:cs="宋体"/>
          <w:sz w:val="24"/>
        </w:rPr>
        <w:t>电话：                                      电话：</w:t>
      </w:r>
    </w:p>
    <w:p>
      <w:pPr>
        <w:snapToGrid w:val="0"/>
        <w:spacing w:line="360" w:lineRule="auto"/>
        <w:ind w:firstLine="480" w:firstLineChars="200"/>
        <w:rPr>
          <w:rFonts w:ascii="宋体" w:hAnsi="宋体" w:cs="宋体"/>
          <w:sz w:val="24"/>
        </w:rPr>
      </w:pPr>
      <w:r>
        <w:rPr>
          <w:rFonts w:hint="eastAsia" w:ascii="宋体" w:hAnsi="宋体" w:cs="宋体"/>
          <w:sz w:val="24"/>
        </w:rPr>
        <w:t>邮编：                                      邮编：</w:t>
      </w:r>
    </w:p>
    <w:p>
      <w:pPr>
        <w:snapToGrid w:val="0"/>
        <w:spacing w:line="360" w:lineRule="auto"/>
        <w:ind w:firstLine="480" w:firstLineChars="200"/>
        <w:rPr>
          <w:rFonts w:ascii="宋体" w:hAnsi="宋体" w:cs="宋体"/>
          <w:sz w:val="24"/>
        </w:rPr>
      </w:pPr>
      <w:r>
        <w:rPr>
          <w:rFonts w:hint="eastAsia" w:ascii="宋体" w:hAnsi="宋体" w:cs="宋体"/>
          <w:sz w:val="24"/>
        </w:rPr>
        <w:t>传真：                                      传真：</w:t>
      </w:r>
    </w:p>
    <w:p>
      <w:pPr>
        <w:snapToGrid w:val="0"/>
        <w:spacing w:line="360" w:lineRule="auto"/>
        <w:ind w:firstLine="480" w:firstLineChars="200"/>
        <w:rPr>
          <w:rFonts w:ascii="宋体" w:hAnsi="宋体" w:cs="宋体"/>
          <w:sz w:val="24"/>
        </w:rPr>
      </w:pPr>
      <w:r>
        <w:rPr>
          <w:rFonts w:hint="eastAsia" w:ascii="宋体" w:hAnsi="宋体" w:cs="宋体"/>
          <w:sz w:val="24"/>
        </w:rPr>
        <w:t>邮箱：                                      邮箱：</w:t>
      </w:r>
    </w:p>
    <w:p>
      <w:pPr>
        <w:snapToGrid w:val="0"/>
        <w:spacing w:line="360" w:lineRule="auto"/>
        <w:ind w:firstLine="480" w:firstLineChars="200"/>
        <w:rPr>
          <w:rFonts w:ascii="宋体" w:hAnsi="宋体" w:cs="宋体"/>
          <w:sz w:val="24"/>
        </w:rPr>
      </w:pPr>
      <w:r>
        <w:rPr>
          <w:rFonts w:hint="eastAsia" w:ascii="宋体" w:hAnsi="宋体" w:cs="宋体"/>
          <w:sz w:val="24"/>
        </w:rPr>
        <w:t>法定代表人：                                法定代表人：</w:t>
      </w:r>
    </w:p>
    <w:p>
      <w:pPr>
        <w:snapToGrid w:val="0"/>
        <w:spacing w:line="360" w:lineRule="auto"/>
        <w:rPr>
          <w:rFonts w:ascii="宋体" w:hAnsi="宋体" w:cs="宋体"/>
          <w:sz w:val="24"/>
        </w:rPr>
      </w:pPr>
      <w:r>
        <w:rPr>
          <w:rFonts w:hint="eastAsia" w:ascii="宋体" w:hAnsi="宋体" w:cs="宋体"/>
          <w:sz w:val="24"/>
        </w:rPr>
        <w:t xml:space="preserve">    指定收件人：                                指定收件人：</w:t>
      </w:r>
    </w:p>
    <w:p>
      <w:pPr>
        <w:snapToGrid w:val="0"/>
        <w:spacing w:line="360" w:lineRule="auto"/>
        <w:ind w:firstLine="472" w:firstLineChars="196"/>
        <w:rPr>
          <w:rFonts w:ascii="宋体" w:hAnsi="宋体" w:cs="宋体"/>
          <w:b/>
          <w:sz w:val="24"/>
        </w:rPr>
      </w:pPr>
      <w:r>
        <w:rPr>
          <w:rFonts w:hint="eastAsia" w:ascii="宋体" w:hAnsi="宋体" w:cs="宋体"/>
          <w:b/>
          <w:sz w:val="24"/>
        </w:rPr>
        <w:t>第十五条：纠纷的解决：</w:t>
      </w:r>
    </w:p>
    <w:p>
      <w:pPr>
        <w:snapToGrid w:val="0"/>
        <w:spacing w:line="360" w:lineRule="auto"/>
        <w:ind w:firstLine="480" w:firstLineChars="200"/>
        <w:rPr>
          <w:rFonts w:ascii="宋体" w:hAnsi="宋体" w:cs="宋体"/>
          <w:sz w:val="24"/>
        </w:rPr>
      </w:pPr>
      <w:r>
        <w:rPr>
          <w:rFonts w:hint="eastAsia" w:ascii="宋体" w:hAnsi="宋体" w:cs="宋体"/>
          <w:sz w:val="24"/>
        </w:rPr>
        <w:t>本合同在履行过程中发生的与本合同有关的任何争议，由甲、乙双方先行友好协商解决，协商不成的，任何一方有权向甲方所在地人民法院提起诉讼。</w:t>
      </w:r>
    </w:p>
    <w:p>
      <w:pPr>
        <w:snapToGrid w:val="0"/>
        <w:spacing w:line="360" w:lineRule="auto"/>
        <w:ind w:firstLine="472" w:firstLineChars="196"/>
        <w:rPr>
          <w:rFonts w:ascii="宋体" w:hAnsi="宋体" w:cs="宋体"/>
          <w:b/>
          <w:sz w:val="24"/>
        </w:rPr>
      </w:pPr>
      <w:r>
        <w:rPr>
          <w:rFonts w:hint="eastAsia" w:ascii="宋体" w:hAnsi="宋体" w:cs="宋体"/>
          <w:b/>
          <w:sz w:val="24"/>
        </w:rPr>
        <w:t>第十六条：以下资料为本合同不可分割部分，与本合同具有同等法律效力：</w:t>
      </w:r>
    </w:p>
    <w:p>
      <w:pPr>
        <w:snapToGrid w:val="0"/>
        <w:spacing w:line="360" w:lineRule="auto"/>
        <w:ind w:firstLine="480" w:firstLineChars="200"/>
        <w:rPr>
          <w:rFonts w:ascii="宋体" w:hAnsi="宋体" w:cs="宋体"/>
          <w:sz w:val="24"/>
        </w:rPr>
      </w:pPr>
      <w:r>
        <w:rPr>
          <w:rFonts w:hint="eastAsia" w:ascii="宋体" w:hAnsi="宋体" w:cs="宋体"/>
          <w:sz w:val="24"/>
        </w:rPr>
        <w:t>1.本合同所涉产品的国家标准及乙方宣传标准；</w:t>
      </w:r>
    </w:p>
    <w:p>
      <w:pPr>
        <w:snapToGrid w:val="0"/>
        <w:spacing w:line="360" w:lineRule="auto"/>
        <w:ind w:firstLine="480" w:firstLineChars="200"/>
        <w:rPr>
          <w:rFonts w:ascii="宋体" w:hAnsi="宋体" w:cs="宋体"/>
          <w:sz w:val="24"/>
        </w:rPr>
      </w:pPr>
      <w:r>
        <w:rPr>
          <w:rFonts w:hint="eastAsia" w:ascii="宋体" w:hAnsi="宋体" w:cs="宋体"/>
          <w:sz w:val="24"/>
        </w:rPr>
        <w:t>2.本产品的详细资料；</w:t>
      </w:r>
    </w:p>
    <w:p>
      <w:pPr>
        <w:snapToGrid w:val="0"/>
        <w:spacing w:line="360" w:lineRule="auto"/>
        <w:ind w:firstLine="480" w:firstLineChars="200"/>
        <w:rPr>
          <w:rFonts w:ascii="宋体" w:hAnsi="宋体" w:cs="宋体"/>
          <w:sz w:val="24"/>
        </w:rPr>
      </w:pPr>
      <w:r>
        <w:rPr>
          <w:rFonts w:hint="eastAsia" w:ascii="宋体" w:hAnsi="宋体" w:cs="宋体"/>
          <w:sz w:val="24"/>
        </w:rPr>
        <w:t>3.招投标文件；</w:t>
      </w:r>
    </w:p>
    <w:p>
      <w:pPr>
        <w:snapToGrid w:val="0"/>
        <w:spacing w:line="360" w:lineRule="auto"/>
        <w:ind w:firstLine="480" w:firstLineChars="200"/>
        <w:rPr>
          <w:rFonts w:ascii="宋体" w:hAnsi="宋体" w:cs="宋体"/>
          <w:sz w:val="24"/>
        </w:rPr>
      </w:pPr>
      <w:r>
        <w:rPr>
          <w:rFonts w:hint="eastAsia" w:ascii="宋体" w:hAnsi="宋体" w:cs="宋体"/>
          <w:sz w:val="24"/>
        </w:rPr>
        <w:t>4.本套产品配置及配套设备零件报价详单；（附于合同后）</w:t>
      </w:r>
    </w:p>
    <w:p>
      <w:pPr>
        <w:snapToGrid w:val="0"/>
        <w:spacing w:line="360" w:lineRule="auto"/>
        <w:ind w:firstLine="480" w:firstLineChars="200"/>
        <w:rPr>
          <w:rFonts w:ascii="宋体" w:hAnsi="宋体" w:cs="宋体"/>
          <w:sz w:val="24"/>
        </w:rPr>
      </w:pPr>
      <w:r>
        <w:rPr>
          <w:rFonts w:hint="eastAsia" w:ascii="宋体" w:hAnsi="宋体" w:cs="宋体"/>
          <w:sz w:val="24"/>
        </w:rPr>
        <w:t>5.本套产品配套耗材清单、报价详单。（附于合同后）</w:t>
      </w:r>
    </w:p>
    <w:p>
      <w:pPr>
        <w:snapToGrid w:val="0"/>
        <w:spacing w:line="360" w:lineRule="auto"/>
        <w:ind w:firstLine="472" w:firstLineChars="196"/>
        <w:rPr>
          <w:rFonts w:ascii="宋体" w:hAnsi="宋体" w:cs="宋体"/>
          <w:sz w:val="24"/>
        </w:rPr>
      </w:pPr>
      <w:r>
        <w:rPr>
          <w:rFonts w:hint="eastAsia" w:ascii="宋体" w:hAnsi="宋体" w:cs="宋体"/>
          <w:b/>
          <w:sz w:val="24"/>
        </w:rPr>
        <w:t>第十七条</w:t>
      </w:r>
      <w:r>
        <w:rPr>
          <w:rFonts w:hint="eastAsia" w:ascii="宋体" w:hAnsi="宋体" w:cs="宋体"/>
          <w:sz w:val="24"/>
        </w:rPr>
        <w:t>：本合同一式贰份，甲、乙双方各执壹份，均具有同等法律效力。</w:t>
      </w:r>
    </w:p>
    <w:p>
      <w:pPr>
        <w:snapToGrid w:val="0"/>
        <w:spacing w:line="360" w:lineRule="auto"/>
        <w:ind w:firstLine="472" w:firstLineChars="196"/>
        <w:rPr>
          <w:rFonts w:ascii="宋体" w:hAnsi="宋体" w:cs="宋体"/>
          <w:sz w:val="24"/>
        </w:rPr>
      </w:pPr>
      <w:r>
        <w:rPr>
          <w:rFonts w:hint="eastAsia" w:ascii="宋体" w:hAnsi="宋体" w:cs="宋体"/>
          <w:b/>
          <w:sz w:val="24"/>
        </w:rPr>
        <w:t>第十八条</w:t>
      </w:r>
      <w:r>
        <w:rPr>
          <w:rFonts w:hint="eastAsia" w:ascii="宋体" w:hAnsi="宋体" w:cs="宋体"/>
          <w:sz w:val="24"/>
        </w:rPr>
        <w:t>：本合同未尽事宜，由甲、乙双方另行签订补充协议，补充协议作为合同附件与本合同具有同等法律效力。</w:t>
      </w:r>
    </w:p>
    <w:p>
      <w:pPr>
        <w:snapToGrid w:val="0"/>
        <w:spacing w:line="360" w:lineRule="auto"/>
        <w:ind w:firstLine="472" w:firstLineChars="196"/>
        <w:rPr>
          <w:rFonts w:ascii="宋体" w:hAnsi="宋体" w:cs="宋体"/>
          <w:sz w:val="24"/>
        </w:rPr>
      </w:pPr>
      <w:r>
        <w:rPr>
          <w:rFonts w:hint="eastAsia" w:ascii="宋体" w:hAnsi="宋体" w:cs="宋体"/>
          <w:b/>
          <w:sz w:val="24"/>
        </w:rPr>
        <w:t>第十九条</w:t>
      </w:r>
      <w:r>
        <w:rPr>
          <w:rFonts w:hint="eastAsia" w:ascii="宋体" w:hAnsi="宋体" w:cs="宋体"/>
          <w:sz w:val="24"/>
        </w:rPr>
        <w:t>：本合同自甲、乙双方正式授权代表签字并加盖公章之日起生效。</w:t>
      </w:r>
    </w:p>
    <w:p>
      <w:pPr>
        <w:snapToGrid w:val="0"/>
        <w:spacing w:line="360" w:lineRule="auto"/>
        <w:ind w:firstLine="472" w:firstLineChars="196"/>
        <w:rPr>
          <w:rFonts w:ascii="宋体" w:hAnsi="宋体" w:cs="宋体"/>
          <w:sz w:val="24"/>
        </w:rPr>
      </w:pPr>
      <w:r>
        <w:rPr>
          <w:rFonts w:hint="eastAsia" w:ascii="宋体" w:hAnsi="宋体" w:cs="宋体"/>
          <w:b/>
          <w:sz w:val="24"/>
        </w:rPr>
        <w:t>第二十条</w:t>
      </w:r>
      <w:r>
        <w:rPr>
          <w:rFonts w:hint="eastAsia" w:ascii="宋体" w:hAnsi="宋体" w:cs="宋体"/>
          <w:sz w:val="24"/>
        </w:rPr>
        <w:t>：本合同有效期自生效之日起至合同执行完毕时止。</w:t>
      </w:r>
    </w:p>
    <w:p>
      <w:pPr>
        <w:snapToGrid w:val="0"/>
        <w:spacing w:line="360" w:lineRule="auto"/>
        <w:ind w:firstLine="472" w:firstLineChars="196"/>
        <w:rPr>
          <w:rFonts w:ascii="宋体" w:hAnsi="宋体" w:cs="宋体"/>
          <w:b/>
          <w:sz w:val="24"/>
        </w:rPr>
      </w:pPr>
      <w:r>
        <w:rPr>
          <w:rFonts w:hint="eastAsia" w:ascii="宋体" w:hAnsi="宋体" w:cs="宋体"/>
          <w:b/>
          <w:sz w:val="24"/>
        </w:rPr>
        <w:t>第二十一条：</w:t>
      </w:r>
      <w:r>
        <w:rPr>
          <w:rFonts w:hint="eastAsia" w:ascii="宋体" w:hAnsi="宋体" w:cs="宋体"/>
          <w:sz w:val="24"/>
        </w:rPr>
        <w:t>本合同应当按照中华人民共和国的现行法律、法规进行解释。</w:t>
      </w:r>
    </w:p>
    <w:p>
      <w:pPr>
        <w:rPr>
          <w:rFonts w:ascii="宋体" w:hAnsi="宋体" w:cs="宋体"/>
          <w:b/>
          <w:sz w:val="24"/>
        </w:rPr>
      </w:pPr>
      <w:r>
        <w:rPr>
          <w:rFonts w:hint="eastAsia" w:ascii="宋体" w:hAnsi="宋体" w:cs="宋体"/>
          <w:b/>
          <w:sz w:val="24"/>
        </w:rPr>
        <w:br w:type="page"/>
      </w:r>
    </w:p>
    <w:p>
      <w:pPr>
        <w:snapToGrid w:val="0"/>
        <w:spacing w:line="360" w:lineRule="auto"/>
        <w:jc w:val="center"/>
        <w:rPr>
          <w:rFonts w:ascii="宋体" w:hAnsi="宋体" w:cs="宋体"/>
          <w:b/>
          <w:sz w:val="24"/>
        </w:rPr>
      </w:pPr>
      <w:r>
        <w:rPr>
          <w:rFonts w:hint="eastAsia" w:ascii="宋体" w:hAnsi="宋体" w:cs="宋体"/>
          <w:b/>
          <w:sz w:val="24"/>
        </w:rPr>
        <w:t>（本页以下无正文）</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甲方：                                      乙方：</w:t>
      </w:r>
    </w:p>
    <w:p>
      <w:pPr>
        <w:snapToGrid w:val="0"/>
        <w:spacing w:line="360" w:lineRule="auto"/>
        <w:ind w:firstLine="480" w:firstLineChars="200"/>
        <w:rPr>
          <w:rFonts w:ascii="宋体" w:hAnsi="宋体" w:cs="宋体"/>
          <w:sz w:val="24"/>
        </w:rPr>
      </w:pPr>
      <w:r>
        <w:rPr>
          <w:rFonts w:hint="eastAsia" w:ascii="宋体" w:hAnsi="宋体" w:cs="宋体"/>
          <w:sz w:val="24"/>
        </w:rPr>
        <w:t>法定代表人：                                法定代表人：</w:t>
      </w:r>
    </w:p>
    <w:p>
      <w:pPr>
        <w:snapToGrid w:val="0"/>
        <w:spacing w:line="360" w:lineRule="auto"/>
        <w:ind w:firstLine="480" w:firstLineChars="200"/>
        <w:rPr>
          <w:rFonts w:ascii="宋体" w:hAnsi="宋体" w:cs="宋体"/>
          <w:sz w:val="24"/>
        </w:rPr>
      </w:pPr>
      <w:r>
        <w:rPr>
          <w:rFonts w:hint="eastAsia" w:ascii="宋体" w:hAnsi="宋体" w:cs="宋体"/>
          <w:sz w:val="24"/>
        </w:rPr>
        <w:t>委托代理人：                                委托代理人：</w:t>
      </w:r>
    </w:p>
    <w:p>
      <w:pPr>
        <w:snapToGrid w:val="0"/>
        <w:spacing w:line="360" w:lineRule="auto"/>
        <w:ind w:firstLine="480" w:firstLineChars="200"/>
        <w:rPr>
          <w:rFonts w:ascii="宋体" w:hAnsi="宋体" w:cs="宋体"/>
          <w:sz w:val="24"/>
        </w:rPr>
      </w:pPr>
      <w:r>
        <w:rPr>
          <w:rFonts w:hint="eastAsia" w:ascii="宋体" w:hAnsi="宋体" w:cs="宋体"/>
          <w:sz w:val="24"/>
        </w:rPr>
        <w:t>地址：                                      地址：</w:t>
      </w:r>
    </w:p>
    <w:p>
      <w:pPr>
        <w:snapToGrid w:val="0"/>
        <w:spacing w:line="360" w:lineRule="auto"/>
        <w:ind w:firstLine="480" w:firstLineChars="200"/>
        <w:rPr>
          <w:rFonts w:ascii="宋体" w:hAnsi="宋体" w:cs="宋体"/>
          <w:sz w:val="24"/>
        </w:rPr>
      </w:pPr>
      <w:r>
        <w:rPr>
          <w:rFonts w:hint="eastAsia" w:ascii="宋体" w:hAnsi="宋体" w:cs="宋体"/>
          <w:sz w:val="24"/>
        </w:rPr>
        <w:t>电话：                                      电话：</w:t>
      </w:r>
    </w:p>
    <w:p>
      <w:pPr>
        <w:snapToGrid w:val="0"/>
        <w:spacing w:line="360" w:lineRule="auto"/>
        <w:ind w:firstLine="480" w:firstLineChars="200"/>
        <w:rPr>
          <w:rFonts w:ascii="宋体" w:hAnsi="宋体" w:cs="宋体"/>
          <w:sz w:val="24"/>
        </w:rPr>
      </w:pPr>
      <w:r>
        <w:rPr>
          <w:rFonts w:hint="eastAsia" w:ascii="宋体" w:hAnsi="宋体" w:cs="宋体"/>
          <w:sz w:val="24"/>
        </w:rPr>
        <w:t>邮编：                                      邮编：</w:t>
      </w:r>
    </w:p>
    <w:p>
      <w:pPr>
        <w:snapToGrid w:val="0"/>
        <w:spacing w:line="360" w:lineRule="auto"/>
        <w:ind w:firstLine="480" w:firstLineChars="200"/>
        <w:rPr>
          <w:rFonts w:ascii="宋体" w:hAnsi="宋体" w:cs="宋体"/>
          <w:sz w:val="24"/>
        </w:rPr>
      </w:pPr>
      <w:r>
        <w:rPr>
          <w:rFonts w:hint="eastAsia" w:ascii="宋体" w:hAnsi="宋体" w:cs="宋体"/>
          <w:sz w:val="24"/>
        </w:rPr>
        <w:t>传真：                                      传真：</w:t>
      </w:r>
    </w:p>
    <w:p>
      <w:pPr>
        <w:spacing w:line="360" w:lineRule="auto"/>
        <w:ind w:firstLine="480" w:firstLineChars="200"/>
        <w:rPr>
          <w:rFonts w:ascii="宋体" w:hAnsi="宋体" w:cs="宋体"/>
          <w:sz w:val="24"/>
        </w:rPr>
      </w:pPr>
      <w:r>
        <w:rPr>
          <w:rFonts w:hint="eastAsia" w:ascii="宋体" w:hAnsi="宋体" w:cs="宋体"/>
          <w:sz w:val="24"/>
        </w:rPr>
        <w:t xml:space="preserve">邮箱：                                      邮箱： </w:t>
      </w:r>
    </w:p>
    <w:p>
      <w:pPr>
        <w:pStyle w:val="3"/>
        <w:keepNext w:val="0"/>
        <w:pageBreakBefore/>
        <w:widowControl/>
        <w:spacing w:line="348" w:lineRule="auto"/>
        <w:jc w:val="center"/>
        <w:rPr>
          <w:rFonts w:ascii="宋体" w:hAnsi="宋体" w:cs="宋体"/>
        </w:rPr>
      </w:pPr>
      <w:r>
        <w:rPr>
          <w:rFonts w:hint="eastAsia" w:ascii="宋体" w:hAnsi="宋体" w:cs="宋体"/>
        </w:rPr>
        <w:t>第六章</w:t>
      </w:r>
      <w:bookmarkEnd w:id="96"/>
      <w:bookmarkEnd w:id="97"/>
      <w:r>
        <w:rPr>
          <w:rFonts w:hint="eastAsia" w:ascii="宋体" w:hAnsi="宋体" w:cs="宋体"/>
        </w:rPr>
        <w:t xml:space="preserve">  </w:t>
      </w:r>
      <w:bookmarkEnd w:id="98"/>
      <w:r>
        <w:rPr>
          <w:rFonts w:hint="eastAsia" w:ascii="宋体" w:hAnsi="宋体" w:cs="宋体"/>
        </w:rPr>
        <w:t>投标文件格式</w:t>
      </w:r>
      <w:bookmarkEnd w:id="99"/>
      <w:bookmarkEnd w:id="100"/>
      <w:bookmarkEnd w:id="101"/>
    </w:p>
    <w:p>
      <w:pPr>
        <w:spacing w:line="540" w:lineRule="exact"/>
        <w:jc w:val="right"/>
        <w:rPr>
          <w:rFonts w:ascii="宋体" w:hAnsi="宋体" w:cs="宋体"/>
          <w:b/>
          <w:bCs/>
          <w:sz w:val="44"/>
          <w:szCs w:val="44"/>
        </w:rPr>
      </w:pPr>
    </w:p>
    <w:p>
      <w:pPr>
        <w:spacing w:line="540" w:lineRule="exact"/>
        <w:jc w:val="right"/>
        <w:rPr>
          <w:rFonts w:ascii="宋体" w:hAnsi="宋体" w:cs="宋体"/>
          <w:b/>
          <w:bCs/>
          <w:sz w:val="24"/>
        </w:rPr>
      </w:pPr>
      <w:bookmarkStart w:id="102" w:name="_Toc30907"/>
      <w:r>
        <w:rPr>
          <w:rFonts w:hint="eastAsia" w:ascii="宋体" w:hAnsi="宋体" w:cs="宋体"/>
          <w:b/>
          <w:bCs/>
          <w:sz w:val="44"/>
          <w:szCs w:val="44"/>
        </w:rPr>
        <w:t>（正本或副本）</w:t>
      </w:r>
      <w:bookmarkEnd w:id="102"/>
    </w:p>
    <w:p>
      <w:pPr>
        <w:spacing w:line="540" w:lineRule="exact"/>
        <w:rPr>
          <w:rFonts w:ascii="宋体" w:hAnsi="宋体" w:cs="宋体"/>
          <w:b/>
          <w:bCs/>
          <w:sz w:val="28"/>
          <w:szCs w:val="28"/>
        </w:rPr>
      </w:pPr>
      <w:r>
        <w:rPr>
          <w:rFonts w:hint="eastAsia" w:ascii="宋体" w:hAnsi="宋体" w:cs="宋体"/>
          <w:b/>
          <w:bCs/>
          <w:sz w:val="28"/>
          <w:szCs w:val="28"/>
        </w:rPr>
        <w:t>标项编号：SXTD-ZB2021-1062</w:t>
      </w:r>
    </w:p>
    <w:p>
      <w:pPr>
        <w:spacing w:line="360" w:lineRule="auto"/>
        <w:ind w:firstLine="420" w:firstLineChars="200"/>
        <w:rPr>
          <w:rFonts w:ascii="宋体" w:hAnsi="宋体" w:cs="宋体"/>
        </w:rPr>
      </w:pPr>
    </w:p>
    <w:p>
      <w:pPr>
        <w:spacing w:line="360" w:lineRule="auto"/>
        <w:jc w:val="center"/>
        <w:rPr>
          <w:rFonts w:ascii="宋体" w:hAnsi="宋体" w:cs="宋体"/>
          <w:b/>
          <w:bCs/>
          <w:sz w:val="56"/>
          <w:szCs w:val="56"/>
        </w:rPr>
      </w:pPr>
      <w:r>
        <w:rPr>
          <w:rFonts w:hint="eastAsia" w:ascii="宋体" w:hAnsi="宋体" w:cs="宋体"/>
          <w:b/>
          <w:bCs/>
          <w:sz w:val="36"/>
          <w:szCs w:val="36"/>
        </w:rPr>
        <w:t>陕西省高速公路收费中心联网收费系统业务支撑平台资源扩充采购项目</w:t>
      </w:r>
    </w:p>
    <w:p>
      <w:pPr>
        <w:spacing w:line="360" w:lineRule="auto"/>
        <w:jc w:val="center"/>
        <w:rPr>
          <w:rFonts w:ascii="宋体" w:hAnsi="宋体" w:cs="宋体"/>
          <w:b/>
          <w:bCs/>
          <w:sz w:val="56"/>
          <w:szCs w:val="56"/>
        </w:rPr>
      </w:pPr>
    </w:p>
    <w:p>
      <w:pPr>
        <w:spacing w:line="360" w:lineRule="auto"/>
        <w:jc w:val="center"/>
        <w:rPr>
          <w:rFonts w:ascii="宋体" w:hAnsi="宋体" w:cs="宋体"/>
          <w:b/>
          <w:bCs/>
          <w:sz w:val="56"/>
          <w:szCs w:val="56"/>
        </w:rPr>
      </w:pPr>
      <w:r>
        <w:rPr>
          <w:rFonts w:hint="eastAsia" w:ascii="宋体" w:hAnsi="宋体" w:cs="宋体"/>
          <w:b/>
          <w:bCs/>
          <w:sz w:val="56"/>
          <w:szCs w:val="56"/>
        </w:rPr>
        <w:t>投标文件</w:t>
      </w:r>
    </w:p>
    <w:p>
      <w:pPr>
        <w:spacing w:line="360" w:lineRule="auto"/>
        <w:jc w:val="center"/>
        <w:rPr>
          <w:rFonts w:ascii="宋体" w:hAnsi="宋体" w:cs="宋体"/>
          <w:b/>
          <w:bCs/>
          <w:sz w:val="52"/>
          <w:szCs w:val="52"/>
        </w:rPr>
      </w:pPr>
    </w:p>
    <w:p>
      <w:pPr>
        <w:spacing w:line="360" w:lineRule="auto"/>
        <w:ind w:firstLine="420" w:firstLineChars="200"/>
        <w:rPr>
          <w:rFonts w:ascii="宋体" w:hAnsi="宋体" w:cs="宋体"/>
        </w:rPr>
      </w:pPr>
    </w:p>
    <w:p>
      <w:pPr>
        <w:pStyle w:val="7"/>
        <w:widowControl/>
        <w:rPr>
          <w:rFonts w:ascii="宋体" w:hAnsi="宋体" w:cs="宋体"/>
        </w:rPr>
      </w:pPr>
    </w:p>
    <w:p>
      <w:pPr>
        <w:rPr>
          <w:rFonts w:ascii="宋体" w:hAnsi="宋体" w:cs="宋体"/>
        </w:rPr>
      </w:pPr>
    </w:p>
    <w:p>
      <w:pPr>
        <w:pStyle w:val="7"/>
        <w:widowControl/>
        <w:rPr>
          <w:rFonts w:ascii="宋体" w:hAnsi="宋体" w:cs="宋体"/>
        </w:rPr>
      </w:pPr>
    </w:p>
    <w:p>
      <w:pPr>
        <w:rPr>
          <w:rFonts w:ascii="宋体" w:hAnsi="宋体" w:cs="宋体"/>
        </w:rPr>
      </w:pPr>
    </w:p>
    <w:p>
      <w:pPr>
        <w:pStyle w:val="7"/>
        <w:widowControl/>
        <w:rPr>
          <w:rFonts w:ascii="宋体" w:hAnsi="宋体" w:cs="宋体"/>
        </w:rPr>
      </w:pPr>
    </w:p>
    <w:p>
      <w:pPr>
        <w:rPr>
          <w:rFonts w:ascii="宋体" w:hAnsi="宋体" w:cs="宋体"/>
        </w:rPr>
      </w:pPr>
    </w:p>
    <w:p>
      <w:pPr>
        <w:pStyle w:val="7"/>
        <w:widowControl/>
      </w:pPr>
    </w:p>
    <w:p>
      <w:pPr>
        <w:spacing w:line="360" w:lineRule="auto"/>
        <w:rPr>
          <w:rFonts w:ascii="宋体" w:hAnsi="宋体" w:cs="宋体"/>
        </w:rPr>
      </w:pPr>
    </w:p>
    <w:p>
      <w:pPr>
        <w:spacing w:line="360" w:lineRule="auto"/>
        <w:ind w:firstLine="1124" w:firstLineChars="400"/>
        <w:jc w:val="left"/>
        <w:rPr>
          <w:rFonts w:ascii="宋体" w:hAnsi="宋体" w:cs="宋体"/>
          <w:b/>
          <w:bCs/>
          <w:sz w:val="28"/>
          <w:szCs w:val="28"/>
        </w:rPr>
      </w:pPr>
      <w:r>
        <w:rPr>
          <w:rFonts w:hint="eastAsia" w:ascii="宋体" w:hAnsi="宋体" w:cs="宋体"/>
          <w:b/>
          <w:bCs/>
          <w:sz w:val="28"/>
          <w:szCs w:val="28"/>
        </w:rPr>
        <w:t>投标人：</w:t>
      </w:r>
      <w:r>
        <w:rPr>
          <w:rFonts w:hint="eastAsia" w:ascii="宋体" w:hAnsi="宋体" w:cs="宋体"/>
          <w:b/>
          <w:bCs/>
          <w:sz w:val="28"/>
          <w:szCs w:val="28"/>
          <w:u w:val="single"/>
        </w:rPr>
        <w:t xml:space="preserve">                               </w:t>
      </w:r>
      <w:r>
        <w:rPr>
          <w:rFonts w:hint="eastAsia" w:ascii="宋体" w:hAnsi="宋体" w:cs="宋体"/>
          <w:b/>
          <w:bCs/>
          <w:sz w:val="28"/>
          <w:szCs w:val="28"/>
        </w:rPr>
        <w:t>（盖章）</w:t>
      </w:r>
    </w:p>
    <w:p>
      <w:pPr>
        <w:pStyle w:val="15"/>
        <w:widowControl/>
        <w:ind w:firstLine="210"/>
      </w:pPr>
    </w:p>
    <w:p>
      <w:pPr>
        <w:pStyle w:val="15"/>
        <w:widowControl/>
        <w:ind w:firstLine="210"/>
      </w:pPr>
    </w:p>
    <w:p>
      <w:pPr>
        <w:pStyle w:val="15"/>
        <w:widowControl/>
        <w:ind w:firstLine="210"/>
      </w:pPr>
    </w:p>
    <w:p>
      <w:pPr>
        <w:spacing w:line="360" w:lineRule="auto"/>
        <w:ind w:firstLine="1124" w:firstLineChars="400"/>
        <w:jc w:val="left"/>
        <w:rPr>
          <w:rFonts w:ascii="宋体" w:hAnsi="宋体" w:cs="宋体"/>
          <w:b/>
          <w:bCs/>
          <w:sz w:val="28"/>
          <w:szCs w:val="28"/>
        </w:rPr>
      </w:pPr>
      <w:r>
        <w:rPr>
          <w:rFonts w:hint="eastAsia" w:ascii="宋体" w:hAnsi="宋体" w:cs="宋体"/>
          <w:b/>
          <w:bCs/>
          <w:sz w:val="28"/>
          <w:szCs w:val="28"/>
        </w:rPr>
        <w:t>法定代表人或其委托代理人：</w:t>
      </w:r>
      <w:r>
        <w:rPr>
          <w:rFonts w:hint="eastAsia" w:ascii="宋体" w:hAnsi="宋体" w:cs="宋体"/>
          <w:b/>
          <w:bCs/>
          <w:sz w:val="28"/>
          <w:szCs w:val="28"/>
          <w:u w:val="single"/>
        </w:rPr>
        <w:t xml:space="preserve">         </w:t>
      </w:r>
      <w:r>
        <w:rPr>
          <w:rFonts w:hint="eastAsia" w:ascii="宋体" w:hAnsi="宋体" w:cs="宋体"/>
          <w:b/>
          <w:bCs/>
          <w:sz w:val="28"/>
          <w:szCs w:val="28"/>
        </w:rPr>
        <w:t>（签字或盖章）</w:t>
      </w:r>
    </w:p>
    <w:p>
      <w:pPr>
        <w:pStyle w:val="15"/>
        <w:widowControl/>
        <w:ind w:firstLine="210"/>
      </w:pPr>
    </w:p>
    <w:p>
      <w:pPr>
        <w:spacing w:line="360" w:lineRule="auto"/>
        <w:jc w:val="center"/>
        <w:rPr>
          <w:rFonts w:ascii="宋体" w:hAnsi="宋体" w:cs="宋体"/>
          <w:b/>
          <w:bCs/>
          <w:sz w:val="28"/>
          <w:szCs w:val="28"/>
        </w:rPr>
      </w:pPr>
      <w:r>
        <w:rPr>
          <w:rFonts w:hint="eastAsia" w:ascii="宋体" w:hAnsi="宋体" w:cs="宋体"/>
          <w:b/>
          <w:bCs/>
          <w:sz w:val="28"/>
          <w:szCs w:val="28"/>
        </w:rPr>
        <w:t>年   月   日</w:t>
      </w:r>
    </w:p>
    <w:p>
      <w:pPr>
        <w:spacing w:line="360" w:lineRule="auto"/>
        <w:rPr>
          <w:rFonts w:ascii="宋体" w:hAnsi="宋体" w:cs="宋体"/>
          <w:szCs w:val="21"/>
        </w:rPr>
        <w:sectPr>
          <w:pgSz w:w="11906" w:h="16838"/>
          <w:pgMar w:top="1417" w:right="1417" w:bottom="1417" w:left="1702" w:header="851" w:footer="992" w:gutter="0"/>
          <w:cols w:space="720" w:num="1"/>
          <w:docGrid w:type="lines" w:linePitch="312" w:charSpace="0"/>
        </w:sectPr>
      </w:pPr>
    </w:p>
    <w:p>
      <w:pPr>
        <w:jc w:val="center"/>
        <w:rPr>
          <w:rFonts w:ascii="宋体" w:hAnsi="宋体" w:cs="宋体"/>
          <w:b/>
          <w:bCs/>
          <w:sz w:val="32"/>
          <w:szCs w:val="32"/>
        </w:rPr>
      </w:pPr>
      <w:bookmarkStart w:id="103" w:name="_Toc420591500"/>
      <w:bookmarkStart w:id="104" w:name="_Toc420591666"/>
      <w:bookmarkStart w:id="105" w:name="_Toc421778385"/>
      <w:bookmarkStart w:id="106" w:name="_Toc372885969"/>
      <w:r>
        <w:rPr>
          <w:rFonts w:hint="eastAsia" w:ascii="宋体" w:hAnsi="宋体" w:cs="宋体"/>
          <w:b/>
          <w:bCs/>
          <w:sz w:val="32"/>
          <w:szCs w:val="32"/>
        </w:rPr>
        <w:t>目      录</w:t>
      </w:r>
      <w:bookmarkEnd w:id="103"/>
      <w:bookmarkEnd w:id="104"/>
      <w:bookmarkEnd w:id="105"/>
      <w:bookmarkEnd w:id="106"/>
    </w:p>
    <w:p>
      <w:pPr>
        <w:pStyle w:val="7"/>
        <w:widowControl/>
        <w:rPr>
          <w:rFonts w:ascii="宋体" w:hAnsi="宋体" w:cs="宋体"/>
        </w:rPr>
      </w:pPr>
    </w:p>
    <w:p>
      <w:pPr>
        <w:spacing w:line="360" w:lineRule="auto"/>
        <w:jc w:val="left"/>
        <w:rPr>
          <w:rFonts w:ascii="宋体" w:hAnsi="宋体" w:cs="宋体"/>
          <w:b/>
          <w:bCs/>
          <w:sz w:val="24"/>
        </w:rPr>
      </w:pPr>
      <w:r>
        <w:rPr>
          <w:rFonts w:hint="eastAsia" w:ascii="宋体" w:hAnsi="宋体" w:cs="宋体"/>
          <w:b/>
          <w:bCs/>
          <w:sz w:val="24"/>
        </w:rPr>
        <w:t>第一部分    资格标</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一、投标人基本情况表</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二、投标人认为需要的其他证明材料</w:t>
      </w:r>
    </w:p>
    <w:p>
      <w:pPr>
        <w:spacing w:line="360" w:lineRule="auto"/>
        <w:jc w:val="left"/>
        <w:rPr>
          <w:rFonts w:ascii="宋体" w:hAnsi="宋体" w:cs="宋体"/>
          <w:b/>
          <w:bCs/>
          <w:sz w:val="24"/>
        </w:rPr>
      </w:pPr>
      <w:r>
        <w:rPr>
          <w:rFonts w:hint="eastAsia" w:ascii="宋体" w:hAnsi="宋体" w:cs="宋体"/>
          <w:b/>
          <w:bCs/>
          <w:sz w:val="24"/>
        </w:rPr>
        <w:t>第二部分    技术标</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一、现状分析，需求理解与分析，计算、存储、网络扩容及对接方案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二、同步分区负载平台、数据交换共享平台建设方案及软硬件实施部署方案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三、项目团队配置</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四、技术指标满足度</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五、业绩</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六、企业综合实力</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七、售后服务方案及培训方案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八、履约承诺</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九、合理化建议</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十、投标人认为需要说明的其他内容</w:t>
      </w:r>
    </w:p>
    <w:p>
      <w:pPr>
        <w:spacing w:line="360" w:lineRule="auto"/>
        <w:jc w:val="left"/>
        <w:rPr>
          <w:rFonts w:ascii="宋体" w:hAnsi="宋体" w:cs="宋体"/>
          <w:b/>
          <w:bCs/>
          <w:sz w:val="24"/>
        </w:rPr>
      </w:pPr>
      <w:r>
        <w:rPr>
          <w:rFonts w:hint="eastAsia" w:ascii="宋体" w:hAnsi="宋体" w:cs="宋体"/>
          <w:b/>
          <w:bCs/>
          <w:sz w:val="24"/>
        </w:rPr>
        <w:t>第三部分    商务标</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一、投标函</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二、开标一览表</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三、分项报价表</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四、法定代表人身份证明</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五、法定代表人授权委托书</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六、陕西省政府采购供应商拒绝政府采购领域商业贿赂承诺书</w:t>
      </w:r>
    </w:p>
    <w:p>
      <w:pPr>
        <w:pStyle w:val="7"/>
        <w:widowControl/>
        <w:spacing w:line="360" w:lineRule="auto"/>
        <w:ind w:firstLine="420"/>
        <w:jc w:val="both"/>
        <w:rPr>
          <w:rFonts w:ascii="宋体" w:hAnsi="宋体" w:cs="宋体"/>
          <w:sz w:val="24"/>
          <w:szCs w:val="24"/>
        </w:rPr>
      </w:pPr>
      <w:r>
        <w:rPr>
          <w:rFonts w:hint="eastAsia" w:ascii="宋体" w:hAnsi="宋体" w:cs="宋体"/>
          <w:sz w:val="24"/>
          <w:szCs w:val="24"/>
        </w:rPr>
        <w:t>七、供应商概况及其性质</w:t>
      </w:r>
    </w:p>
    <w:p>
      <w:pPr>
        <w:pStyle w:val="7"/>
        <w:widowControl/>
        <w:spacing w:line="360" w:lineRule="auto"/>
        <w:ind w:firstLine="420"/>
        <w:jc w:val="both"/>
        <w:rPr>
          <w:rFonts w:ascii="宋体" w:hAnsi="宋体" w:cs="宋体"/>
          <w:bCs/>
          <w:sz w:val="24"/>
          <w:szCs w:val="24"/>
        </w:rPr>
      </w:pPr>
      <w:r>
        <w:rPr>
          <w:rFonts w:hint="eastAsia" w:ascii="宋体" w:hAnsi="宋体" w:cs="宋体"/>
          <w:bCs/>
          <w:sz w:val="24"/>
          <w:szCs w:val="24"/>
        </w:rPr>
        <w:t>八、其他说明事项</w:t>
      </w:r>
    </w:p>
    <w:p>
      <w:pPr>
        <w:spacing w:line="480" w:lineRule="auto"/>
        <w:jc w:val="left"/>
        <w:rPr>
          <w:rFonts w:ascii="宋体" w:hAnsi="宋体" w:cs="宋体"/>
          <w:sz w:val="24"/>
        </w:rPr>
      </w:pPr>
    </w:p>
    <w:p>
      <w:pPr>
        <w:spacing w:line="480" w:lineRule="auto"/>
        <w:ind w:firstLine="2445" w:firstLineChars="1019"/>
        <w:rPr>
          <w:rFonts w:ascii="宋体" w:hAnsi="宋体" w:cs="宋体"/>
          <w:sz w:val="24"/>
        </w:rPr>
      </w:pPr>
    </w:p>
    <w:p>
      <w:pPr>
        <w:spacing w:line="480" w:lineRule="auto"/>
        <w:rPr>
          <w:rFonts w:ascii="宋体" w:hAnsi="宋体" w:cs="宋体"/>
          <w:sz w:val="24"/>
        </w:rPr>
      </w:pPr>
    </w:p>
    <w:p>
      <w:pPr>
        <w:keepLines/>
        <w:pageBreakBefore/>
        <w:jc w:val="center"/>
        <w:outlineLvl w:val="1"/>
        <w:rPr>
          <w:rFonts w:ascii="宋体" w:hAnsi="宋体" w:cs="宋体"/>
          <w:b/>
          <w:bCs/>
          <w:sz w:val="36"/>
          <w:szCs w:val="36"/>
        </w:rPr>
      </w:pPr>
      <w:bookmarkStart w:id="107" w:name="_Toc420591667"/>
      <w:bookmarkStart w:id="108" w:name="_Toc23278"/>
      <w:bookmarkStart w:id="109" w:name="_Toc421778386"/>
      <w:bookmarkStart w:id="110" w:name="_Toc425240481"/>
      <w:bookmarkStart w:id="111" w:name="_Toc387"/>
      <w:bookmarkStart w:id="112" w:name="_Toc32749"/>
      <w:r>
        <w:rPr>
          <w:rFonts w:hint="eastAsia" w:ascii="宋体" w:hAnsi="宋体" w:cs="宋体"/>
          <w:b/>
          <w:bCs/>
          <w:sz w:val="36"/>
          <w:szCs w:val="36"/>
        </w:rPr>
        <w:t>第一部分  资格标</w:t>
      </w:r>
    </w:p>
    <w:p>
      <w:pPr>
        <w:spacing w:line="360" w:lineRule="auto"/>
        <w:ind w:firstLine="560" w:firstLineChars="200"/>
        <w:jc w:val="center"/>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一、投标人基本情况表</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57"/>
        <w:gridCol w:w="1744"/>
        <w:gridCol w:w="708"/>
        <w:gridCol w:w="516"/>
        <w:gridCol w:w="1237"/>
        <w:gridCol w:w="100"/>
        <w:gridCol w:w="61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23" w:type="dxa"/>
            <w:tcBorders>
              <w:top w:val="single" w:color="auto" w:sz="12"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投标人名称</w:t>
            </w:r>
          </w:p>
        </w:tc>
        <w:tc>
          <w:tcPr>
            <w:tcW w:w="7363" w:type="dxa"/>
            <w:gridSpan w:val="8"/>
            <w:tcBorders>
              <w:top w:val="single" w:color="auto" w:sz="12"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注册地址</w:t>
            </w:r>
          </w:p>
        </w:tc>
        <w:tc>
          <w:tcPr>
            <w:tcW w:w="4025"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33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邮政编码</w:t>
            </w:r>
          </w:p>
        </w:tc>
        <w:tc>
          <w:tcPr>
            <w:tcW w:w="2001" w:type="dxa"/>
            <w:gridSpan w:val="2"/>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3" w:type="dxa"/>
            <w:vMerge w:val="restart"/>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联系方式</w:t>
            </w:r>
          </w:p>
        </w:tc>
        <w:tc>
          <w:tcPr>
            <w:tcW w:w="105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联系人</w:t>
            </w:r>
          </w:p>
        </w:tc>
        <w:tc>
          <w:tcPr>
            <w:tcW w:w="2968"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33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电话</w:t>
            </w:r>
          </w:p>
        </w:tc>
        <w:tc>
          <w:tcPr>
            <w:tcW w:w="2001" w:type="dxa"/>
            <w:gridSpan w:val="2"/>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23" w:type="dxa"/>
            <w:vMerge w:val="continue"/>
            <w:tcBorders>
              <w:top w:val="single" w:color="auto" w:sz="4" w:space="0"/>
              <w:left w:val="single" w:color="auto" w:sz="12" w:space="0"/>
              <w:bottom w:val="single" w:color="auto" w:sz="4" w:space="0"/>
              <w:right w:val="single" w:color="auto" w:sz="4" w:space="0"/>
            </w:tcBorders>
            <w:noWrap/>
            <w:vAlign w:val="center"/>
          </w:tcPr>
          <w:p>
            <w:pPr>
              <w:rPr>
                <w:rFonts w:ascii="宋体" w:hAnsi="宋体" w:cs="宋体"/>
                <w:sz w:val="24"/>
              </w:rPr>
            </w:pPr>
          </w:p>
        </w:tc>
        <w:tc>
          <w:tcPr>
            <w:tcW w:w="105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传真</w:t>
            </w:r>
          </w:p>
        </w:tc>
        <w:tc>
          <w:tcPr>
            <w:tcW w:w="2968"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33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网址</w:t>
            </w:r>
          </w:p>
        </w:tc>
        <w:tc>
          <w:tcPr>
            <w:tcW w:w="2001" w:type="dxa"/>
            <w:gridSpan w:val="2"/>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组织结构</w:t>
            </w:r>
          </w:p>
        </w:tc>
        <w:tc>
          <w:tcPr>
            <w:tcW w:w="7363" w:type="dxa"/>
            <w:gridSpan w:val="8"/>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法定代表人</w:t>
            </w:r>
          </w:p>
        </w:tc>
        <w:tc>
          <w:tcPr>
            <w:tcW w:w="105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姓名</w:t>
            </w:r>
          </w:p>
        </w:tc>
        <w:tc>
          <w:tcPr>
            <w:tcW w:w="174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技术职称</w:t>
            </w:r>
          </w:p>
        </w:tc>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71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电话</w:t>
            </w:r>
          </w:p>
        </w:tc>
        <w:tc>
          <w:tcPr>
            <w:tcW w:w="1384" w:type="dxa"/>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技术负责人</w:t>
            </w:r>
          </w:p>
        </w:tc>
        <w:tc>
          <w:tcPr>
            <w:tcW w:w="105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姓名</w:t>
            </w:r>
          </w:p>
        </w:tc>
        <w:tc>
          <w:tcPr>
            <w:tcW w:w="174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技术职称</w:t>
            </w:r>
          </w:p>
        </w:tc>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71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电话</w:t>
            </w:r>
          </w:p>
        </w:tc>
        <w:tc>
          <w:tcPr>
            <w:tcW w:w="1384" w:type="dxa"/>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成立时间</w:t>
            </w:r>
          </w:p>
        </w:tc>
        <w:tc>
          <w:tcPr>
            <w:tcW w:w="280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4562" w:type="dxa"/>
            <w:gridSpan w:val="6"/>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r>
              <w:rPr>
                <w:rFonts w:hint="eastAsia" w:ascii="宋体" w:hAnsi="宋体" w:cs="宋体"/>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营业执照号</w:t>
            </w:r>
          </w:p>
        </w:tc>
        <w:tc>
          <w:tcPr>
            <w:tcW w:w="280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708" w:type="dxa"/>
            <w:vMerge w:val="restart"/>
            <w:tcBorders>
              <w:top w:val="single" w:color="auto" w:sz="4" w:space="0"/>
              <w:left w:val="single" w:color="auto" w:sz="4" w:space="0"/>
              <w:right w:val="single" w:color="auto" w:sz="4" w:space="0"/>
            </w:tcBorders>
            <w:noWrap/>
            <w:vAlign w:val="center"/>
          </w:tcPr>
          <w:p>
            <w:pPr>
              <w:rPr>
                <w:rFonts w:ascii="宋体" w:hAnsi="宋体" w:cs="宋体"/>
                <w:sz w:val="24"/>
              </w:rPr>
            </w:pPr>
          </w:p>
        </w:tc>
        <w:tc>
          <w:tcPr>
            <w:tcW w:w="175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高级职称人员</w:t>
            </w:r>
          </w:p>
        </w:tc>
        <w:tc>
          <w:tcPr>
            <w:tcW w:w="2101" w:type="dxa"/>
            <w:gridSpan w:val="3"/>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注册资金</w:t>
            </w:r>
          </w:p>
        </w:tc>
        <w:tc>
          <w:tcPr>
            <w:tcW w:w="280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75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中级职称人员</w:t>
            </w:r>
          </w:p>
        </w:tc>
        <w:tc>
          <w:tcPr>
            <w:tcW w:w="2101" w:type="dxa"/>
            <w:gridSpan w:val="3"/>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开户银行</w:t>
            </w:r>
          </w:p>
        </w:tc>
        <w:tc>
          <w:tcPr>
            <w:tcW w:w="280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75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初级职称人员</w:t>
            </w:r>
          </w:p>
        </w:tc>
        <w:tc>
          <w:tcPr>
            <w:tcW w:w="2101" w:type="dxa"/>
            <w:gridSpan w:val="3"/>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账号</w:t>
            </w:r>
          </w:p>
        </w:tc>
        <w:tc>
          <w:tcPr>
            <w:tcW w:w="280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75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技工</w:t>
            </w:r>
          </w:p>
        </w:tc>
        <w:tc>
          <w:tcPr>
            <w:tcW w:w="2101" w:type="dxa"/>
            <w:gridSpan w:val="3"/>
            <w:tcBorders>
              <w:top w:val="single" w:color="auto" w:sz="4" w:space="0"/>
              <w:left w:val="single" w:color="auto" w:sz="4" w:space="0"/>
              <w:bottom w:val="single" w:color="auto" w:sz="4" w:space="0"/>
              <w:right w:val="single" w:color="auto" w:sz="12" w:space="0"/>
            </w:tcBorders>
            <w:noWrap/>
            <w:vAlign w:val="center"/>
          </w:tcPr>
          <w:p>
            <w:pPr>
              <w:snapToGrid w:val="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923" w:type="dxa"/>
            <w:tcBorders>
              <w:top w:val="single" w:color="auto" w:sz="4" w:space="0"/>
              <w:left w:val="single" w:color="auto" w:sz="12"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经营范围备注</w:t>
            </w:r>
          </w:p>
        </w:tc>
        <w:tc>
          <w:tcPr>
            <w:tcW w:w="7363" w:type="dxa"/>
            <w:gridSpan w:val="8"/>
            <w:tcBorders>
              <w:top w:val="single" w:color="auto" w:sz="4" w:space="0"/>
              <w:left w:val="single" w:color="auto" w:sz="4" w:space="0"/>
              <w:bottom w:val="single" w:color="auto" w:sz="4" w:space="0"/>
              <w:right w:val="single" w:color="auto" w:sz="12" w:space="0"/>
            </w:tcBorders>
            <w:noWrap/>
            <w:vAlign w:val="center"/>
          </w:tcPr>
          <w:p>
            <w:pPr>
              <w:snapToGrid w:val="0"/>
              <w:ind w:firstLine="480" w:firstLineChars="20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23" w:type="dxa"/>
            <w:tcBorders>
              <w:top w:val="single" w:color="auto" w:sz="4" w:space="0"/>
              <w:left w:val="single" w:color="auto" w:sz="12" w:space="0"/>
              <w:bottom w:val="single" w:color="auto" w:sz="12"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备注</w:t>
            </w:r>
          </w:p>
        </w:tc>
        <w:tc>
          <w:tcPr>
            <w:tcW w:w="7363" w:type="dxa"/>
            <w:gridSpan w:val="8"/>
            <w:tcBorders>
              <w:top w:val="single" w:color="auto" w:sz="4" w:space="0"/>
              <w:left w:val="single" w:color="auto" w:sz="4" w:space="0"/>
              <w:bottom w:val="single" w:color="auto" w:sz="12" w:space="0"/>
              <w:right w:val="single" w:color="auto" w:sz="12" w:space="0"/>
            </w:tcBorders>
            <w:noWrap/>
            <w:vAlign w:val="center"/>
          </w:tcPr>
          <w:p>
            <w:pPr>
              <w:snapToGrid w:val="0"/>
              <w:ind w:firstLine="480" w:firstLineChars="200"/>
              <w:jc w:val="center"/>
              <w:rPr>
                <w:rFonts w:ascii="宋体" w:hAnsi="宋体" w:cs="宋体"/>
                <w:sz w:val="24"/>
              </w:rPr>
            </w:pPr>
          </w:p>
        </w:tc>
      </w:tr>
    </w:tbl>
    <w:p>
      <w:pPr>
        <w:jc w:val="center"/>
        <w:outlineLvl w:val="2"/>
        <w:rPr>
          <w:rFonts w:ascii="宋体" w:hAnsi="宋体" w:cs="宋体"/>
          <w:b/>
          <w:sz w:val="24"/>
          <w:szCs w:val="21"/>
        </w:rPr>
      </w:pPr>
      <w:r>
        <w:rPr>
          <w:rFonts w:hint="eastAsia" w:ascii="宋体" w:hAnsi="宋体" w:cs="宋体"/>
          <w:b/>
          <w:sz w:val="24"/>
          <w:szCs w:val="21"/>
        </w:rPr>
        <w:br w:type="page"/>
      </w:r>
      <w:r>
        <w:rPr>
          <w:rFonts w:hint="eastAsia" w:ascii="宋体" w:hAnsi="宋体" w:cs="宋体"/>
          <w:b/>
          <w:sz w:val="24"/>
          <w:szCs w:val="21"/>
        </w:rPr>
        <w:t>资格证明材料</w:t>
      </w:r>
    </w:p>
    <w:p>
      <w:pPr>
        <w:jc w:val="left"/>
        <w:outlineLvl w:val="2"/>
        <w:rPr>
          <w:rFonts w:ascii="宋体" w:hAnsi="宋体" w:cs="宋体"/>
          <w:b/>
          <w:sz w:val="24"/>
          <w:szCs w:val="21"/>
        </w:rPr>
      </w:pPr>
      <w:r>
        <w:rPr>
          <w:rFonts w:hint="eastAsia" w:ascii="宋体" w:hAnsi="宋体" w:cs="宋体"/>
          <w:b/>
          <w:sz w:val="24"/>
          <w:szCs w:val="21"/>
        </w:rPr>
        <w:t>（一）具有独立承担民事责任的能力证明材料；（具体要求详见评标办法）</w:t>
      </w:r>
    </w:p>
    <w:p>
      <w:pPr>
        <w:jc w:val="left"/>
        <w:outlineLvl w:val="2"/>
        <w:rPr>
          <w:rFonts w:ascii="宋体" w:hAnsi="宋体" w:cs="宋体"/>
          <w:b/>
          <w:sz w:val="24"/>
          <w:szCs w:val="21"/>
        </w:rPr>
      </w:pPr>
      <w:r>
        <w:rPr>
          <w:rFonts w:hint="eastAsia" w:ascii="宋体" w:hAnsi="宋体" w:cs="宋体"/>
          <w:b/>
          <w:sz w:val="24"/>
          <w:szCs w:val="21"/>
        </w:rPr>
        <w:br w:type="page"/>
      </w:r>
      <w:r>
        <w:rPr>
          <w:rFonts w:hint="eastAsia" w:ascii="宋体" w:hAnsi="宋体" w:cs="宋体"/>
          <w:b/>
          <w:sz w:val="24"/>
          <w:szCs w:val="21"/>
        </w:rPr>
        <w:t>（二）具有良好的商业信誉和健全的财务会计制度证明材料；（具体要求详见评标办法）</w:t>
      </w:r>
    </w:p>
    <w:p>
      <w:pPr>
        <w:jc w:val="left"/>
        <w:outlineLvl w:val="2"/>
        <w:rPr>
          <w:rFonts w:ascii="宋体" w:hAnsi="宋体" w:cs="宋体"/>
          <w:b/>
          <w:sz w:val="24"/>
          <w:szCs w:val="21"/>
        </w:rPr>
      </w:pPr>
      <w:r>
        <w:rPr>
          <w:rFonts w:hint="eastAsia" w:ascii="宋体" w:hAnsi="宋体" w:cs="宋体"/>
          <w:b/>
          <w:sz w:val="24"/>
          <w:szCs w:val="21"/>
        </w:rPr>
        <w:br w:type="page"/>
      </w:r>
      <w:r>
        <w:rPr>
          <w:rFonts w:hint="eastAsia" w:ascii="宋体" w:hAnsi="宋体" w:cs="宋体"/>
          <w:b/>
          <w:sz w:val="24"/>
          <w:szCs w:val="21"/>
        </w:rPr>
        <w:t>（三）具有依法缴纳税收和社会保障资金的良好记录；（具体要求详见评标办法）</w:t>
      </w:r>
    </w:p>
    <w:p>
      <w:pPr>
        <w:jc w:val="left"/>
        <w:outlineLvl w:val="2"/>
        <w:rPr>
          <w:rFonts w:ascii="宋体" w:hAnsi="宋体" w:cs="宋体"/>
          <w:b/>
          <w:sz w:val="24"/>
          <w:szCs w:val="21"/>
        </w:rPr>
      </w:pPr>
      <w:r>
        <w:rPr>
          <w:rFonts w:hint="eastAsia" w:ascii="宋体" w:hAnsi="宋体" w:cs="宋体"/>
          <w:b/>
          <w:sz w:val="24"/>
          <w:szCs w:val="21"/>
        </w:rPr>
        <w:br w:type="page"/>
      </w:r>
      <w:r>
        <w:rPr>
          <w:rFonts w:hint="eastAsia" w:ascii="宋体" w:hAnsi="宋体" w:cs="宋体"/>
          <w:b/>
          <w:sz w:val="24"/>
          <w:szCs w:val="21"/>
        </w:rPr>
        <w:t>（四）具备履行合同所必需的设备和专业技术能力（承诺书格式详见附件1）；</w:t>
      </w:r>
    </w:p>
    <w:p>
      <w:pPr>
        <w:jc w:val="left"/>
        <w:outlineLvl w:val="2"/>
        <w:rPr>
          <w:rFonts w:ascii="宋体" w:hAnsi="宋体" w:cs="宋体"/>
          <w:b/>
          <w:sz w:val="24"/>
          <w:szCs w:val="21"/>
        </w:rPr>
      </w:pPr>
      <w:r>
        <w:rPr>
          <w:rFonts w:hint="eastAsia" w:ascii="宋体" w:hAnsi="宋体" w:cs="宋体"/>
          <w:b/>
          <w:sz w:val="24"/>
          <w:szCs w:val="21"/>
        </w:rPr>
        <w:t>（具体要求详见评标办法）</w:t>
      </w:r>
    </w:p>
    <w:p>
      <w:pPr>
        <w:snapToGrid w:val="0"/>
        <w:spacing w:afterLines="50"/>
        <w:ind w:right="-57" w:rightChars="-27" w:firstLine="241" w:firstLineChars="100"/>
        <w:outlineLvl w:val="2"/>
        <w:rPr>
          <w:rFonts w:ascii="宋体" w:hAnsi="宋体" w:cs="宋体"/>
          <w:b/>
          <w:sz w:val="24"/>
          <w:szCs w:val="21"/>
        </w:rPr>
      </w:pPr>
      <w:bookmarkStart w:id="113" w:name="_Toc17998772"/>
      <w:bookmarkStart w:id="114" w:name="_Toc17998945"/>
      <w:bookmarkStart w:id="115" w:name="_Toc26291168"/>
      <w:bookmarkStart w:id="116" w:name="_Toc13171"/>
      <w:bookmarkStart w:id="117" w:name="_Toc26291068"/>
      <w:bookmarkStart w:id="118" w:name="_Toc26298352"/>
      <w:bookmarkStart w:id="119" w:name="_Toc17999509"/>
      <w:bookmarkStart w:id="120" w:name="_Toc25661922"/>
      <w:bookmarkStart w:id="121" w:name="_Toc26300523"/>
    </w:p>
    <w:p>
      <w:pPr>
        <w:snapToGrid w:val="0"/>
        <w:spacing w:afterLines="50"/>
        <w:ind w:right="-57" w:rightChars="-27" w:firstLine="241" w:firstLineChars="100"/>
        <w:outlineLvl w:val="2"/>
        <w:rPr>
          <w:rFonts w:ascii="宋体" w:hAnsi="宋体" w:cs="宋体"/>
          <w:b/>
          <w:sz w:val="24"/>
          <w:szCs w:val="21"/>
        </w:rPr>
      </w:pPr>
    </w:p>
    <w:p>
      <w:pPr>
        <w:snapToGrid w:val="0"/>
        <w:spacing w:afterLines="50"/>
        <w:ind w:right="-57" w:rightChars="-27" w:firstLine="241" w:firstLineChars="100"/>
        <w:outlineLvl w:val="2"/>
        <w:rPr>
          <w:rFonts w:ascii="宋体" w:hAnsi="宋体" w:cs="宋体"/>
          <w:b/>
          <w:sz w:val="24"/>
          <w:szCs w:val="21"/>
        </w:rPr>
      </w:pPr>
    </w:p>
    <w:p>
      <w:pPr>
        <w:snapToGrid w:val="0"/>
        <w:spacing w:afterLines="50"/>
        <w:ind w:right="-57" w:rightChars="-27" w:firstLine="241" w:firstLineChars="100"/>
        <w:outlineLvl w:val="2"/>
        <w:rPr>
          <w:rFonts w:ascii="宋体" w:hAnsi="宋体" w:cs="宋体"/>
          <w:b/>
          <w:sz w:val="24"/>
          <w:szCs w:val="21"/>
        </w:rPr>
      </w:pPr>
    </w:p>
    <w:p>
      <w:pPr>
        <w:snapToGrid w:val="0"/>
        <w:spacing w:afterLines="50"/>
        <w:ind w:right="-57" w:rightChars="-27" w:firstLine="241" w:firstLineChars="100"/>
        <w:outlineLvl w:val="2"/>
        <w:rPr>
          <w:rFonts w:ascii="宋体" w:hAnsi="宋体" w:cs="宋体"/>
          <w:b/>
          <w:sz w:val="24"/>
          <w:szCs w:val="21"/>
        </w:rPr>
      </w:pPr>
      <w:r>
        <w:rPr>
          <w:rFonts w:hint="eastAsia" w:ascii="宋体" w:hAnsi="宋体" w:cs="宋体"/>
          <w:b/>
          <w:sz w:val="24"/>
          <w:szCs w:val="21"/>
        </w:rPr>
        <w:t>附件1</w:t>
      </w:r>
    </w:p>
    <w:p>
      <w:pPr>
        <w:snapToGrid w:val="0"/>
        <w:spacing w:afterLines="50"/>
        <w:ind w:right="-57" w:rightChars="-27"/>
        <w:jc w:val="center"/>
        <w:outlineLvl w:val="2"/>
        <w:rPr>
          <w:rFonts w:ascii="宋体" w:hAnsi="宋体" w:cs="宋体"/>
          <w:b/>
          <w:sz w:val="24"/>
          <w:szCs w:val="21"/>
        </w:rPr>
      </w:pPr>
      <w:r>
        <w:rPr>
          <w:rFonts w:hint="eastAsia" w:ascii="宋体" w:hAnsi="宋体" w:cs="宋体"/>
          <w:b/>
          <w:sz w:val="24"/>
          <w:szCs w:val="21"/>
        </w:rPr>
        <w:t>承诺书</w:t>
      </w:r>
      <w:bookmarkEnd w:id="113"/>
      <w:bookmarkEnd w:id="114"/>
      <w:bookmarkEnd w:id="115"/>
      <w:bookmarkEnd w:id="116"/>
      <w:bookmarkEnd w:id="117"/>
      <w:bookmarkEnd w:id="118"/>
      <w:bookmarkEnd w:id="119"/>
      <w:bookmarkEnd w:id="120"/>
      <w:bookmarkEnd w:id="121"/>
    </w:p>
    <w:p>
      <w:pPr>
        <w:snapToGrid w:val="0"/>
        <w:spacing w:afterLines="50"/>
        <w:ind w:right="-57" w:rightChars="-27"/>
        <w:jc w:val="center"/>
        <w:outlineLvl w:val="2"/>
        <w:rPr>
          <w:rFonts w:ascii="宋体" w:hAnsi="宋体" w:cs="宋体"/>
          <w:b/>
          <w:sz w:val="24"/>
          <w:szCs w:val="21"/>
        </w:rPr>
      </w:pPr>
    </w:p>
    <w:p>
      <w:pPr>
        <w:ind w:firstLine="480"/>
        <w:rPr>
          <w:rFonts w:ascii="宋体" w:hAnsi="宋体" w:cs="宋体"/>
          <w:kern w:val="0"/>
          <w:sz w:val="24"/>
          <w:szCs w:val="21"/>
        </w:rPr>
      </w:pPr>
      <w:r>
        <w:rPr>
          <w:rFonts w:hint="eastAsia" w:ascii="宋体" w:hAnsi="宋体" w:cs="宋体"/>
          <w:kern w:val="0"/>
          <w:sz w:val="24"/>
          <w:szCs w:val="21"/>
        </w:rPr>
        <w:t xml:space="preserve"> </w:t>
      </w:r>
    </w:p>
    <w:p>
      <w:pPr>
        <w:rPr>
          <w:rFonts w:ascii="宋体" w:hAnsi="宋体" w:cs="宋体"/>
          <w:kern w:val="0"/>
          <w:sz w:val="24"/>
          <w:szCs w:val="21"/>
          <w:u w:val="single"/>
        </w:rPr>
      </w:pPr>
      <w:r>
        <w:rPr>
          <w:rFonts w:hint="eastAsia" w:ascii="宋体" w:hAnsi="宋体" w:cs="宋体"/>
          <w:kern w:val="0"/>
          <w:sz w:val="24"/>
          <w:szCs w:val="21"/>
          <w:u w:val="single"/>
        </w:rPr>
        <w:t xml:space="preserve">(采购人名称)      </w:t>
      </w:r>
    </w:p>
    <w:p>
      <w:pPr>
        <w:ind w:firstLine="480"/>
        <w:rPr>
          <w:rFonts w:ascii="宋体" w:hAnsi="宋体" w:cs="宋体"/>
          <w:kern w:val="0"/>
          <w:sz w:val="24"/>
          <w:szCs w:val="21"/>
        </w:rPr>
      </w:pPr>
      <w:r>
        <w:rPr>
          <w:rFonts w:hint="eastAsia" w:ascii="宋体" w:hAnsi="宋体" w:cs="宋体"/>
          <w:kern w:val="0"/>
          <w:sz w:val="24"/>
          <w:szCs w:val="21"/>
        </w:rPr>
        <w:t xml:space="preserve"> </w:t>
      </w:r>
    </w:p>
    <w:p>
      <w:pPr>
        <w:ind w:firstLine="480"/>
        <w:rPr>
          <w:rFonts w:ascii="宋体" w:hAnsi="宋体" w:cs="宋体"/>
          <w:kern w:val="0"/>
          <w:sz w:val="24"/>
          <w:szCs w:val="21"/>
        </w:rPr>
      </w:pPr>
      <w:r>
        <w:rPr>
          <w:rFonts w:hint="eastAsia" w:ascii="宋体" w:hAnsi="宋体" w:cs="宋体"/>
          <w:kern w:val="0"/>
          <w:sz w:val="24"/>
          <w:szCs w:val="21"/>
        </w:rPr>
        <w:t>我公司承诺</w:t>
      </w:r>
      <w:r>
        <w:rPr>
          <w:rFonts w:hint="eastAsia" w:ascii="宋体" w:hAnsi="宋体" w:cs="宋体"/>
          <w:sz w:val="24"/>
          <w:szCs w:val="21"/>
        </w:rPr>
        <w:t>具备履行合同所必需的设备和专业技术能力</w:t>
      </w:r>
      <w:r>
        <w:rPr>
          <w:rFonts w:hint="eastAsia" w:ascii="宋体" w:hAnsi="宋体" w:cs="宋体"/>
          <w:kern w:val="0"/>
          <w:sz w:val="24"/>
          <w:szCs w:val="21"/>
        </w:rPr>
        <w:t>。</w:t>
      </w:r>
    </w:p>
    <w:p>
      <w:pPr>
        <w:ind w:firstLine="480"/>
        <w:rPr>
          <w:rFonts w:ascii="宋体" w:hAnsi="宋体" w:cs="宋体"/>
          <w:b/>
          <w:sz w:val="24"/>
          <w:szCs w:val="21"/>
        </w:rPr>
      </w:pPr>
      <w:r>
        <w:rPr>
          <w:rFonts w:hint="eastAsia" w:ascii="宋体" w:hAnsi="宋体" w:cs="宋体"/>
          <w:b/>
          <w:sz w:val="24"/>
          <w:szCs w:val="21"/>
        </w:rPr>
        <w:t xml:space="preserve"> </w:t>
      </w:r>
    </w:p>
    <w:p>
      <w:pPr>
        <w:spacing w:beforeLines="50" w:line="440" w:lineRule="exact"/>
        <w:ind w:left="-103" w:leftChars="-49" w:firstLine="616" w:firstLineChars="257"/>
        <w:rPr>
          <w:rFonts w:ascii="宋体" w:hAnsi="宋体" w:cs="宋体"/>
          <w:sz w:val="24"/>
          <w:szCs w:val="21"/>
        </w:rPr>
      </w:pPr>
    </w:p>
    <w:p>
      <w:pPr>
        <w:spacing w:beforeLines="50" w:line="440" w:lineRule="exact"/>
        <w:ind w:left="-103" w:leftChars="-49" w:firstLine="616" w:firstLineChars="257"/>
        <w:rPr>
          <w:rFonts w:ascii="宋体" w:hAnsi="宋体" w:cs="宋体"/>
          <w:sz w:val="24"/>
          <w:szCs w:val="21"/>
        </w:rPr>
      </w:pPr>
    </w:p>
    <w:p>
      <w:pPr>
        <w:spacing w:beforeLines="50" w:line="440" w:lineRule="exact"/>
        <w:ind w:left="-103" w:leftChars="-49" w:firstLine="616" w:firstLineChars="257"/>
        <w:rPr>
          <w:rFonts w:ascii="宋体" w:hAnsi="宋体" w:cs="宋体"/>
          <w:sz w:val="24"/>
          <w:szCs w:val="21"/>
        </w:rPr>
      </w:pPr>
      <w:r>
        <w:rPr>
          <w:rFonts w:hint="eastAsia" w:ascii="宋体" w:hAnsi="宋体" w:cs="宋体"/>
          <w:sz w:val="24"/>
          <w:szCs w:val="21"/>
        </w:rPr>
        <w:t>投标人：</w:t>
      </w:r>
      <w:r>
        <w:rPr>
          <w:rFonts w:hint="eastAsia" w:ascii="宋体" w:hAnsi="宋体" w:cs="宋体"/>
          <w:sz w:val="24"/>
          <w:szCs w:val="21"/>
          <w:u w:val="single"/>
        </w:rPr>
        <w:t xml:space="preserve">                              </w:t>
      </w:r>
      <w:r>
        <w:rPr>
          <w:rFonts w:hint="eastAsia" w:ascii="宋体" w:hAnsi="宋体" w:cs="宋体"/>
          <w:sz w:val="24"/>
          <w:szCs w:val="21"/>
        </w:rPr>
        <w:t>（公章）</w:t>
      </w:r>
    </w:p>
    <w:p>
      <w:pPr>
        <w:spacing w:beforeLines="50" w:line="440" w:lineRule="exact"/>
        <w:ind w:left="460" w:leftChars="219"/>
        <w:rPr>
          <w:rFonts w:ascii="宋体" w:hAnsi="宋体" w:cs="宋体"/>
          <w:sz w:val="24"/>
          <w:szCs w:val="21"/>
        </w:rPr>
      </w:pPr>
      <w:r>
        <w:rPr>
          <w:rFonts w:hint="eastAsia" w:ascii="宋体" w:hAnsi="宋体" w:cs="宋体"/>
          <w:sz w:val="24"/>
          <w:szCs w:val="21"/>
        </w:rPr>
        <w:t>法定代表人或其授权代表：</w:t>
      </w:r>
      <w:r>
        <w:rPr>
          <w:rFonts w:hint="eastAsia" w:ascii="宋体" w:hAnsi="宋体" w:cs="宋体"/>
          <w:sz w:val="24"/>
          <w:szCs w:val="21"/>
          <w:u w:val="single"/>
        </w:rPr>
        <w:t xml:space="preserve">         </w:t>
      </w:r>
      <w:r>
        <w:rPr>
          <w:rFonts w:hint="eastAsia" w:ascii="宋体" w:hAnsi="宋体" w:cs="宋体"/>
          <w:sz w:val="24"/>
          <w:szCs w:val="21"/>
        </w:rPr>
        <w:t>（签字或盖章）</w:t>
      </w:r>
    </w:p>
    <w:p>
      <w:pPr>
        <w:spacing w:line="520" w:lineRule="exact"/>
        <w:ind w:firstLine="480" w:firstLineChars="200"/>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20" w:lineRule="exact"/>
        <w:ind w:firstLine="480" w:firstLineChars="200"/>
        <w:jc w:val="left"/>
        <w:rPr>
          <w:rFonts w:ascii="宋体" w:hAnsi="宋体" w:cs="宋体"/>
          <w:sz w:val="24"/>
        </w:rPr>
      </w:pPr>
    </w:p>
    <w:p>
      <w:pPr>
        <w:spacing w:line="520" w:lineRule="exact"/>
        <w:ind w:firstLine="482" w:firstLineChars="200"/>
        <w:jc w:val="left"/>
        <w:rPr>
          <w:rFonts w:ascii="宋体" w:hAnsi="宋体" w:cs="宋体"/>
          <w:b/>
          <w:sz w:val="24"/>
          <w:szCs w:val="21"/>
        </w:rPr>
      </w:pPr>
      <w:r>
        <w:rPr>
          <w:rFonts w:hint="eastAsia" w:ascii="宋体" w:hAnsi="宋体" w:cs="宋体"/>
          <w:b/>
          <w:sz w:val="24"/>
          <w:szCs w:val="21"/>
        </w:rPr>
        <w:t>备注：若提供证明材料者可不提供本承诺书。</w:t>
      </w:r>
    </w:p>
    <w:p>
      <w:pPr>
        <w:snapToGrid w:val="0"/>
        <w:spacing w:afterLines="50"/>
        <w:ind w:right="-57" w:rightChars="-27"/>
        <w:jc w:val="left"/>
        <w:outlineLvl w:val="2"/>
        <w:rPr>
          <w:rFonts w:ascii="宋体" w:hAnsi="宋体" w:cs="宋体"/>
          <w:b/>
          <w:sz w:val="24"/>
          <w:szCs w:val="21"/>
        </w:rPr>
      </w:pPr>
      <w:r>
        <w:rPr>
          <w:rFonts w:hint="eastAsia" w:ascii="宋体" w:hAnsi="宋体" w:cs="宋体"/>
          <w:b/>
          <w:sz w:val="28"/>
          <w:szCs w:val="28"/>
        </w:rPr>
        <w:br w:type="page"/>
      </w:r>
      <w:bookmarkStart w:id="122" w:name="_Toc7238"/>
      <w:bookmarkStart w:id="123" w:name="_Toc17999510"/>
      <w:bookmarkStart w:id="124" w:name="_Toc25661923"/>
      <w:bookmarkStart w:id="125" w:name="_Toc17998946"/>
      <w:bookmarkStart w:id="126" w:name="_Toc26291069"/>
      <w:bookmarkStart w:id="127" w:name="_Toc26298353"/>
      <w:bookmarkStart w:id="128" w:name="_Toc26291169"/>
      <w:bookmarkStart w:id="129" w:name="_Toc17998773"/>
      <w:bookmarkStart w:id="130" w:name="_Toc26300524"/>
      <w:r>
        <w:rPr>
          <w:rFonts w:hint="eastAsia" w:ascii="宋体" w:hAnsi="宋体" w:cs="宋体"/>
          <w:b/>
          <w:sz w:val="24"/>
          <w:szCs w:val="21"/>
        </w:rPr>
        <w:t>（五）参加政府采购活动前3年内在经营活动中没有重大违法记录的书面声明</w:t>
      </w:r>
      <w:bookmarkEnd w:id="122"/>
      <w:bookmarkEnd w:id="123"/>
      <w:bookmarkEnd w:id="124"/>
      <w:bookmarkEnd w:id="125"/>
      <w:bookmarkEnd w:id="126"/>
      <w:bookmarkEnd w:id="127"/>
      <w:bookmarkEnd w:id="128"/>
      <w:bookmarkEnd w:id="129"/>
      <w:bookmarkEnd w:id="130"/>
      <w:r>
        <w:rPr>
          <w:rFonts w:hint="eastAsia" w:ascii="宋体" w:hAnsi="宋体" w:cs="宋体"/>
          <w:b/>
          <w:sz w:val="24"/>
          <w:szCs w:val="21"/>
        </w:rPr>
        <w:t>书</w:t>
      </w:r>
    </w:p>
    <w:p>
      <w:pPr>
        <w:jc w:val="center"/>
        <w:rPr>
          <w:rFonts w:ascii="宋体" w:hAnsi="宋体" w:cs="宋体"/>
          <w:sz w:val="24"/>
          <w:szCs w:val="21"/>
        </w:rPr>
      </w:pPr>
      <w:r>
        <w:rPr>
          <w:rFonts w:hint="eastAsia" w:ascii="宋体" w:hAnsi="宋体" w:cs="宋体"/>
          <w:sz w:val="24"/>
          <w:szCs w:val="21"/>
        </w:rPr>
        <w:t xml:space="preserve"> </w:t>
      </w:r>
    </w:p>
    <w:p>
      <w:pPr>
        <w:jc w:val="center"/>
        <w:rPr>
          <w:rFonts w:ascii="宋体" w:hAnsi="宋体" w:cs="宋体"/>
          <w:b/>
          <w:sz w:val="24"/>
          <w:szCs w:val="21"/>
        </w:rPr>
      </w:pPr>
      <w:r>
        <w:rPr>
          <w:rFonts w:hint="eastAsia" w:ascii="宋体" w:hAnsi="宋体" w:cs="宋体"/>
          <w:b/>
          <w:sz w:val="24"/>
          <w:szCs w:val="21"/>
        </w:rPr>
        <w:t>声明书</w:t>
      </w:r>
    </w:p>
    <w:p>
      <w:pPr>
        <w:jc w:val="center"/>
        <w:rPr>
          <w:rFonts w:ascii="宋体" w:hAnsi="宋体" w:cs="宋体"/>
          <w:sz w:val="24"/>
          <w:szCs w:val="21"/>
        </w:rPr>
      </w:pPr>
      <w:r>
        <w:rPr>
          <w:rFonts w:hint="eastAsia" w:ascii="宋体" w:hAnsi="宋体" w:cs="宋体"/>
          <w:sz w:val="24"/>
          <w:szCs w:val="21"/>
        </w:rPr>
        <w:t xml:space="preserve"> </w:t>
      </w:r>
    </w:p>
    <w:p>
      <w:pPr>
        <w:spacing w:before="120" w:line="360" w:lineRule="auto"/>
        <w:rPr>
          <w:rFonts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rPr>
        <w:t xml:space="preserve">   （采购人）  </w:t>
      </w:r>
    </w:p>
    <w:p>
      <w:pPr>
        <w:spacing w:before="120" w:line="360" w:lineRule="auto"/>
        <w:ind w:firstLine="480" w:firstLineChars="200"/>
        <w:rPr>
          <w:rFonts w:ascii="宋体" w:hAnsi="宋体" w:cs="宋体"/>
          <w:sz w:val="24"/>
          <w:szCs w:val="21"/>
        </w:rPr>
      </w:pPr>
      <w:r>
        <w:rPr>
          <w:rFonts w:hint="eastAsia" w:ascii="宋体" w:hAnsi="宋体" w:cs="宋体"/>
          <w:sz w:val="24"/>
          <w:szCs w:val="21"/>
        </w:rPr>
        <w:t xml:space="preserve"> </w:t>
      </w:r>
    </w:p>
    <w:p>
      <w:pPr>
        <w:spacing w:before="120" w:line="360" w:lineRule="auto"/>
        <w:ind w:firstLine="480" w:firstLineChars="200"/>
        <w:rPr>
          <w:rFonts w:ascii="宋体" w:hAnsi="宋体" w:cs="宋体"/>
          <w:sz w:val="24"/>
          <w:szCs w:val="21"/>
        </w:rPr>
      </w:pPr>
      <w:r>
        <w:rPr>
          <w:rFonts w:hint="eastAsia" w:ascii="宋体" w:hAnsi="宋体" w:cs="宋体"/>
          <w:sz w:val="24"/>
          <w:szCs w:val="21"/>
        </w:rPr>
        <w:t>1、我公司郑重承诺在参加本项目政府采购活动前三年内，在经营活动中____（填“没有”或“有”）重大违法记录。</w:t>
      </w:r>
    </w:p>
    <w:p>
      <w:pPr>
        <w:widowControl/>
        <w:spacing w:line="500" w:lineRule="exact"/>
        <w:ind w:firstLine="480" w:firstLineChars="200"/>
        <w:rPr>
          <w:rFonts w:ascii="宋体" w:hAnsi="宋体" w:cs="宋体"/>
          <w:sz w:val="24"/>
          <w:szCs w:val="21"/>
        </w:rPr>
      </w:pPr>
      <w:r>
        <w:rPr>
          <w:rFonts w:hint="eastAsia" w:ascii="宋体" w:hAnsi="宋体" w:cs="宋体"/>
          <w:sz w:val="24"/>
          <w:szCs w:val="21"/>
        </w:rPr>
        <w:t>2、我方______（填“未被列入”或“被列入”）失信被执行人名单。</w:t>
      </w:r>
    </w:p>
    <w:p>
      <w:pPr>
        <w:widowControl/>
        <w:spacing w:line="500" w:lineRule="exact"/>
        <w:ind w:firstLine="480" w:firstLineChars="200"/>
        <w:rPr>
          <w:rFonts w:ascii="宋体" w:hAnsi="宋体" w:cs="宋体"/>
          <w:sz w:val="24"/>
          <w:szCs w:val="21"/>
        </w:rPr>
      </w:pPr>
      <w:r>
        <w:rPr>
          <w:rFonts w:hint="eastAsia" w:ascii="宋体" w:hAnsi="宋体" w:cs="宋体"/>
          <w:sz w:val="24"/>
          <w:szCs w:val="21"/>
        </w:rPr>
        <w:t>3、我方______（填“未被列入”或“被列入”）重大税收违法案件当事人名单。</w:t>
      </w:r>
    </w:p>
    <w:p>
      <w:pPr>
        <w:widowControl/>
        <w:spacing w:line="500" w:lineRule="exact"/>
        <w:ind w:firstLine="480" w:firstLineChars="200"/>
        <w:rPr>
          <w:rFonts w:ascii="宋体" w:hAnsi="宋体" w:cs="宋体"/>
          <w:sz w:val="24"/>
          <w:szCs w:val="21"/>
        </w:rPr>
      </w:pPr>
      <w:r>
        <w:rPr>
          <w:rFonts w:hint="eastAsia" w:ascii="宋体" w:hAnsi="宋体" w:cs="宋体"/>
          <w:sz w:val="24"/>
          <w:szCs w:val="21"/>
        </w:rPr>
        <w:t>4、我方______（填“未被列入”或“被列入”）政府采购严重违法失信行为记录名单。</w:t>
      </w:r>
    </w:p>
    <w:p>
      <w:pPr>
        <w:widowControl/>
        <w:spacing w:line="500" w:lineRule="exact"/>
        <w:ind w:firstLine="480" w:firstLineChars="200"/>
        <w:rPr>
          <w:rFonts w:ascii="宋体" w:hAnsi="宋体" w:cs="宋体"/>
          <w:sz w:val="24"/>
          <w:szCs w:val="21"/>
        </w:rPr>
      </w:pPr>
      <w:r>
        <w:rPr>
          <w:rFonts w:hint="eastAsia" w:ascii="宋体" w:hAnsi="宋体" w:cs="宋体"/>
          <w:sz w:val="24"/>
          <w:szCs w:val="21"/>
        </w:rPr>
        <w:t>如有不实，我方将无条件地退出本项目的采购活动，并遵照《政府采购法》有关“提供虚假材料的规定”接受处罚。</w:t>
      </w:r>
    </w:p>
    <w:p>
      <w:pPr>
        <w:widowControl/>
        <w:spacing w:line="500" w:lineRule="exact"/>
        <w:ind w:firstLine="480" w:firstLineChars="200"/>
        <w:rPr>
          <w:rFonts w:ascii="宋体" w:hAnsi="宋体" w:cs="宋体"/>
          <w:sz w:val="24"/>
          <w:szCs w:val="21"/>
        </w:rPr>
      </w:pPr>
      <w:r>
        <w:rPr>
          <w:rFonts w:hint="eastAsia" w:ascii="宋体" w:hAnsi="宋体" w:cs="宋体"/>
          <w:sz w:val="24"/>
          <w:szCs w:val="21"/>
        </w:rPr>
        <w:t>特此声明。</w:t>
      </w:r>
    </w:p>
    <w:p>
      <w:pPr>
        <w:spacing w:before="120" w:line="360" w:lineRule="auto"/>
        <w:ind w:firstLine="480" w:firstLineChars="200"/>
        <w:rPr>
          <w:rFonts w:ascii="宋体" w:hAnsi="宋体" w:cs="宋体"/>
          <w:sz w:val="24"/>
          <w:szCs w:val="21"/>
        </w:rPr>
      </w:pPr>
    </w:p>
    <w:p>
      <w:pPr>
        <w:spacing w:before="120" w:line="360" w:lineRule="auto"/>
        <w:ind w:firstLine="480" w:firstLineChars="200"/>
        <w:rPr>
          <w:rFonts w:ascii="宋体" w:hAnsi="宋体" w:cs="宋体"/>
          <w:sz w:val="24"/>
          <w:szCs w:val="21"/>
        </w:rPr>
      </w:pPr>
      <w:r>
        <w:rPr>
          <w:rFonts w:hint="eastAsia" w:ascii="宋体" w:hAnsi="宋体" w:cs="宋体"/>
          <w:sz w:val="24"/>
          <w:szCs w:val="21"/>
        </w:rPr>
        <w:t xml:space="preserve"> </w:t>
      </w:r>
    </w:p>
    <w:p>
      <w:pPr>
        <w:spacing w:before="120" w:line="360" w:lineRule="auto"/>
        <w:ind w:firstLine="480" w:firstLineChars="200"/>
        <w:rPr>
          <w:rFonts w:ascii="宋体" w:hAnsi="宋体" w:cs="宋体"/>
          <w:sz w:val="24"/>
          <w:szCs w:val="21"/>
        </w:rPr>
      </w:pPr>
      <w:r>
        <w:rPr>
          <w:rFonts w:hint="eastAsia" w:ascii="宋体" w:hAnsi="宋体" w:cs="宋体"/>
          <w:sz w:val="24"/>
          <w:szCs w:val="21"/>
        </w:rPr>
        <w:t xml:space="preserve"> </w:t>
      </w:r>
    </w:p>
    <w:p>
      <w:pPr>
        <w:spacing w:beforeLines="50" w:line="440" w:lineRule="exact"/>
        <w:ind w:left="-103" w:leftChars="-49" w:firstLine="616" w:firstLineChars="257"/>
        <w:rPr>
          <w:rFonts w:ascii="宋体" w:hAnsi="宋体" w:cs="宋体"/>
          <w:sz w:val="24"/>
          <w:szCs w:val="21"/>
        </w:rPr>
      </w:pPr>
      <w:r>
        <w:rPr>
          <w:rFonts w:hint="eastAsia" w:ascii="宋体" w:hAnsi="宋体" w:cs="宋体"/>
          <w:sz w:val="24"/>
          <w:szCs w:val="21"/>
        </w:rPr>
        <w:t>投标人：</w:t>
      </w:r>
      <w:r>
        <w:rPr>
          <w:rFonts w:hint="eastAsia" w:ascii="宋体" w:hAnsi="宋体" w:cs="宋体"/>
          <w:sz w:val="24"/>
          <w:szCs w:val="21"/>
          <w:u w:val="single"/>
        </w:rPr>
        <w:t xml:space="preserve">                              </w:t>
      </w:r>
      <w:r>
        <w:rPr>
          <w:rFonts w:hint="eastAsia" w:ascii="宋体" w:hAnsi="宋体" w:cs="宋体"/>
          <w:sz w:val="24"/>
          <w:szCs w:val="21"/>
        </w:rPr>
        <w:t>（公章）</w:t>
      </w:r>
    </w:p>
    <w:p>
      <w:pPr>
        <w:spacing w:beforeLines="50" w:line="440" w:lineRule="exact"/>
        <w:ind w:left="460" w:leftChars="219"/>
        <w:rPr>
          <w:rFonts w:ascii="宋体" w:hAnsi="宋体" w:cs="宋体"/>
          <w:sz w:val="24"/>
          <w:szCs w:val="21"/>
        </w:rPr>
      </w:pPr>
      <w:r>
        <w:rPr>
          <w:rFonts w:hint="eastAsia" w:ascii="宋体" w:hAnsi="宋体" w:cs="宋体"/>
          <w:sz w:val="24"/>
          <w:szCs w:val="21"/>
        </w:rPr>
        <w:t>法定代表人或其授权代表：</w:t>
      </w:r>
      <w:r>
        <w:rPr>
          <w:rFonts w:hint="eastAsia" w:ascii="宋体" w:hAnsi="宋体" w:cs="宋体"/>
          <w:sz w:val="24"/>
          <w:szCs w:val="21"/>
          <w:u w:val="single"/>
        </w:rPr>
        <w:t xml:space="preserve">         </w:t>
      </w:r>
      <w:r>
        <w:rPr>
          <w:rFonts w:hint="eastAsia" w:ascii="宋体" w:hAnsi="宋体" w:cs="宋体"/>
          <w:sz w:val="24"/>
          <w:szCs w:val="21"/>
        </w:rPr>
        <w:t>（签字或盖章）</w:t>
      </w:r>
    </w:p>
    <w:p>
      <w:pPr>
        <w:spacing w:line="520" w:lineRule="exac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sectPr>
          <w:pgSz w:w="11906" w:h="16838"/>
          <w:pgMar w:top="1418" w:right="1418" w:bottom="1418" w:left="1418" w:header="964" w:footer="964" w:gutter="0"/>
          <w:cols w:space="720" w:num="1"/>
          <w:docGrid w:type="lines" w:linePitch="312" w:charSpace="0"/>
        </w:sectPr>
      </w:pPr>
    </w:p>
    <w:p>
      <w:pPr>
        <w:pStyle w:val="14"/>
        <w:shd w:val="clear" w:color="auto" w:fill="FFFFFF"/>
        <w:spacing w:before="132" w:beforeAutospacing="0" w:after="378" w:afterAutospacing="0" w:line="360" w:lineRule="auto"/>
        <w:rPr>
          <w:rFonts w:hint="default"/>
          <w:b/>
          <w:shd w:val="clear" w:color="auto" w:fill="FFFFFF"/>
        </w:rPr>
      </w:pPr>
      <w:bookmarkStart w:id="131" w:name="_Toc17998952"/>
      <w:bookmarkStart w:id="132" w:name="_Toc25661931"/>
      <w:bookmarkStart w:id="133" w:name="_Toc31975"/>
      <w:bookmarkStart w:id="134" w:name="_Toc17999516"/>
      <w:bookmarkStart w:id="135" w:name="_Toc17998779"/>
      <w:bookmarkStart w:id="136" w:name="_Toc26300530"/>
      <w:bookmarkStart w:id="137" w:name="_Toc26298359"/>
      <w:bookmarkStart w:id="138" w:name="_Toc26291075"/>
      <w:bookmarkStart w:id="139" w:name="_Toc26291175"/>
      <w:r>
        <w:rPr>
          <w:b/>
          <w:shd w:val="clear" w:color="auto" w:fill="FFFFFF"/>
        </w:rPr>
        <w:t>（六）投标人控股股东名称、控股公司的名称和存在管理、被管理关系的单位名称说明</w:t>
      </w:r>
      <w:bookmarkEnd w:id="131"/>
      <w:bookmarkEnd w:id="132"/>
      <w:bookmarkEnd w:id="133"/>
      <w:bookmarkEnd w:id="134"/>
      <w:bookmarkEnd w:id="135"/>
      <w:bookmarkEnd w:id="136"/>
      <w:bookmarkEnd w:id="137"/>
      <w:bookmarkEnd w:id="138"/>
      <w:bookmarkEnd w:id="139"/>
    </w:p>
    <w:p>
      <w:pPr>
        <w:ind w:firstLine="420"/>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（采购人）       </w:t>
      </w:r>
    </w:p>
    <w:p>
      <w:pPr>
        <w:ind w:firstLine="426"/>
        <w:rPr>
          <w:rFonts w:ascii="宋体" w:hAnsi="宋体" w:cs="宋体"/>
          <w:sz w:val="24"/>
        </w:rPr>
      </w:pPr>
      <w:r>
        <w:rPr>
          <w:rFonts w:hint="eastAsia" w:ascii="宋体" w:hAnsi="宋体" w:cs="宋体"/>
          <w:sz w:val="24"/>
        </w:rPr>
        <w:t>与我方的法定代表人为同一人的企业如下：</w:t>
      </w:r>
    </w:p>
    <w:p>
      <w:pPr>
        <w:ind w:firstLine="426"/>
        <w:rPr>
          <w:rFonts w:ascii="宋体" w:hAnsi="宋体" w:cs="宋体"/>
          <w:sz w:val="24"/>
        </w:rPr>
      </w:pPr>
      <w:r>
        <w:rPr>
          <w:rFonts w:hint="eastAsia" w:ascii="宋体" w:hAnsi="宋体" w:cs="宋体"/>
          <w:sz w:val="24"/>
        </w:rPr>
        <w:t xml:space="preserve"> </w:t>
      </w:r>
    </w:p>
    <w:p>
      <w:pPr>
        <w:ind w:firstLine="426"/>
        <w:rPr>
          <w:rFonts w:ascii="宋体" w:hAnsi="宋体" w:cs="宋体"/>
          <w:sz w:val="24"/>
        </w:rPr>
      </w:pPr>
      <w:r>
        <w:rPr>
          <w:rFonts w:hint="eastAsia" w:ascii="宋体" w:hAnsi="宋体" w:cs="宋体"/>
          <w:sz w:val="24"/>
        </w:rPr>
        <w:t>我方的控股股东如下：</w:t>
      </w:r>
    </w:p>
    <w:p>
      <w:pPr>
        <w:ind w:firstLine="426"/>
        <w:rPr>
          <w:rFonts w:ascii="宋体" w:hAnsi="宋体" w:cs="宋体"/>
          <w:sz w:val="24"/>
        </w:rPr>
      </w:pPr>
      <w:r>
        <w:rPr>
          <w:rFonts w:hint="eastAsia" w:ascii="宋体" w:hAnsi="宋体" w:cs="宋体"/>
          <w:sz w:val="24"/>
        </w:rPr>
        <w:t xml:space="preserve"> </w:t>
      </w:r>
    </w:p>
    <w:p>
      <w:pPr>
        <w:ind w:firstLine="426"/>
        <w:rPr>
          <w:rFonts w:ascii="宋体" w:hAnsi="宋体" w:cs="宋体"/>
          <w:sz w:val="24"/>
        </w:rPr>
      </w:pPr>
      <w:r>
        <w:rPr>
          <w:rFonts w:hint="eastAsia" w:ascii="宋体" w:hAnsi="宋体" w:cs="宋体"/>
          <w:sz w:val="24"/>
        </w:rPr>
        <w:t>我方直接控股的企业如下：</w:t>
      </w:r>
    </w:p>
    <w:p>
      <w:pPr>
        <w:ind w:firstLine="426"/>
        <w:rPr>
          <w:rFonts w:ascii="宋体" w:hAnsi="宋体" w:cs="宋体"/>
          <w:sz w:val="24"/>
        </w:rPr>
      </w:pPr>
      <w:r>
        <w:rPr>
          <w:rFonts w:hint="eastAsia" w:ascii="宋体" w:hAnsi="宋体" w:cs="宋体"/>
          <w:sz w:val="24"/>
        </w:rPr>
        <w:t xml:space="preserve"> </w:t>
      </w:r>
    </w:p>
    <w:p>
      <w:pPr>
        <w:ind w:firstLine="426"/>
        <w:rPr>
          <w:rFonts w:ascii="宋体" w:hAnsi="宋体" w:cs="宋体"/>
          <w:sz w:val="24"/>
        </w:rPr>
      </w:pPr>
      <w:r>
        <w:rPr>
          <w:rFonts w:hint="eastAsia" w:ascii="宋体" w:hAnsi="宋体" w:cs="宋体"/>
          <w:sz w:val="24"/>
        </w:rPr>
        <w:t>与我方存在管理、被管理关系的单位名称如下：</w:t>
      </w:r>
    </w:p>
    <w:p>
      <w:pPr>
        <w:ind w:firstLine="426"/>
        <w:rPr>
          <w:rFonts w:ascii="宋体" w:hAnsi="宋体" w:cs="宋体"/>
          <w:sz w:val="24"/>
        </w:rPr>
      </w:pPr>
      <w:r>
        <w:rPr>
          <w:rFonts w:hint="eastAsia" w:ascii="宋体" w:hAnsi="宋体" w:cs="宋体"/>
          <w:sz w:val="24"/>
        </w:rPr>
        <w:t xml:space="preserve"> </w:t>
      </w:r>
    </w:p>
    <w:p>
      <w:pPr>
        <w:ind w:firstLine="426"/>
        <w:rPr>
          <w:rFonts w:ascii="宋体" w:hAnsi="宋体" w:cs="宋体"/>
          <w:sz w:val="24"/>
        </w:rPr>
      </w:pPr>
      <w:r>
        <w:rPr>
          <w:rFonts w:hint="eastAsia" w:ascii="宋体" w:hAnsi="宋体" w:cs="宋体"/>
          <w:sz w:val="24"/>
        </w:rPr>
        <w:t xml:space="preserve"> </w:t>
      </w:r>
    </w:p>
    <w:p>
      <w:pPr>
        <w:spacing w:beforeLines="50" w:line="440" w:lineRule="exact"/>
        <w:ind w:left="-103" w:leftChars="-49" w:firstLine="616" w:firstLineChars="257"/>
        <w:rPr>
          <w:rFonts w:ascii="宋体" w:hAnsi="宋体" w:cs="宋体"/>
          <w:sz w:val="24"/>
        </w:rPr>
      </w:pPr>
      <w:bookmarkStart w:id="140" w:name="_Toc1931"/>
      <w:bookmarkStart w:id="141" w:name="_Toc17998953"/>
      <w:bookmarkStart w:id="142" w:name="_Toc17998780"/>
      <w:bookmarkStart w:id="143" w:name="_Toc26298360"/>
      <w:bookmarkStart w:id="144" w:name="_Toc26300531"/>
      <w:bookmarkStart w:id="145" w:name="_Toc25661932"/>
      <w:bookmarkStart w:id="146" w:name="_Toc17999517"/>
      <w:bookmarkStart w:id="147" w:name="_Toc26291176"/>
      <w:bookmarkStart w:id="148" w:name="_Toc26291076"/>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（公章）</w:t>
      </w:r>
    </w:p>
    <w:p>
      <w:pPr>
        <w:spacing w:beforeLines="50" w:line="440" w:lineRule="exact"/>
        <w:ind w:left="460" w:leftChars="219"/>
        <w:rPr>
          <w:rFonts w:ascii="宋体" w:hAnsi="宋体" w:cs="宋体"/>
          <w:sz w:val="24"/>
        </w:rPr>
      </w:pPr>
      <w:r>
        <w:rPr>
          <w:rFonts w:hint="eastAsia" w:ascii="宋体" w:hAnsi="宋体" w:cs="宋体"/>
          <w:sz w:val="24"/>
        </w:rPr>
        <w:t>法定代表人或其授权代表：</w:t>
      </w:r>
      <w:r>
        <w:rPr>
          <w:rFonts w:hint="eastAsia" w:ascii="宋体" w:hAnsi="宋体" w:cs="宋体"/>
          <w:sz w:val="24"/>
          <w:u w:val="single"/>
        </w:rPr>
        <w:t xml:space="preserve">         </w:t>
      </w:r>
      <w:r>
        <w:rPr>
          <w:rFonts w:hint="eastAsia" w:ascii="宋体" w:hAnsi="宋体" w:cs="宋体"/>
          <w:sz w:val="24"/>
        </w:rPr>
        <w:t>（签字或盖章）</w:t>
      </w:r>
    </w:p>
    <w:p>
      <w:pPr>
        <w:spacing w:line="520" w:lineRule="exac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sectPr>
          <w:pgSz w:w="11906" w:h="16838"/>
          <w:pgMar w:top="1418" w:right="1418" w:bottom="1418" w:left="1418" w:header="964" w:footer="964" w:gutter="0"/>
          <w:cols w:space="720" w:num="1"/>
          <w:docGrid w:type="lines" w:linePitch="312" w:charSpace="0"/>
        </w:sectPr>
      </w:pPr>
    </w:p>
    <w:bookmarkEnd w:id="140"/>
    <w:bookmarkEnd w:id="141"/>
    <w:bookmarkEnd w:id="142"/>
    <w:bookmarkEnd w:id="143"/>
    <w:bookmarkEnd w:id="144"/>
    <w:bookmarkEnd w:id="145"/>
    <w:bookmarkEnd w:id="146"/>
    <w:bookmarkEnd w:id="147"/>
    <w:bookmarkEnd w:id="148"/>
    <w:p>
      <w:pPr>
        <w:keepLines/>
        <w:spacing w:before="100" w:beforeAutospacing="1" w:afterLines="50" w:line="360" w:lineRule="auto"/>
        <w:jc w:val="center"/>
        <w:outlineLvl w:val="2"/>
        <w:rPr>
          <w:rFonts w:ascii="宋体" w:hAnsi="宋体" w:cs="宋体"/>
          <w:b/>
          <w:sz w:val="28"/>
          <w:szCs w:val="28"/>
        </w:rPr>
      </w:pPr>
      <w:r>
        <w:rPr>
          <w:rFonts w:hint="eastAsia" w:ascii="宋体" w:hAnsi="宋体" w:cs="宋体"/>
          <w:b/>
          <w:sz w:val="28"/>
          <w:szCs w:val="28"/>
        </w:rPr>
        <w:t>二、投标人认为需要的其他证明材料</w:t>
      </w:r>
    </w:p>
    <w:p>
      <w:pPr>
        <w:keepLines/>
        <w:pageBreakBefore/>
        <w:jc w:val="center"/>
        <w:outlineLvl w:val="1"/>
        <w:rPr>
          <w:rFonts w:ascii="宋体" w:hAnsi="宋体" w:cs="宋体"/>
          <w:b/>
          <w:bCs/>
          <w:sz w:val="36"/>
          <w:szCs w:val="36"/>
        </w:rPr>
      </w:pPr>
      <w:r>
        <w:rPr>
          <w:rFonts w:hint="eastAsia" w:ascii="宋体" w:hAnsi="宋体" w:cs="宋体"/>
          <w:b/>
          <w:bCs/>
          <w:sz w:val="36"/>
          <w:szCs w:val="36"/>
        </w:rPr>
        <w:t>第二部分 技术标</w:t>
      </w:r>
    </w:p>
    <w:p>
      <w:pPr>
        <w:pStyle w:val="7"/>
        <w:widowControl/>
        <w:ind w:firstLine="420"/>
        <w:rPr>
          <w:rFonts w:ascii="宋体" w:hAnsi="宋体" w:cs="宋体"/>
          <w:b/>
          <w:bCs/>
          <w:sz w:val="24"/>
        </w:rPr>
      </w:pPr>
    </w:p>
    <w:p/>
    <w:p>
      <w:pPr>
        <w:spacing w:line="360" w:lineRule="auto"/>
        <w:rPr>
          <w:sz w:val="24"/>
        </w:rPr>
      </w:pPr>
      <w:r>
        <w:rPr>
          <w:rFonts w:hint="eastAsia" w:ascii="Times New Roman" w:hAnsi="Times New Roman" w:cs="宋体"/>
          <w:sz w:val="24"/>
        </w:rPr>
        <w:t>包含但不限于以下内容（具体要求详见评标办法）：</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一、现状分析，需求理解与分析，计算、存储、网络扩容及对接方案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二、同步分区负载平台、数据交换共享平台建设方案及软硬件实施部署方案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三、项目团队配置（提供人员配备表及简历表，格式自拟）</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四、技术指标满足度（完成技术偏离表）</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五、业绩（提供业绩汇总表，格式自拟）</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六、企业综合实力</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七、售后服务方案及培训方案</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八、履约承诺</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九、合理化建议</w:t>
      </w:r>
    </w:p>
    <w:p>
      <w:pPr>
        <w:widowControl/>
        <w:shd w:val="clear" w:color="auto" w:fill="FFFFFF"/>
        <w:spacing w:line="360" w:lineRule="auto"/>
        <w:ind w:firstLine="48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十、投标人认为需要说明的其他内容</w:t>
      </w:r>
    </w:p>
    <w:p>
      <w:pPr>
        <w:spacing w:line="360" w:lineRule="auto"/>
        <w:jc w:val="center"/>
        <w:rPr>
          <w:rFonts w:ascii="宋体" w:hAnsi="宋体" w:cs="宋体"/>
          <w:b/>
          <w:bCs/>
          <w:sz w:val="24"/>
        </w:rPr>
      </w:pPr>
      <w:r>
        <w:rPr>
          <w:rFonts w:hint="eastAsia" w:ascii="宋体" w:hAnsi="宋体" w:cs="宋体"/>
          <w:b/>
          <w:bCs/>
          <w:sz w:val="24"/>
          <w:szCs w:val="21"/>
        </w:rPr>
        <w:br w:type="page"/>
      </w:r>
      <w:bookmarkStart w:id="149" w:name="_Toc4354_WPSOffice_Level1"/>
      <w:bookmarkStart w:id="150" w:name="_Toc28685_WPSOffice_Level1"/>
      <w:bookmarkStart w:id="151" w:name="_Toc9720_WPSOffice_Level1"/>
      <w:r>
        <w:rPr>
          <w:rFonts w:hint="eastAsia" w:ascii="宋体" w:hAnsi="宋体" w:cs="宋体"/>
          <w:b/>
          <w:bCs/>
          <w:sz w:val="24"/>
        </w:rPr>
        <w:t>技术偏离表</w:t>
      </w:r>
      <w:bookmarkEnd w:id="149"/>
      <w:bookmarkEnd w:id="150"/>
      <w:bookmarkEnd w:id="151"/>
    </w:p>
    <w:p>
      <w:pPr>
        <w:pStyle w:val="48"/>
        <w:spacing w:before="0" w:after="0" w:line="360" w:lineRule="auto"/>
        <w:ind w:left="400"/>
        <w:jc w:val="left"/>
        <w:rPr>
          <w:rFonts w:ascii="宋体" w:hAnsi="宋体" w:cs="宋体"/>
          <w:sz w:val="24"/>
          <w:szCs w:val="24"/>
          <w:lang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823"/>
        <w:gridCol w:w="2850"/>
        <w:gridCol w:w="124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35" w:type="dxa"/>
            <w:vAlign w:val="center"/>
          </w:tcPr>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序号</w:t>
            </w:r>
          </w:p>
        </w:tc>
        <w:tc>
          <w:tcPr>
            <w:tcW w:w="2823" w:type="dxa"/>
            <w:vAlign w:val="center"/>
          </w:tcPr>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招标文件</w:t>
            </w:r>
          </w:p>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要求数据</w:t>
            </w:r>
          </w:p>
        </w:tc>
        <w:tc>
          <w:tcPr>
            <w:tcW w:w="2850" w:type="dxa"/>
            <w:vAlign w:val="center"/>
          </w:tcPr>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投标文件</w:t>
            </w:r>
          </w:p>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实际数据</w:t>
            </w:r>
          </w:p>
        </w:tc>
        <w:tc>
          <w:tcPr>
            <w:tcW w:w="1245" w:type="dxa"/>
            <w:vAlign w:val="center"/>
          </w:tcPr>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偏离情况</w:t>
            </w:r>
          </w:p>
        </w:tc>
        <w:tc>
          <w:tcPr>
            <w:tcW w:w="887" w:type="dxa"/>
            <w:vAlign w:val="center"/>
          </w:tcPr>
          <w:p>
            <w:pPr>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5" w:type="dxa"/>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2823" w:type="dxa"/>
            <w:vAlign w:val="center"/>
          </w:tcPr>
          <w:p>
            <w:pPr>
              <w:adjustRightInd w:val="0"/>
              <w:snapToGrid w:val="0"/>
              <w:spacing w:line="360" w:lineRule="auto"/>
              <w:jc w:val="center"/>
              <w:rPr>
                <w:rFonts w:ascii="宋体" w:hAnsi="宋体" w:cs="宋体"/>
                <w:color w:val="000000"/>
                <w:sz w:val="24"/>
              </w:rPr>
            </w:pPr>
          </w:p>
        </w:tc>
        <w:tc>
          <w:tcPr>
            <w:tcW w:w="2850" w:type="dxa"/>
            <w:vAlign w:val="center"/>
          </w:tcPr>
          <w:p>
            <w:pPr>
              <w:adjustRightInd w:val="0"/>
              <w:snapToGrid w:val="0"/>
              <w:spacing w:line="360" w:lineRule="auto"/>
              <w:jc w:val="left"/>
              <w:rPr>
                <w:rFonts w:ascii="宋体" w:hAnsi="宋体" w:cs="宋体"/>
                <w:color w:val="000000"/>
                <w:sz w:val="24"/>
              </w:rPr>
            </w:pPr>
          </w:p>
        </w:tc>
        <w:tc>
          <w:tcPr>
            <w:tcW w:w="1245" w:type="dxa"/>
            <w:vAlign w:val="center"/>
          </w:tcPr>
          <w:p>
            <w:pPr>
              <w:adjustRightInd w:val="0"/>
              <w:snapToGrid w:val="0"/>
              <w:spacing w:line="360" w:lineRule="auto"/>
              <w:jc w:val="left"/>
              <w:rPr>
                <w:rFonts w:ascii="宋体" w:hAnsi="宋体" w:cs="宋体"/>
                <w:color w:val="000000"/>
                <w:sz w:val="24"/>
              </w:rPr>
            </w:pPr>
          </w:p>
        </w:tc>
        <w:tc>
          <w:tcPr>
            <w:tcW w:w="887" w:type="dxa"/>
            <w:vAlign w:val="center"/>
          </w:tcPr>
          <w:p>
            <w:pPr>
              <w:adjustRightInd w:val="0"/>
              <w:snapToGrid w:val="0"/>
              <w:spacing w:line="360" w:lineRule="auto"/>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5" w:type="dxa"/>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2823" w:type="dxa"/>
            <w:vAlign w:val="center"/>
          </w:tcPr>
          <w:p>
            <w:pPr>
              <w:adjustRightInd w:val="0"/>
              <w:snapToGrid w:val="0"/>
              <w:spacing w:line="360" w:lineRule="auto"/>
              <w:jc w:val="center"/>
              <w:rPr>
                <w:rFonts w:ascii="宋体" w:hAnsi="宋体" w:cs="宋体"/>
                <w:color w:val="000000"/>
                <w:sz w:val="24"/>
              </w:rPr>
            </w:pPr>
          </w:p>
        </w:tc>
        <w:tc>
          <w:tcPr>
            <w:tcW w:w="2850" w:type="dxa"/>
            <w:vAlign w:val="center"/>
          </w:tcPr>
          <w:p>
            <w:pPr>
              <w:adjustRightInd w:val="0"/>
              <w:snapToGrid w:val="0"/>
              <w:spacing w:line="360" w:lineRule="auto"/>
              <w:jc w:val="left"/>
              <w:rPr>
                <w:rFonts w:ascii="宋体" w:hAnsi="宋体" w:cs="宋体"/>
                <w:color w:val="000000"/>
                <w:sz w:val="24"/>
              </w:rPr>
            </w:pPr>
          </w:p>
        </w:tc>
        <w:tc>
          <w:tcPr>
            <w:tcW w:w="1245" w:type="dxa"/>
            <w:vAlign w:val="center"/>
          </w:tcPr>
          <w:p>
            <w:pPr>
              <w:adjustRightInd w:val="0"/>
              <w:snapToGrid w:val="0"/>
              <w:spacing w:line="360" w:lineRule="auto"/>
              <w:jc w:val="left"/>
              <w:rPr>
                <w:rFonts w:ascii="宋体" w:hAnsi="宋体" w:cs="宋体"/>
                <w:color w:val="000000"/>
                <w:sz w:val="24"/>
              </w:rPr>
            </w:pPr>
          </w:p>
        </w:tc>
        <w:tc>
          <w:tcPr>
            <w:tcW w:w="887" w:type="dxa"/>
            <w:vAlign w:val="center"/>
          </w:tcPr>
          <w:p>
            <w:pPr>
              <w:adjustRightInd w:val="0"/>
              <w:snapToGrid w:val="0"/>
              <w:spacing w:line="360" w:lineRule="auto"/>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5" w:type="dxa"/>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2823" w:type="dxa"/>
            <w:vAlign w:val="center"/>
          </w:tcPr>
          <w:p>
            <w:pPr>
              <w:adjustRightInd w:val="0"/>
              <w:snapToGrid w:val="0"/>
              <w:spacing w:line="360" w:lineRule="auto"/>
              <w:jc w:val="center"/>
              <w:rPr>
                <w:rFonts w:ascii="宋体" w:hAnsi="宋体" w:cs="宋体"/>
                <w:color w:val="000000"/>
                <w:sz w:val="24"/>
              </w:rPr>
            </w:pPr>
          </w:p>
        </w:tc>
        <w:tc>
          <w:tcPr>
            <w:tcW w:w="2850" w:type="dxa"/>
            <w:vAlign w:val="center"/>
          </w:tcPr>
          <w:p>
            <w:pPr>
              <w:adjustRightInd w:val="0"/>
              <w:snapToGrid w:val="0"/>
              <w:spacing w:line="360" w:lineRule="auto"/>
              <w:jc w:val="left"/>
              <w:rPr>
                <w:rFonts w:ascii="宋体" w:hAnsi="宋体" w:cs="宋体"/>
                <w:color w:val="000000"/>
                <w:sz w:val="24"/>
              </w:rPr>
            </w:pPr>
          </w:p>
        </w:tc>
        <w:tc>
          <w:tcPr>
            <w:tcW w:w="1245" w:type="dxa"/>
            <w:vAlign w:val="center"/>
          </w:tcPr>
          <w:p>
            <w:pPr>
              <w:adjustRightInd w:val="0"/>
              <w:snapToGrid w:val="0"/>
              <w:spacing w:line="360" w:lineRule="auto"/>
              <w:jc w:val="left"/>
              <w:rPr>
                <w:rFonts w:ascii="宋体" w:hAnsi="宋体" w:cs="宋体"/>
                <w:color w:val="000000"/>
                <w:sz w:val="24"/>
              </w:rPr>
            </w:pPr>
          </w:p>
        </w:tc>
        <w:tc>
          <w:tcPr>
            <w:tcW w:w="887" w:type="dxa"/>
            <w:vAlign w:val="center"/>
          </w:tcPr>
          <w:p>
            <w:pPr>
              <w:adjustRightInd w:val="0"/>
              <w:snapToGrid w:val="0"/>
              <w:spacing w:line="360" w:lineRule="auto"/>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5" w:type="dxa"/>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w:t>
            </w:r>
          </w:p>
        </w:tc>
        <w:tc>
          <w:tcPr>
            <w:tcW w:w="2823" w:type="dxa"/>
            <w:vAlign w:val="center"/>
          </w:tcPr>
          <w:p>
            <w:pPr>
              <w:adjustRightInd w:val="0"/>
              <w:snapToGrid w:val="0"/>
              <w:spacing w:line="360" w:lineRule="auto"/>
              <w:jc w:val="left"/>
              <w:rPr>
                <w:rFonts w:ascii="宋体" w:hAnsi="宋体" w:cs="宋体"/>
                <w:color w:val="000000"/>
                <w:sz w:val="24"/>
              </w:rPr>
            </w:pPr>
          </w:p>
        </w:tc>
        <w:tc>
          <w:tcPr>
            <w:tcW w:w="2850" w:type="dxa"/>
            <w:vAlign w:val="center"/>
          </w:tcPr>
          <w:p>
            <w:pPr>
              <w:adjustRightInd w:val="0"/>
              <w:snapToGrid w:val="0"/>
              <w:spacing w:line="360" w:lineRule="auto"/>
              <w:jc w:val="left"/>
              <w:rPr>
                <w:rFonts w:ascii="宋体" w:hAnsi="宋体" w:cs="宋体"/>
                <w:color w:val="000000"/>
                <w:sz w:val="24"/>
              </w:rPr>
            </w:pPr>
          </w:p>
        </w:tc>
        <w:tc>
          <w:tcPr>
            <w:tcW w:w="1245" w:type="dxa"/>
            <w:vAlign w:val="center"/>
          </w:tcPr>
          <w:p>
            <w:pPr>
              <w:adjustRightInd w:val="0"/>
              <w:snapToGrid w:val="0"/>
              <w:spacing w:line="360" w:lineRule="auto"/>
              <w:jc w:val="left"/>
              <w:rPr>
                <w:rFonts w:ascii="宋体" w:hAnsi="宋体" w:cs="宋体"/>
                <w:color w:val="000000"/>
                <w:sz w:val="24"/>
              </w:rPr>
            </w:pPr>
          </w:p>
        </w:tc>
        <w:tc>
          <w:tcPr>
            <w:tcW w:w="887" w:type="dxa"/>
            <w:vAlign w:val="center"/>
          </w:tcPr>
          <w:p>
            <w:pPr>
              <w:adjustRightInd w:val="0"/>
              <w:snapToGrid w:val="0"/>
              <w:spacing w:line="360" w:lineRule="auto"/>
              <w:jc w:val="left"/>
              <w:rPr>
                <w:rFonts w:ascii="宋体" w:hAnsi="宋体" w:cs="宋体"/>
                <w:color w:val="000000"/>
                <w:sz w:val="24"/>
              </w:rPr>
            </w:pPr>
          </w:p>
        </w:tc>
      </w:tr>
    </w:tbl>
    <w:p>
      <w:pPr>
        <w:spacing w:line="360" w:lineRule="auto"/>
        <w:ind w:firstLine="482" w:firstLineChars="200"/>
        <w:rPr>
          <w:rFonts w:ascii="宋体" w:hAnsi="宋体" w:cs="宋体"/>
          <w:b/>
          <w:bCs/>
          <w:sz w:val="24"/>
        </w:rPr>
      </w:pPr>
      <w:r>
        <w:rPr>
          <w:rFonts w:hint="eastAsia" w:ascii="宋体" w:hAnsi="宋体" w:cs="宋体"/>
          <w:b/>
          <w:bCs/>
          <w:sz w:val="24"/>
        </w:rPr>
        <w:t>备注：</w:t>
      </w:r>
    </w:p>
    <w:p>
      <w:pPr>
        <w:spacing w:line="360" w:lineRule="auto"/>
        <w:ind w:firstLine="482" w:firstLineChars="200"/>
        <w:rPr>
          <w:rFonts w:ascii="宋体" w:hAnsi="宋体" w:cs="宋体"/>
          <w:b/>
          <w:bCs/>
          <w:sz w:val="24"/>
        </w:rPr>
      </w:pPr>
      <w:r>
        <w:rPr>
          <w:rFonts w:hint="eastAsia" w:ascii="宋体" w:hAnsi="宋体" w:cs="宋体"/>
          <w:b/>
          <w:bCs/>
          <w:sz w:val="24"/>
        </w:rPr>
        <w:t>（1）偏离情况项填写“正”、“负”或“无”，说明项中填写原因。</w:t>
      </w:r>
    </w:p>
    <w:p>
      <w:pPr>
        <w:spacing w:line="360" w:lineRule="auto"/>
        <w:ind w:firstLine="482" w:firstLineChars="200"/>
        <w:rPr>
          <w:rFonts w:ascii="宋体" w:hAnsi="宋体" w:cs="宋体"/>
          <w:b/>
          <w:bCs/>
          <w:sz w:val="24"/>
        </w:rPr>
      </w:pPr>
      <w:r>
        <w:rPr>
          <w:rFonts w:hint="eastAsia" w:ascii="宋体" w:hAnsi="宋体" w:cs="宋体"/>
          <w:b/>
          <w:bCs/>
          <w:sz w:val="24"/>
        </w:rPr>
        <w:t>（2）对“第四章 采购内容及要求 三、</w:t>
      </w:r>
      <w:r>
        <w:rPr>
          <w:rFonts w:hint="eastAsia" w:ascii="宋体" w:hAnsi="宋体" w:cs="宋体"/>
          <w:b/>
          <w:sz w:val="24"/>
        </w:rPr>
        <w:t>技术指标术要求</w:t>
      </w:r>
      <w:r>
        <w:rPr>
          <w:rFonts w:hint="eastAsia" w:ascii="宋体" w:hAnsi="宋体" w:cs="宋体"/>
          <w:b/>
          <w:bCs/>
          <w:sz w:val="24"/>
        </w:rPr>
        <w:t>”中的各项进行逐条响应并后附相关证明材料。</w:t>
      </w:r>
    </w:p>
    <w:p>
      <w:pPr>
        <w:pStyle w:val="3"/>
        <w:spacing w:line="500" w:lineRule="exact"/>
        <w:ind w:firstLine="482" w:firstLineChars="200"/>
        <w:rPr>
          <w:rFonts w:ascii="宋体" w:hAnsi="宋体" w:cs="宋体"/>
          <w:sz w:val="24"/>
          <w:szCs w:val="24"/>
        </w:rPr>
      </w:pPr>
    </w:p>
    <w:p>
      <w:pPr>
        <w:pStyle w:val="48"/>
        <w:spacing w:before="0" w:after="0" w:line="360" w:lineRule="auto"/>
        <w:ind w:firstLine="480" w:firstLineChars="200"/>
        <w:jc w:val="left"/>
        <w:rPr>
          <w:rFonts w:ascii="宋体" w:hAnsi="宋体" w:cs="LLILPH+??‹??"/>
          <w:sz w:val="24"/>
          <w:szCs w:val="24"/>
          <w:lang w:eastAsia="zh-CN"/>
        </w:rPr>
      </w:pPr>
    </w:p>
    <w:p>
      <w:pPr>
        <w:pStyle w:val="48"/>
        <w:spacing w:before="0" w:after="0" w:line="360" w:lineRule="auto"/>
        <w:ind w:firstLine="480" w:firstLineChars="200"/>
        <w:jc w:val="left"/>
        <w:rPr>
          <w:rFonts w:ascii="宋体" w:hAnsi="宋体" w:cs="LLILPH+??‹??"/>
          <w:sz w:val="24"/>
          <w:szCs w:val="24"/>
          <w:lang w:eastAsia="zh-CN"/>
        </w:rPr>
      </w:pPr>
      <w:r>
        <w:rPr>
          <w:rFonts w:hint="eastAsia" w:ascii="宋体" w:hAnsi="宋体" w:cs="LLILPH+??‹??"/>
          <w:sz w:val="24"/>
          <w:szCs w:val="24"/>
          <w:lang w:eastAsia="zh-CN"/>
        </w:rPr>
        <w:t>投 标 人：</w:t>
      </w:r>
      <w:r>
        <w:rPr>
          <w:rFonts w:hint="eastAsia" w:ascii="宋体" w:hAnsi="宋体" w:cs="LLILPH+??‹??"/>
          <w:sz w:val="24"/>
          <w:szCs w:val="24"/>
          <w:u w:val="single"/>
          <w:lang w:eastAsia="zh-CN"/>
        </w:rPr>
        <w:t xml:space="preserve">                    </w:t>
      </w:r>
      <w:r>
        <w:rPr>
          <w:rFonts w:hint="eastAsia" w:ascii="宋体" w:hAnsi="宋体" w:cs="LLILPH+??‹??"/>
          <w:sz w:val="24"/>
          <w:szCs w:val="24"/>
          <w:lang w:eastAsia="zh-CN"/>
        </w:rPr>
        <w:t>（单位公章）</w:t>
      </w:r>
    </w:p>
    <w:p>
      <w:pPr>
        <w:pStyle w:val="48"/>
        <w:spacing w:before="0" w:after="0" w:line="360" w:lineRule="auto"/>
        <w:ind w:firstLine="480" w:firstLineChars="200"/>
        <w:jc w:val="left"/>
        <w:rPr>
          <w:rFonts w:ascii="宋体" w:hAnsi="宋体" w:cs="LLILPH+??‹??"/>
          <w:sz w:val="24"/>
          <w:szCs w:val="24"/>
          <w:lang w:eastAsia="zh-CN"/>
        </w:rPr>
      </w:pPr>
      <w:r>
        <w:rPr>
          <w:rFonts w:hint="eastAsia" w:ascii="宋体" w:hAnsi="宋体" w:cs="LLILPH+??‹??"/>
          <w:sz w:val="24"/>
          <w:szCs w:val="24"/>
          <w:lang w:eastAsia="zh-CN"/>
        </w:rPr>
        <w:t>法定代表人或委托代理人：</w:t>
      </w:r>
      <w:r>
        <w:rPr>
          <w:rFonts w:hint="eastAsia" w:ascii="宋体" w:hAnsi="宋体" w:cs="LLILPH+??‹??"/>
          <w:sz w:val="24"/>
          <w:szCs w:val="24"/>
          <w:u w:val="single"/>
          <w:lang w:eastAsia="zh-CN"/>
        </w:rPr>
        <w:t xml:space="preserve">         </w:t>
      </w:r>
      <w:r>
        <w:rPr>
          <w:rFonts w:hint="eastAsia" w:ascii="宋体" w:hAnsi="宋体" w:cs="LLILPH+??‹??"/>
          <w:sz w:val="24"/>
          <w:szCs w:val="24"/>
          <w:lang w:eastAsia="zh-CN"/>
        </w:rPr>
        <w:t>（签字或盖章）</w:t>
      </w:r>
    </w:p>
    <w:p>
      <w:pPr>
        <w:spacing w:line="360" w:lineRule="auto"/>
        <w:ind w:firstLine="480" w:firstLineChars="200"/>
        <w:rPr>
          <w:rFonts w:ascii="宋体" w:hAnsi="宋体" w:cs="LLILPH+??‹??"/>
          <w:sz w:val="24"/>
        </w:rPr>
      </w:pPr>
      <w:r>
        <w:rPr>
          <w:rFonts w:hint="eastAsia" w:ascii="宋体" w:hAnsi="宋体" w:cs="LLILPH+??‹??"/>
          <w:sz w:val="24"/>
        </w:rPr>
        <w:t>年    月    日</w:t>
      </w:r>
    </w:p>
    <w:p>
      <w:pPr>
        <w:pStyle w:val="7"/>
        <w:widowControl/>
        <w:ind w:firstLine="420"/>
        <w:rPr>
          <w:rFonts w:ascii="宋体" w:hAnsi="宋体" w:cs="宋体"/>
          <w:b/>
          <w:bCs/>
          <w:sz w:val="36"/>
          <w:szCs w:val="36"/>
        </w:rPr>
      </w:pPr>
      <w:r>
        <w:rPr>
          <w:rFonts w:hint="eastAsia" w:ascii="宋体" w:hAnsi="宋体" w:cs="宋体"/>
          <w:b/>
          <w:bCs/>
          <w:sz w:val="24"/>
        </w:rPr>
        <w:br w:type="page"/>
      </w:r>
      <w:r>
        <w:rPr>
          <w:rFonts w:hint="eastAsia" w:ascii="宋体" w:hAnsi="宋体" w:cs="宋体"/>
          <w:b/>
          <w:bCs/>
          <w:sz w:val="36"/>
          <w:szCs w:val="36"/>
        </w:rPr>
        <w:t>第三部分 商务标</w:t>
      </w:r>
    </w:p>
    <w:p>
      <w:pPr>
        <w:jc w:val="center"/>
        <w:outlineLvl w:val="2"/>
        <w:rPr>
          <w:rFonts w:ascii="宋体" w:hAnsi="宋体" w:cs="宋体"/>
          <w:bCs/>
          <w:sz w:val="28"/>
          <w:szCs w:val="28"/>
        </w:rPr>
      </w:pPr>
      <w:r>
        <w:rPr>
          <w:rFonts w:hint="eastAsia" w:ascii="宋体" w:hAnsi="宋体" w:cs="宋体"/>
          <w:bCs/>
          <w:sz w:val="28"/>
          <w:szCs w:val="28"/>
        </w:rPr>
        <w:br w:type="page"/>
      </w:r>
      <w:r>
        <w:rPr>
          <w:rFonts w:hint="eastAsia" w:ascii="宋体" w:hAnsi="宋体" w:cs="宋体"/>
          <w:b/>
          <w:bCs/>
          <w:sz w:val="28"/>
          <w:szCs w:val="28"/>
        </w:rPr>
        <w:t>一、投标函</w:t>
      </w:r>
      <w:bookmarkEnd w:id="107"/>
      <w:bookmarkEnd w:id="108"/>
      <w:bookmarkEnd w:id="109"/>
      <w:bookmarkEnd w:id="110"/>
      <w:bookmarkEnd w:id="111"/>
      <w:bookmarkEnd w:id="112"/>
    </w:p>
    <w:p>
      <w:pPr>
        <w:pStyle w:val="14"/>
        <w:spacing w:before="0" w:beforeAutospacing="0" w:after="0" w:afterAutospacing="0" w:line="360" w:lineRule="auto"/>
        <w:rPr>
          <w:rFonts w:hint="default"/>
          <w:u w:val="single"/>
        </w:rPr>
      </w:pPr>
      <w:r>
        <w:t>致：</w:t>
      </w:r>
      <w:r>
        <w:rPr>
          <w:u w:val="single"/>
        </w:rPr>
        <w:t xml:space="preserve"> （采购人名称）   </w:t>
      </w:r>
    </w:p>
    <w:p>
      <w:pPr>
        <w:adjustRightInd w:val="0"/>
        <w:snapToGrid w:val="0"/>
        <w:spacing w:line="312" w:lineRule="auto"/>
        <w:ind w:firstLine="480" w:firstLineChars="200"/>
        <w:rPr>
          <w:sz w:val="24"/>
        </w:rPr>
      </w:pPr>
      <w:r>
        <w:rPr>
          <w:rFonts w:hint="eastAsia" w:ascii="Times New Roman" w:hAnsi="Times New Roman" w:cs="宋体"/>
          <w:sz w:val="24"/>
        </w:rPr>
        <w:t>根据已收到</w:t>
      </w:r>
      <w:r>
        <w:rPr>
          <w:rFonts w:ascii="Times New Roman" w:hAnsi="Times New Roman"/>
          <w:snapToGrid w:val="0"/>
          <w:sz w:val="24"/>
          <w:u w:val="single"/>
        </w:rPr>
        <w:t xml:space="preserve"> </w:t>
      </w:r>
      <w:r>
        <w:rPr>
          <w:rFonts w:hint="eastAsia" w:ascii="宋体" w:hAnsi="宋体" w:cs="宋体"/>
          <w:b/>
          <w:bCs/>
          <w:sz w:val="24"/>
          <w:u w:val="single"/>
        </w:rPr>
        <w:t xml:space="preserve"> 陕西省高速公路收费中心联网收费系统业务支撑平台资源扩充采购项目（项目编号：SXTD-ZB2021-1062）</w:t>
      </w:r>
      <w:r>
        <w:rPr>
          <w:rFonts w:hint="eastAsia" w:ascii="Times New Roman" w:hAnsi="Times New Roman" w:cs="宋体"/>
          <w:sz w:val="24"/>
        </w:rPr>
        <w:t>的招标文件，遵照《中华人民共和国政府采购法》、《中华人民共和国招标投标法》、《中华人民共和国招标投标法实施条例》、《中华人民共和国政府采购法实施条例》等有关规定，经踏勘本项目现场和仔细研究本招标文件、答疑纪要（如有）、合同条款及其他有关文件后，决定参加该项目投标活动，并参与投标会议。为此，我方郑重声明以下诸点，并负法律责任。</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1.愿意按照招标文件中的所有采购内容及要求，完成本项目服务需求所发生的一切费用的总报价。投标总报价为（以开标一览表为准）；</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2.我方提交的投标文件，正本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份，电子版</w:t>
      </w:r>
      <w:r>
        <w:rPr>
          <w:rFonts w:hint="eastAsia" w:ascii="宋体" w:hAnsi="宋体" w:cs="宋体"/>
          <w:sz w:val="24"/>
          <w:u w:val="single"/>
        </w:rPr>
        <w:t xml:space="preserve">  </w:t>
      </w:r>
      <w:r>
        <w:rPr>
          <w:rFonts w:hint="eastAsia" w:ascii="宋体" w:hAnsi="宋体" w:cs="宋体"/>
          <w:sz w:val="24"/>
        </w:rPr>
        <w:t>份。</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3.如果我们投标文件被接受，我们将履行招标文件中规定的每一项要求，按期、按质、按量完成任务。</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4.我们理解，最低报价不是中标的唯一条件。</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5.我们愿按《</w:t>
      </w:r>
      <w:r>
        <w:rPr>
          <w:rFonts w:hint="eastAsia" w:ascii="宋体" w:hAnsi="宋体" w:cs="宋体"/>
          <w:sz w:val="24"/>
          <w:lang w:eastAsia="zh-CN"/>
        </w:rPr>
        <w:t>中华人民共和国民法</w:t>
      </w:r>
      <w:r>
        <w:rPr>
          <w:rFonts w:hint="eastAsia" w:ascii="宋体" w:hAnsi="宋体" w:cs="宋体"/>
          <w:sz w:val="24"/>
        </w:rPr>
        <w:t>典》履行自己的全部责任。</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6.我们同意按招标文件规定，遵守贵公司有关规定和收费标准。</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7.我方的投标文件有效期为开标之日起</w:t>
      </w:r>
      <w:r>
        <w:rPr>
          <w:rFonts w:hint="eastAsia" w:ascii="宋体" w:hAnsi="宋体" w:cs="宋体"/>
          <w:sz w:val="24"/>
          <w:u w:val="single"/>
        </w:rPr>
        <w:t xml:space="preserve">           </w:t>
      </w:r>
      <w:r>
        <w:rPr>
          <w:rFonts w:hint="eastAsia" w:ascii="宋体" w:hAnsi="宋体" w:cs="宋体"/>
          <w:sz w:val="24"/>
        </w:rPr>
        <w:t>（日历天）。</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8.我方完全接受并响应招标文件、答疑文件</w:t>
      </w:r>
      <w:bookmarkStart w:id="179" w:name="_GoBack"/>
      <w:bookmarkEnd w:id="179"/>
      <w:r>
        <w:rPr>
          <w:rFonts w:hint="eastAsia" w:ascii="宋体" w:hAnsi="宋体" w:cs="宋体"/>
          <w:sz w:val="24"/>
        </w:rPr>
        <w:t>（如有）、评标办法等关于本项目相关文件的要求，严格遵守招标过程的时间安排、程序安排等细节，对此无任何异议。</w:t>
      </w:r>
    </w:p>
    <w:p>
      <w:pPr>
        <w:spacing w:line="360" w:lineRule="auto"/>
        <w:ind w:firstLine="420"/>
        <w:rPr>
          <w:rFonts w:ascii="宋体" w:hAnsi="宋体" w:cs="宋体"/>
          <w:sz w:val="24"/>
        </w:rPr>
      </w:pPr>
      <w:r>
        <w:rPr>
          <w:rFonts w:hint="eastAsia" w:ascii="宋体" w:hAnsi="宋体" w:cs="宋体"/>
          <w:sz w:val="24"/>
        </w:rPr>
        <w:t>9.所有关于本投标文件的函电，请按下列地址联系。</w:t>
      </w:r>
    </w:p>
    <w:p>
      <w:pPr>
        <w:adjustRightInd w:val="0"/>
        <w:snapToGrid w:val="0"/>
        <w:spacing w:line="312" w:lineRule="auto"/>
        <w:ind w:firstLine="211"/>
        <w:jc w:val="left"/>
        <w:rPr>
          <w:rFonts w:ascii="宋体" w:hAnsi="宋体" w:cs="宋体"/>
          <w:sz w:val="24"/>
        </w:rPr>
      </w:pPr>
      <w:r>
        <w:rPr>
          <w:rFonts w:hint="eastAsia" w:ascii="宋体" w:hAnsi="宋体" w:cs="宋体"/>
          <w:sz w:val="24"/>
        </w:rPr>
        <w:tab/>
      </w:r>
    </w:p>
    <w:p>
      <w:pPr>
        <w:adjustRightInd w:val="0"/>
        <w:snapToGrid w:val="0"/>
        <w:spacing w:line="312" w:lineRule="auto"/>
        <w:ind w:firstLine="211"/>
        <w:jc w:val="left"/>
        <w:rPr>
          <w:rFonts w:ascii="宋体" w:hAnsi="宋体" w:cs="宋体"/>
          <w:sz w:val="24"/>
        </w:rPr>
      </w:pPr>
      <w:r>
        <w:rPr>
          <w:rFonts w:hint="eastAsia" w:ascii="宋体" w:hAnsi="宋体" w:cs="宋体"/>
          <w:sz w:val="24"/>
        </w:rPr>
        <w:t>投标人全称：</w:t>
      </w:r>
      <w:r>
        <w:rPr>
          <w:rFonts w:hint="eastAsia" w:ascii="宋体" w:hAnsi="宋体" w:cs="宋体"/>
          <w:sz w:val="24"/>
          <w:u w:val="single"/>
        </w:rPr>
        <w:t xml:space="preserve">                     </w:t>
      </w:r>
      <w:r>
        <w:rPr>
          <w:rFonts w:hint="eastAsia" w:ascii="宋体" w:hAnsi="宋体" w:cs="宋体"/>
          <w:sz w:val="24"/>
        </w:rPr>
        <w:t>（盖章）</w:t>
      </w:r>
    </w:p>
    <w:p>
      <w:pPr>
        <w:adjustRightInd w:val="0"/>
        <w:snapToGrid w:val="0"/>
        <w:spacing w:line="312" w:lineRule="auto"/>
        <w:ind w:firstLine="211"/>
        <w:jc w:val="left"/>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w:t>
      </w:r>
    </w:p>
    <w:p>
      <w:pPr>
        <w:adjustRightInd w:val="0"/>
        <w:snapToGrid w:val="0"/>
        <w:spacing w:line="312" w:lineRule="auto"/>
        <w:ind w:firstLine="211"/>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adjustRightInd w:val="0"/>
        <w:snapToGrid w:val="0"/>
        <w:spacing w:line="312" w:lineRule="auto"/>
        <w:ind w:firstLine="211"/>
        <w:jc w:val="left"/>
        <w:rPr>
          <w:rFonts w:ascii="宋体" w:hAnsi="宋体" w:cs="宋体"/>
          <w:sz w:val="24"/>
          <w:u w:val="single"/>
        </w:rPr>
      </w:pPr>
      <w:r>
        <w:rPr>
          <w:rFonts w:hint="eastAsia" w:ascii="宋体" w:hAnsi="宋体" w:cs="宋体"/>
          <w:sz w:val="24"/>
        </w:rPr>
        <w:t>开 户 行：</w:t>
      </w:r>
      <w:r>
        <w:rPr>
          <w:rFonts w:hint="eastAsia" w:ascii="宋体" w:hAnsi="宋体" w:cs="宋体"/>
          <w:sz w:val="24"/>
          <w:u w:val="single"/>
        </w:rPr>
        <w:t xml:space="preserve">                              </w:t>
      </w:r>
    </w:p>
    <w:p>
      <w:pPr>
        <w:adjustRightInd w:val="0"/>
        <w:snapToGrid w:val="0"/>
        <w:spacing w:line="312" w:lineRule="auto"/>
        <w:ind w:firstLine="211"/>
        <w:jc w:val="left"/>
        <w:rPr>
          <w:rFonts w:ascii="宋体" w:hAnsi="宋体" w:cs="宋体"/>
          <w:sz w:val="24"/>
        </w:rPr>
      </w:pPr>
      <w:r>
        <w:rPr>
          <w:rFonts w:hint="eastAsia" w:ascii="宋体" w:hAnsi="宋体" w:cs="宋体"/>
          <w:sz w:val="24"/>
        </w:rPr>
        <w:t>帐    号：</w:t>
      </w:r>
      <w:r>
        <w:rPr>
          <w:rFonts w:hint="eastAsia" w:ascii="宋体" w:hAnsi="宋体" w:cs="宋体"/>
          <w:sz w:val="24"/>
          <w:u w:val="single"/>
        </w:rPr>
        <w:t xml:space="preserve">                              </w:t>
      </w:r>
    </w:p>
    <w:p>
      <w:pPr>
        <w:adjustRightInd w:val="0"/>
        <w:snapToGrid w:val="0"/>
        <w:spacing w:line="312" w:lineRule="auto"/>
        <w:ind w:firstLine="211"/>
        <w:jc w:val="left"/>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pPr>
        <w:adjustRightInd w:val="0"/>
        <w:snapToGrid w:val="0"/>
        <w:spacing w:line="312" w:lineRule="auto"/>
        <w:ind w:firstLine="211"/>
        <w:jc w:val="left"/>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pPr>
        <w:adjustRightInd w:val="0"/>
        <w:snapToGrid w:val="0"/>
        <w:spacing w:line="312" w:lineRule="auto"/>
        <w:ind w:firstLine="211"/>
        <w:jc w:val="left"/>
        <w:rPr>
          <w:rFonts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w:t>
      </w:r>
    </w:p>
    <w:p>
      <w:pPr>
        <w:adjustRightInd w:val="0"/>
        <w:snapToGrid w:val="0"/>
        <w:spacing w:line="312" w:lineRule="auto"/>
        <w:ind w:firstLine="211"/>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4"/>
        <w:spacing w:line="360" w:lineRule="auto"/>
        <w:rPr>
          <w:rFonts w:hint="default"/>
        </w:rPr>
      </w:pPr>
    </w:p>
    <w:p>
      <w:pPr>
        <w:pStyle w:val="14"/>
        <w:spacing w:before="0" w:beforeAutospacing="0" w:after="0" w:afterAutospacing="0" w:line="360" w:lineRule="auto"/>
        <w:ind w:firstLine="480" w:firstLineChars="200"/>
        <w:rPr>
          <w:rFonts w:hint="default"/>
        </w:rPr>
      </w:pPr>
    </w:p>
    <w:p>
      <w:pPr>
        <w:rPr>
          <w:rFonts w:ascii="宋体" w:hAnsi="宋体" w:cs="宋体"/>
          <w:b/>
          <w:bCs/>
          <w:sz w:val="32"/>
          <w:szCs w:val="32"/>
        </w:rPr>
        <w:sectPr>
          <w:pgSz w:w="11906" w:h="16838"/>
          <w:pgMar w:top="1417" w:right="1417" w:bottom="1417" w:left="1702" w:header="851" w:footer="992" w:gutter="0"/>
          <w:cols w:space="720" w:num="1"/>
          <w:docGrid w:type="lines" w:linePitch="312" w:charSpace="0"/>
        </w:sectPr>
      </w:pPr>
    </w:p>
    <w:p>
      <w:pPr>
        <w:keepLines/>
        <w:jc w:val="center"/>
        <w:outlineLvl w:val="2"/>
        <w:rPr>
          <w:rFonts w:ascii="宋体" w:hAnsi="宋体" w:cs="宋体"/>
          <w:b/>
          <w:bCs/>
          <w:sz w:val="28"/>
          <w:szCs w:val="28"/>
        </w:rPr>
      </w:pPr>
      <w:bookmarkStart w:id="152" w:name="_Toc3994"/>
      <w:bookmarkStart w:id="153" w:name="_Toc420591668"/>
      <w:bookmarkStart w:id="154" w:name="_Toc32443"/>
      <w:bookmarkStart w:id="155" w:name="_Toc425240482"/>
      <w:bookmarkStart w:id="156" w:name="_Toc421778387"/>
      <w:bookmarkStart w:id="157" w:name="_Toc3816"/>
      <w:r>
        <w:rPr>
          <w:rFonts w:hint="eastAsia" w:ascii="宋体" w:hAnsi="宋体" w:cs="宋体"/>
          <w:b/>
          <w:bCs/>
          <w:sz w:val="28"/>
          <w:szCs w:val="28"/>
        </w:rPr>
        <w:t>二、开标一览表</w:t>
      </w:r>
      <w:bookmarkEnd w:id="152"/>
      <w:bookmarkEnd w:id="153"/>
      <w:bookmarkEnd w:id="154"/>
      <w:bookmarkEnd w:id="155"/>
      <w:bookmarkEnd w:id="156"/>
      <w:bookmarkEnd w:id="157"/>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项目名称</w:t>
            </w:r>
          </w:p>
        </w:tc>
        <w:tc>
          <w:tcPr>
            <w:tcW w:w="6384" w:type="dxa"/>
            <w:tcBorders>
              <w:top w:val="single" w:color="auto" w:sz="4" w:space="0"/>
              <w:left w:val="single" w:color="auto" w:sz="4" w:space="0"/>
              <w:bottom w:val="single" w:color="auto" w:sz="4" w:space="0"/>
              <w:right w:val="single" w:color="auto" w:sz="4" w:space="0"/>
            </w:tcBorders>
            <w:vAlign w:val="center"/>
          </w:tcPr>
          <w:p>
            <w:pPr>
              <w:ind w:left="1440" w:hanging="1440" w:hangingChars="600"/>
              <w:jc w:val="left"/>
              <w:rPr>
                <w:rFonts w:ascii="宋体" w:hAnsi="宋体" w:cs="宋体"/>
                <w:sz w:val="24"/>
              </w:rPr>
            </w:pPr>
            <w:r>
              <w:rPr>
                <w:rFonts w:hint="eastAsia" w:ascii="宋体" w:hAnsi="宋体" w:cs="宋体"/>
                <w:sz w:val="24"/>
              </w:rPr>
              <w:t xml:space="preserve"> 陕西省高速公路收费中心联网收费系统业务支撑平台资源扩充采购项目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项目编号</w:t>
            </w:r>
          </w:p>
        </w:tc>
        <w:tc>
          <w:tcPr>
            <w:tcW w:w="63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SXTD-ZB2021-1062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投标总报价（元）</w:t>
            </w:r>
          </w:p>
        </w:tc>
        <w:tc>
          <w:tcPr>
            <w:tcW w:w="63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63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服务工期</w:t>
            </w:r>
          </w:p>
        </w:tc>
        <w:tc>
          <w:tcPr>
            <w:tcW w:w="63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质量</w:t>
            </w:r>
          </w:p>
        </w:tc>
        <w:tc>
          <w:tcPr>
            <w:tcW w:w="63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xml:space="preserve">项目经理       </w:t>
            </w:r>
          </w:p>
        </w:tc>
        <w:tc>
          <w:tcPr>
            <w:tcW w:w="63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bl>
    <w:p>
      <w:pPr>
        <w:spacing w:line="120" w:lineRule="exact"/>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注:1.投标人应按招标文件的要求，根据实际情况进行报价。投标文件内不得含有任何对本报价进行修改的其他说明，否则将被视为无效投标；</w:t>
      </w:r>
    </w:p>
    <w:p>
      <w:pPr>
        <w:spacing w:line="360" w:lineRule="auto"/>
        <w:ind w:firstLine="360" w:firstLineChars="150"/>
        <w:rPr>
          <w:rFonts w:ascii="宋体" w:hAnsi="宋体" w:cs="宋体"/>
          <w:sz w:val="24"/>
        </w:rPr>
      </w:pPr>
      <w:r>
        <w:rPr>
          <w:rFonts w:hint="eastAsia" w:ascii="宋体" w:hAnsi="宋体" w:cs="宋体"/>
          <w:sz w:val="24"/>
        </w:rPr>
        <w:t>2.投标报价包括了投标人完成本项目所需的一切工作内容而发生的所有直接费用、间接费用、其它费用、税金等全部费用和投标人要求获得的利润以及应由投标人承担的义务、责任和风险所发生的一切费用；</w:t>
      </w:r>
    </w:p>
    <w:p>
      <w:pPr>
        <w:spacing w:line="360" w:lineRule="auto"/>
        <w:ind w:firstLine="360" w:firstLineChars="150"/>
        <w:rPr>
          <w:rFonts w:ascii="宋体" w:hAnsi="宋体" w:cs="宋体"/>
          <w:sz w:val="24"/>
        </w:rPr>
      </w:pPr>
      <w:r>
        <w:rPr>
          <w:rFonts w:hint="eastAsia" w:ascii="宋体" w:hAnsi="宋体" w:cs="宋体"/>
          <w:sz w:val="24"/>
        </w:rPr>
        <w:t>3.本投标价为固定不变价；</w:t>
      </w:r>
    </w:p>
    <w:p>
      <w:pPr>
        <w:spacing w:line="360" w:lineRule="auto"/>
        <w:ind w:firstLine="360" w:firstLineChars="150"/>
        <w:rPr>
          <w:rFonts w:ascii="宋体" w:hAnsi="宋体" w:cs="宋体"/>
          <w:sz w:val="24"/>
        </w:rPr>
      </w:pPr>
      <w:r>
        <w:rPr>
          <w:rFonts w:hint="eastAsia" w:ascii="宋体" w:hAnsi="宋体" w:cs="宋体"/>
          <w:sz w:val="24"/>
        </w:rPr>
        <w:t xml:space="preserve">4.报价以人民币元为单位，保留小数点后两位。 </w:t>
      </w:r>
    </w:p>
    <w:p>
      <w:pPr>
        <w:ind w:firstLine="360" w:firstLineChars="150"/>
        <w:rPr>
          <w:rFonts w:ascii="宋体" w:hAnsi="宋体" w:cs="宋体"/>
          <w:sz w:val="24"/>
        </w:rPr>
      </w:pPr>
      <w:r>
        <w:rPr>
          <w:rFonts w:hint="eastAsia" w:ascii="宋体" w:hAnsi="宋体" w:cs="宋体"/>
          <w:sz w:val="24"/>
        </w:rPr>
        <w:t xml:space="preserve"> </w:t>
      </w:r>
    </w:p>
    <w:p>
      <w:pPr>
        <w:spacing w:line="280" w:lineRule="exact"/>
        <w:ind w:right="540" w:rightChars="257" w:firstLine="4440" w:firstLineChars="1850"/>
        <w:jc w:val="left"/>
        <w:rPr>
          <w:rFonts w:ascii="宋体" w:hAnsi="宋体" w:cs="宋体"/>
          <w:sz w:val="24"/>
        </w:rPr>
      </w:pPr>
    </w:p>
    <w:p>
      <w:pPr>
        <w:pStyle w:val="15"/>
        <w:widowControl/>
        <w:ind w:firstLine="240"/>
        <w:rPr>
          <w:sz w:val="24"/>
        </w:rPr>
      </w:pPr>
    </w:p>
    <w:p>
      <w:pPr>
        <w:pStyle w:val="15"/>
        <w:widowControl/>
        <w:ind w:firstLine="240"/>
        <w:rPr>
          <w:sz w:val="24"/>
        </w:rPr>
      </w:pPr>
    </w:p>
    <w:p>
      <w:pPr>
        <w:pStyle w:val="14"/>
        <w:spacing w:before="0" w:beforeAutospacing="0" w:after="0" w:afterAutospacing="0" w:line="480" w:lineRule="auto"/>
        <w:ind w:firstLine="480" w:firstLineChars="200"/>
        <w:rPr>
          <w:rFonts w:hint="default"/>
        </w:rPr>
      </w:pPr>
      <w:bookmarkStart w:id="158" w:name="_Toc421778388"/>
      <w:bookmarkStart w:id="159" w:name="_Toc425240483"/>
      <w:bookmarkStart w:id="160" w:name="_Toc14400"/>
      <w:bookmarkStart w:id="161" w:name="_Toc17870"/>
      <w:bookmarkStart w:id="162" w:name="_Toc8191"/>
      <w:bookmarkStart w:id="163" w:name="_Toc420591669"/>
      <w:r>
        <w:t>投  标  人：</w:t>
      </w:r>
      <w:r>
        <w:rPr>
          <w:u w:val="single"/>
        </w:rPr>
        <w:t xml:space="preserve">                                     </w:t>
      </w:r>
      <w:r>
        <w:t>（盖章）</w:t>
      </w:r>
    </w:p>
    <w:p>
      <w:pPr>
        <w:pStyle w:val="14"/>
        <w:spacing w:before="0" w:beforeAutospacing="0" w:after="0" w:afterAutospacing="0" w:line="480" w:lineRule="auto"/>
        <w:ind w:firstLine="480" w:firstLineChars="200"/>
        <w:rPr>
          <w:rFonts w:hint="default"/>
        </w:rPr>
      </w:pPr>
      <w:r>
        <w:t>法定代表人或委托代理人：</w:t>
      </w:r>
      <w:r>
        <w:rPr>
          <w:u w:val="single"/>
        </w:rPr>
        <w:t xml:space="preserve">                         </w:t>
      </w:r>
      <w:r>
        <w:t>（签字）</w:t>
      </w:r>
    </w:p>
    <w:p>
      <w:pPr>
        <w:pStyle w:val="14"/>
        <w:spacing w:before="0" w:beforeAutospacing="0" w:after="0" w:afterAutospacing="0" w:line="480" w:lineRule="auto"/>
        <w:ind w:firstLine="480" w:firstLineChars="200"/>
        <w:rPr>
          <w:rFonts w:hint="default"/>
        </w:rPr>
      </w:pPr>
      <w:r>
        <w:t>日    期：</w:t>
      </w:r>
      <w:r>
        <w:rPr>
          <w:u w:val="single"/>
        </w:rPr>
        <w:t xml:space="preserve">      </w:t>
      </w:r>
      <w:r>
        <w:t>年</w:t>
      </w:r>
      <w:r>
        <w:rPr>
          <w:u w:val="single"/>
        </w:rPr>
        <w:t xml:space="preserve">      </w:t>
      </w:r>
      <w:r>
        <w:t>月</w:t>
      </w:r>
      <w:r>
        <w:rPr>
          <w:u w:val="single"/>
        </w:rPr>
        <w:t xml:space="preserve">        </w:t>
      </w:r>
      <w:r>
        <w:t>日</w:t>
      </w:r>
    </w:p>
    <w:p>
      <w:pPr>
        <w:spacing w:line="480" w:lineRule="auto"/>
        <w:ind w:left="424" w:leftChars="202" w:right="540" w:rightChars="257"/>
        <w:jc w:val="center"/>
        <w:rPr>
          <w:rFonts w:ascii="宋体" w:hAnsi="宋体" w:cs="宋体"/>
          <w:b/>
          <w:bCs/>
          <w:sz w:val="28"/>
          <w:szCs w:val="28"/>
        </w:rPr>
      </w:pPr>
      <w:r>
        <w:rPr>
          <w:rFonts w:hint="eastAsia" w:ascii="宋体" w:hAnsi="宋体" w:cs="宋体"/>
          <w:b/>
          <w:bCs/>
          <w:sz w:val="28"/>
          <w:szCs w:val="28"/>
        </w:rPr>
        <w:br w:type="page"/>
      </w:r>
      <w:bookmarkStart w:id="164" w:name="_Toc13497"/>
      <w:bookmarkStart w:id="165" w:name="_Toc8044"/>
      <w:bookmarkStart w:id="166" w:name="_Toc16495"/>
      <w:r>
        <w:rPr>
          <w:rFonts w:hint="eastAsia" w:ascii="宋体" w:hAnsi="宋体" w:cs="宋体"/>
          <w:b/>
          <w:bCs/>
          <w:sz w:val="28"/>
          <w:szCs w:val="28"/>
        </w:rPr>
        <w:t>三、</w:t>
      </w:r>
      <w:bookmarkEnd w:id="164"/>
      <w:bookmarkEnd w:id="165"/>
      <w:bookmarkEnd w:id="166"/>
      <w:r>
        <w:rPr>
          <w:rFonts w:hint="eastAsia" w:ascii="宋体" w:hAnsi="宋体" w:cs="宋体"/>
          <w:b/>
          <w:bCs/>
          <w:sz w:val="28"/>
          <w:szCs w:val="28"/>
        </w:rPr>
        <w:t>分部分项报价表</w:t>
      </w:r>
    </w:p>
    <w:p>
      <w:pPr>
        <w:spacing w:line="480" w:lineRule="auto"/>
        <w:ind w:firstLine="960" w:firstLineChars="400"/>
        <w:jc w:val="left"/>
        <w:rPr>
          <w:rFonts w:ascii="宋体" w:hAnsi="宋体" w:cs="宋体"/>
          <w:sz w:val="24"/>
          <w:szCs w:val="21"/>
        </w:rPr>
      </w:pPr>
    </w:p>
    <w:p>
      <w:pPr>
        <w:pStyle w:val="7"/>
        <w:widowControl/>
        <w:ind w:left="210" w:leftChars="100"/>
        <w:rPr>
          <w:rFonts w:ascii="宋体" w:hAnsi="宋体" w:cs="宋体"/>
          <w:b/>
          <w:bCs/>
        </w:rPr>
      </w:pPr>
      <w:r>
        <w:rPr>
          <w:rFonts w:hint="eastAsia" w:ascii="宋体" w:hAnsi="宋体" w:cs="宋体"/>
          <w:b/>
          <w:bCs/>
        </w:rPr>
        <w:t>（格式自拟）</w:t>
      </w:r>
    </w:p>
    <w:p>
      <w:pPr>
        <w:spacing w:line="480" w:lineRule="auto"/>
        <w:ind w:firstLine="960" w:firstLineChars="400"/>
        <w:jc w:val="left"/>
        <w:rPr>
          <w:rFonts w:ascii="宋体" w:hAnsi="宋体" w:cs="宋体"/>
          <w:sz w:val="24"/>
          <w:szCs w:val="21"/>
        </w:rPr>
      </w:pPr>
    </w:p>
    <w:p>
      <w:pPr>
        <w:spacing w:line="480" w:lineRule="auto"/>
        <w:ind w:firstLine="960" w:firstLineChars="400"/>
        <w:jc w:val="left"/>
        <w:rPr>
          <w:rFonts w:ascii="宋体" w:hAnsi="宋体" w:cs="宋体"/>
          <w:sz w:val="24"/>
          <w:szCs w:val="21"/>
        </w:rPr>
      </w:pPr>
    </w:p>
    <w:p>
      <w:pPr>
        <w:spacing w:line="480" w:lineRule="auto"/>
        <w:ind w:firstLine="960" w:firstLineChars="400"/>
        <w:jc w:val="left"/>
        <w:rPr>
          <w:rFonts w:ascii="宋体" w:hAnsi="宋体" w:cs="宋体"/>
          <w:sz w:val="24"/>
          <w:szCs w:val="21"/>
        </w:rPr>
      </w:pPr>
    </w:p>
    <w:p>
      <w:pPr>
        <w:spacing w:line="480" w:lineRule="auto"/>
        <w:ind w:firstLine="960" w:firstLineChars="400"/>
        <w:jc w:val="left"/>
        <w:rPr>
          <w:rFonts w:ascii="宋体" w:hAnsi="宋体" w:cs="宋体"/>
          <w:sz w:val="24"/>
          <w:szCs w:val="21"/>
        </w:rPr>
      </w:pPr>
    </w:p>
    <w:p>
      <w:pPr>
        <w:spacing w:line="480" w:lineRule="auto"/>
        <w:ind w:firstLine="960" w:firstLineChars="400"/>
        <w:jc w:val="left"/>
        <w:rPr>
          <w:rFonts w:ascii="宋体" w:hAnsi="宋体" w:cs="宋体"/>
          <w:sz w:val="24"/>
          <w:szCs w:val="21"/>
        </w:rPr>
      </w:pPr>
    </w:p>
    <w:p>
      <w:pPr>
        <w:spacing w:line="480" w:lineRule="auto"/>
        <w:ind w:firstLine="960" w:firstLineChars="400"/>
        <w:jc w:val="left"/>
        <w:rPr>
          <w:rFonts w:ascii="宋体" w:hAnsi="宋体" w:cs="宋体"/>
          <w:sz w:val="24"/>
          <w:szCs w:val="21"/>
        </w:rPr>
      </w:pPr>
    </w:p>
    <w:p>
      <w:pPr>
        <w:spacing w:line="480" w:lineRule="auto"/>
        <w:ind w:firstLine="960" w:firstLineChars="400"/>
        <w:jc w:val="left"/>
        <w:rPr>
          <w:rFonts w:ascii="宋体" w:hAnsi="宋体" w:cs="宋体"/>
          <w:sz w:val="24"/>
        </w:rPr>
      </w:pPr>
    </w:p>
    <w:p>
      <w:pPr>
        <w:pStyle w:val="7"/>
        <w:widowControl/>
        <w:spacing w:line="360" w:lineRule="auto"/>
        <w:jc w:val="both"/>
        <w:rPr>
          <w:rFonts w:ascii="宋体" w:hAnsi="宋体" w:cs="宋体"/>
          <w:sz w:val="24"/>
          <w:szCs w:val="24"/>
        </w:rPr>
      </w:pPr>
      <w:r>
        <w:rPr>
          <w:rFonts w:hint="eastAsia" w:ascii="宋体" w:hAnsi="宋体" w:cs="宋体"/>
          <w:sz w:val="24"/>
          <w:szCs w:val="24"/>
        </w:rPr>
        <w:t>注：1、分项报价须包含招标文件采购内容及要求中的所有内容。</w:t>
      </w:r>
    </w:p>
    <w:p>
      <w:pPr>
        <w:pStyle w:val="7"/>
        <w:widowControl/>
        <w:spacing w:line="360" w:lineRule="auto"/>
        <w:ind w:firstLine="480" w:firstLineChars="200"/>
        <w:jc w:val="both"/>
        <w:rPr>
          <w:rFonts w:ascii="宋体" w:hAnsi="宋体" w:cs="宋体"/>
          <w:sz w:val="24"/>
          <w:szCs w:val="24"/>
        </w:rPr>
      </w:pPr>
      <w:r>
        <w:rPr>
          <w:rFonts w:hint="eastAsia" w:ascii="宋体" w:hAnsi="宋体" w:cs="宋体"/>
          <w:sz w:val="24"/>
          <w:szCs w:val="24"/>
        </w:rPr>
        <w:t>2、分项报价表中的“总报价”与“开标一览表”中的</w:t>
      </w:r>
      <w:r>
        <w:rPr>
          <w:rFonts w:hint="eastAsia" w:ascii="宋体" w:hAnsi="宋体" w:cs="宋体"/>
          <w:spacing w:val="-6"/>
          <w:sz w:val="24"/>
          <w:szCs w:val="24"/>
        </w:rPr>
        <w:t>“</w:t>
      </w:r>
      <w:r>
        <w:rPr>
          <w:rFonts w:hint="eastAsia" w:ascii="宋体" w:hAnsi="宋体" w:cs="宋体"/>
          <w:sz w:val="24"/>
          <w:szCs w:val="24"/>
        </w:rPr>
        <w:t>总报价</w:t>
      </w:r>
      <w:r>
        <w:rPr>
          <w:rFonts w:hint="eastAsia" w:ascii="宋体" w:hAnsi="宋体" w:cs="宋体"/>
          <w:spacing w:val="-6"/>
          <w:sz w:val="24"/>
          <w:szCs w:val="24"/>
        </w:rPr>
        <w:t>”须</w:t>
      </w:r>
      <w:r>
        <w:rPr>
          <w:rFonts w:hint="eastAsia" w:ascii="宋体" w:hAnsi="宋体" w:cs="宋体"/>
          <w:sz w:val="24"/>
          <w:szCs w:val="24"/>
        </w:rPr>
        <w:t>一致。若不一致以“开标一览表”中的报价为准，并修正各子项报价。</w:t>
      </w: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pStyle w:val="15"/>
        <w:widowControl/>
        <w:ind w:firstLine="210"/>
      </w:pPr>
    </w:p>
    <w:p>
      <w:pPr>
        <w:keepLines/>
        <w:jc w:val="center"/>
        <w:outlineLvl w:val="2"/>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四、法定代表人身份证明</w:t>
      </w:r>
      <w:bookmarkEnd w:id="158"/>
      <w:bookmarkEnd w:id="159"/>
      <w:bookmarkEnd w:id="160"/>
      <w:bookmarkEnd w:id="161"/>
      <w:bookmarkEnd w:id="162"/>
      <w:bookmarkEnd w:id="163"/>
    </w:p>
    <w:p>
      <w:pPr>
        <w:spacing w:line="360" w:lineRule="auto"/>
        <w:ind w:firstLine="420" w:firstLineChars="200"/>
        <w:rPr>
          <w:rFonts w:ascii="宋体" w:hAnsi="宋体" w:cs="宋体"/>
        </w:rPr>
      </w:pPr>
    </w:p>
    <w:p>
      <w:pPr>
        <w:spacing w:line="480" w:lineRule="auto"/>
        <w:ind w:firstLine="480" w:firstLineChars="200"/>
        <w:rPr>
          <w:rFonts w:ascii="宋体" w:hAnsi="宋体" w:cs="宋体"/>
          <w:sz w:val="24"/>
          <w:u w:val="single"/>
        </w:rPr>
      </w:pPr>
      <w:bookmarkStart w:id="167" w:name="_Toc9626"/>
      <w:bookmarkStart w:id="168" w:name="_Toc425240484"/>
      <w:bookmarkStart w:id="169" w:name="_Toc13782"/>
      <w:bookmarkStart w:id="170" w:name="_Toc420591670"/>
      <w:bookmarkStart w:id="171" w:name="_Toc421778389"/>
      <w:bookmarkStart w:id="172" w:name="_Toc13749"/>
      <w:r>
        <w:rPr>
          <w:rFonts w:hint="eastAsia" w:ascii="宋体" w:hAnsi="宋体" w:cs="宋体"/>
          <w:sz w:val="24"/>
        </w:rPr>
        <w:t>投标人名称：</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spacing w:line="48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auto"/>
        <w:ind w:firstLine="480" w:firstLineChars="20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spacing w:line="48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w:t>
      </w:r>
    </w:p>
    <w:p>
      <w:pPr>
        <w:spacing w:line="480" w:lineRule="auto"/>
        <w:ind w:firstLine="960" w:firstLineChars="400"/>
        <w:rPr>
          <w:rFonts w:ascii="宋体" w:hAnsi="宋体" w:cs="宋体"/>
          <w:sz w:val="24"/>
        </w:rPr>
      </w:pPr>
      <w:r>
        <w:rPr>
          <w:rFonts w:hint="eastAsia" w:ascii="宋体" w:hAnsi="宋体" w:cs="宋体"/>
          <w:sz w:val="24"/>
        </w:rPr>
        <w:t>特此证明!</w:t>
      </w:r>
    </w:p>
    <w:p>
      <w:pPr>
        <w:spacing w:line="360" w:lineRule="auto"/>
        <w:ind w:firstLine="480" w:firstLineChars="200"/>
        <w:rPr>
          <w:rFonts w:ascii="宋体" w:hAnsi="宋体" w:cs="宋体"/>
          <w:sz w:val="24"/>
        </w:rPr>
      </w:pPr>
      <w:r>
        <w:rPr>
          <w:rFonts w:hint="eastAsia" w:ascii="宋体" w:hAnsi="宋体" w:cs="宋体"/>
          <w:sz w:val="24"/>
        </w:rPr>
        <w:t>注：附身份证复印件。</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p>
    <w:p>
      <w:pPr>
        <w:spacing w:line="360" w:lineRule="auto"/>
        <w:ind w:firstLine="4800" w:firstLineChars="20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（盖章）</w:t>
      </w:r>
    </w:p>
    <w:p>
      <w:pPr>
        <w:spacing w:line="360" w:lineRule="auto"/>
        <w:ind w:firstLine="5160" w:firstLineChars="2150"/>
        <w:rPr>
          <w:rFonts w:ascii="宋体" w:hAnsi="宋体" w:cs="宋体"/>
          <w:sz w:val="24"/>
          <w:u w:val="single"/>
        </w:rPr>
      </w:pPr>
    </w:p>
    <w:p>
      <w:pPr>
        <w:spacing w:line="360" w:lineRule="auto"/>
        <w:ind w:firstLine="5040" w:firstLineChars="21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sectPr>
          <w:pgSz w:w="11906" w:h="16838"/>
          <w:pgMar w:top="1417" w:right="1417" w:bottom="1417" w:left="1702" w:header="851" w:footer="992" w:gutter="0"/>
          <w:cols w:space="720" w:num="1"/>
          <w:docGrid w:type="lines" w:linePitch="312" w:charSpace="0"/>
        </w:sectPr>
      </w:pPr>
    </w:p>
    <w:p>
      <w:pPr>
        <w:keepLines/>
        <w:spacing w:line="360" w:lineRule="auto"/>
        <w:jc w:val="center"/>
        <w:rPr>
          <w:rFonts w:ascii="宋体" w:hAnsi="宋体" w:cs="宋体"/>
          <w:b/>
          <w:bCs/>
          <w:sz w:val="28"/>
          <w:szCs w:val="28"/>
        </w:rPr>
      </w:pPr>
      <w:r>
        <w:rPr>
          <w:rFonts w:hint="eastAsia" w:ascii="宋体" w:hAnsi="宋体" w:cs="宋体"/>
          <w:b/>
          <w:bCs/>
          <w:sz w:val="28"/>
          <w:szCs w:val="28"/>
        </w:rPr>
        <w:t xml:space="preserve">五、法定代表人授权委托书 </w:t>
      </w:r>
    </w:p>
    <w:p>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的法定代表人，现委托</w:t>
      </w:r>
      <w:r>
        <w:rPr>
          <w:rFonts w:hint="eastAsia" w:ascii="宋体" w:hAnsi="宋体" w:cs="宋体"/>
          <w:sz w:val="24"/>
          <w:u w:val="single"/>
        </w:rPr>
        <w:t>（姓名）</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b/>
          <w:bCs/>
          <w:sz w:val="24"/>
          <w:u w:val="single"/>
        </w:rPr>
        <w:t xml:space="preserve">陕西省高速公路收费中心联网收费系统业务支撑平台资源扩充采购项目（项目编号：SXTD-ZB2021-1062） </w:t>
      </w:r>
      <w:r>
        <w:rPr>
          <w:rFonts w:hint="eastAsia" w:ascii="宋体" w:hAnsi="宋体" w:cs="宋体"/>
          <w:sz w:val="24"/>
        </w:rPr>
        <w:t>投标文件、签订合同和处理有关事宜，其法律后果由我方承担。</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480" w:firstLineChars="20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年    月    日</w:t>
      </w:r>
      <w:r>
        <w:rPr>
          <w:rFonts w:hint="eastAsia" w:ascii="宋体" w:hAnsi="宋体" w:cs="宋体"/>
          <w:sz w:val="24"/>
        </w:rPr>
        <w:t>签字生效，特此证明！</w:t>
      </w:r>
    </w:p>
    <w:p>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自签署之日</w:t>
      </w:r>
      <w:r>
        <w:rPr>
          <w:rFonts w:hint="eastAsia" w:ascii="宋体" w:hAnsi="宋体" w:cs="宋体"/>
          <w:sz w:val="24"/>
          <w:u w:val="single"/>
        </w:rPr>
        <w:tab/>
      </w:r>
      <w:r>
        <w:rPr>
          <w:rFonts w:hint="eastAsia" w:ascii="宋体" w:hAnsi="宋体" w:cs="宋体"/>
          <w:sz w:val="24"/>
          <w:u w:val="single"/>
        </w:rPr>
        <w:t xml:space="preserve">起      日历天 </w:t>
      </w:r>
    </w:p>
    <w:p>
      <w:pPr>
        <w:spacing w:line="360" w:lineRule="auto"/>
        <w:ind w:firstLine="480" w:firstLineChars="200"/>
        <w:rPr>
          <w:rFonts w:ascii="宋体" w:hAnsi="宋体" w:cs="宋体"/>
          <w:sz w:val="24"/>
          <w:u w:val="single"/>
        </w:rPr>
      </w:pPr>
      <w:r>
        <w:rPr>
          <w:rFonts w:hint="eastAsia" w:ascii="宋体" w:hAnsi="宋体" w:cs="宋体"/>
          <w:sz w:val="24"/>
        </w:rPr>
        <w:t>法定代表人签字或盖章：</w:t>
      </w:r>
      <w:r>
        <w:rPr>
          <w:rFonts w:hint="eastAsia" w:ascii="宋体" w:hAnsi="宋体" w:cs="宋体"/>
          <w:sz w:val="24"/>
          <w:u w:val="single"/>
        </w:rPr>
        <w:t xml:space="preserve">                </w:t>
      </w:r>
      <w:r>
        <w:rPr>
          <w:rFonts w:hint="eastAsia" w:ascii="宋体" w:hAnsi="宋体" w:cs="宋体"/>
          <w:sz w:val="24"/>
        </w:rPr>
        <w:t xml:space="preserve">     被授权人签字：</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身    份    证    号：</w:t>
      </w:r>
      <w:r>
        <w:rPr>
          <w:rFonts w:hint="eastAsia" w:ascii="宋体" w:hAnsi="宋体" w:cs="宋体"/>
          <w:sz w:val="24"/>
          <w:u w:val="single"/>
        </w:rPr>
        <w:t xml:space="preserve">                </w:t>
      </w:r>
      <w:r>
        <w:rPr>
          <w:rFonts w:hint="eastAsia" w:ascii="宋体" w:hAnsi="宋体" w:cs="宋体"/>
          <w:sz w:val="24"/>
        </w:rPr>
        <w:t xml:space="preserve">     身 份  证 号：</w:t>
      </w:r>
      <w:r>
        <w:rPr>
          <w:rFonts w:hint="eastAsia" w:ascii="宋体" w:hAnsi="宋体" w:cs="宋体"/>
          <w:sz w:val="24"/>
          <w:u w:val="single"/>
        </w:rPr>
        <w:t xml:space="preserve">               </w:t>
      </w:r>
    </w:p>
    <w:p>
      <w:pPr>
        <w:pStyle w:val="15"/>
        <w:widowControl/>
        <w:spacing w:line="400" w:lineRule="exact"/>
        <w:ind w:firstLine="210"/>
      </w:pPr>
    </w:p>
    <w:p>
      <w:pPr>
        <w:spacing w:line="400" w:lineRule="exact"/>
        <w:rPr>
          <w:rFonts w:ascii="宋体" w:hAnsi="宋体" w:cs="宋体"/>
          <w:sz w:val="24"/>
        </w:rPr>
      </w:pPr>
      <w:r>
        <w:rPr>
          <w:rFonts w:hint="eastAsia" w:ascii="宋体" w:hAnsi="宋体" w:cs="宋体"/>
          <w:sz w:val="24"/>
        </w:rPr>
        <w:t>附：法定代表人、被授权人身份证复印件。</w:t>
      </w:r>
    </w:p>
    <w:tbl>
      <w:tblPr>
        <w:tblStyle w:val="1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1"/>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4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法定代表人身份证复印件</w:t>
            </w:r>
          </w:p>
          <w:p>
            <w:pPr>
              <w:spacing w:line="360" w:lineRule="auto"/>
              <w:jc w:val="center"/>
              <w:rPr>
                <w:rFonts w:ascii="宋体" w:hAnsi="宋体" w:cs="宋体"/>
                <w:sz w:val="24"/>
              </w:rPr>
            </w:pPr>
            <w:r>
              <w:rPr>
                <w:rFonts w:hint="eastAsia" w:ascii="宋体" w:hAnsi="宋体" w:cs="宋体"/>
                <w:sz w:val="24"/>
              </w:rPr>
              <w:t>（正反面）</w:t>
            </w:r>
          </w:p>
        </w:tc>
        <w:tc>
          <w:tcPr>
            <w:tcW w:w="4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被授权人身份证复印件</w:t>
            </w:r>
          </w:p>
          <w:p>
            <w:pPr>
              <w:spacing w:line="360" w:lineRule="auto"/>
              <w:jc w:val="center"/>
              <w:rPr>
                <w:rFonts w:ascii="宋体" w:hAnsi="宋体" w:cs="宋体"/>
                <w:sz w:val="24"/>
              </w:rPr>
            </w:pPr>
            <w:r>
              <w:rPr>
                <w:rFonts w:hint="eastAsia" w:ascii="宋体" w:hAnsi="宋体" w:cs="宋体"/>
                <w:sz w:val="24"/>
              </w:rPr>
              <w:t>（正反面）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4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法定代表人身份证复印件</w:t>
            </w:r>
          </w:p>
          <w:p>
            <w:pPr>
              <w:spacing w:line="360" w:lineRule="auto"/>
              <w:jc w:val="center"/>
              <w:rPr>
                <w:rFonts w:ascii="宋体" w:hAnsi="宋体" w:cs="宋体"/>
                <w:sz w:val="24"/>
              </w:rPr>
            </w:pPr>
            <w:r>
              <w:rPr>
                <w:rFonts w:hint="eastAsia" w:ascii="宋体" w:hAnsi="宋体" w:cs="宋体"/>
                <w:sz w:val="24"/>
              </w:rPr>
              <w:t>（正反面）</w:t>
            </w:r>
          </w:p>
        </w:tc>
        <w:tc>
          <w:tcPr>
            <w:tcW w:w="4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被授权人身份证复印件</w:t>
            </w:r>
          </w:p>
          <w:p>
            <w:pPr>
              <w:spacing w:line="360" w:lineRule="auto"/>
              <w:jc w:val="center"/>
              <w:rPr>
                <w:rFonts w:ascii="宋体" w:hAnsi="宋体" w:cs="宋体"/>
                <w:sz w:val="24"/>
              </w:rPr>
            </w:pPr>
            <w:r>
              <w:rPr>
                <w:rFonts w:hint="eastAsia" w:ascii="宋体" w:hAnsi="宋体" w:cs="宋体"/>
                <w:sz w:val="24"/>
              </w:rPr>
              <w:t>（正反面）</w:t>
            </w:r>
          </w:p>
        </w:tc>
      </w:tr>
    </w:tbl>
    <w:p>
      <w:pPr>
        <w:spacing w:line="360" w:lineRule="auto"/>
        <w:rPr>
          <w:rFonts w:ascii="宋体" w:hAnsi="宋体" w:cs="宋体"/>
          <w:sz w:val="24"/>
        </w:rPr>
      </w:pPr>
    </w:p>
    <w:p>
      <w:pPr>
        <w:spacing w:line="480" w:lineRule="auto"/>
        <w:ind w:left="424" w:leftChars="202" w:right="540" w:rightChars="257"/>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（加盖单位公章）      </w:t>
      </w:r>
    </w:p>
    <w:p>
      <w:pPr>
        <w:spacing w:line="480" w:lineRule="auto"/>
        <w:ind w:right="540" w:rightChars="257" w:firstLine="480" w:firstLineChars="200"/>
        <w:jc w:val="left"/>
        <w:rPr>
          <w:rFonts w:ascii="宋体" w:hAnsi="宋体" w:cs="宋体"/>
          <w:b/>
          <w:sz w:val="24"/>
          <w:u w:val="single"/>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pPr>
        <w:rPr>
          <w:rFonts w:ascii="宋体" w:hAnsi="宋体" w:cs="宋体"/>
          <w:b/>
          <w:sz w:val="28"/>
          <w:szCs w:val="28"/>
        </w:rPr>
        <w:sectPr>
          <w:pgSz w:w="11906" w:h="16838"/>
          <w:pgMar w:top="1418" w:right="1418" w:bottom="1418" w:left="1418" w:header="964" w:footer="964" w:gutter="0"/>
          <w:cols w:space="720" w:num="1"/>
          <w:docGrid w:type="lines" w:linePitch="312" w:charSpace="0"/>
        </w:sectPr>
      </w:pPr>
    </w:p>
    <w:bookmarkEnd w:id="167"/>
    <w:bookmarkEnd w:id="168"/>
    <w:bookmarkEnd w:id="169"/>
    <w:bookmarkEnd w:id="170"/>
    <w:bookmarkEnd w:id="171"/>
    <w:bookmarkEnd w:id="172"/>
    <w:p>
      <w:pPr>
        <w:keepLines/>
        <w:jc w:val="center"/>
        <w:outlineLvl w:val="2"/>
        <w:rPr>
          <w:rFonts w:ascii="宋体" w:hAnsi="宋体" w:cs="宋体"/>
          <w:b/>
          <w:bCs/>
          <w:sz w:val="28"/>
          <w:szCs w:val="28"/>
        </w:rPr>
      </w:pPr>
      <w:bookmarkStart w:id="173" w:name="_Toc425240485"/>
      <w:bookmarkStart w:id="174" w:name="_Toc5947"/>
      <w:bookmarkStart w:id="175" w:name="_Toc3574"/>
      <w:bookmarkStart w:id="176" w:name="_Toc421778390"/>
      <w:r>
        <w:rPr>
          <w:rFonts w:hint="eastAsia" w:ascii="宋体" w:hAnsi="宋体" w:cs="宋体"/>
          <w:b/>
          <w:bCs/>
          <w:sz w:val="28"/>
          <w:szCs w:val="28"/>
        </w:rPr>
        <w:t>六、陕西省政府采购供应商拒绝政府采购领域商业贿赂承诺书</w:t>
      </w:r>
    </w:p>
    <w:p>
      <w:pPr>
        <w:widowControl/>
        <w:spacing w:line="408" w:lineRule="auto"/>
        <w:ind w:left="237" w:leftChars="113" w:firstLine="470" w:firstLineChars="196"/>
        <w:jc w:val="left"/>
        <w:rPr>
          <w:rFonts w:ascii="宋体" w:hAnsi="宋体" w:cs="宋体"/>
          <w:kern w:val="0"/>
          <w:sz w:val="24"/>
        </w:rPr>
      </w:pPr>
      <w:r>
        <w:rPr>
          <w:rFonts w:hint="eastAsia" w:ascii="宋体" w:hAnsi="宋体" w:cs="宋体"/>
          <w:kern w:val="0"/>
          <w:sz w:val="24"/>
        </w:rPr>
        <w:t>为响应党中央、国务院关于治理政府采购领域商业贿赂行为的号召，我公司在此庄严承诺：</w:t>
      </w:r>
      <w:r>
        <w:rPr>
          <w:rFonts w:hint="eastAsia" w:ascii="宋体" w:hAnsi="宋体" w:cs="宋体"/>
          <w:kern w:val="0"/>
          <w:sz w:val="24"/>
        </w:rPr>
        <w:br w:type="textWrapping"/>
      </w:r>
      <w:r>
        <w:rPr>
          <w:rFonts w:hint="eastAsia" w:ascii="宋体" w:hAnsi="宋体" w:cs="宋体"/>
          <w:kern w:val="0"/>
          <w:sz w:val="24"/>
        </w:rPr>
        <w:t>1、在参与政府采购活动中遵纪守法、诚信经营、公平竞标。</w:t>
      </w:r>
      <w:r>
        <w:rPr>
          <w:rFonts w:hint="eastAsia" w:ascii="宋体" w:hAnsi="宋体" w:cs="宋体"/>
          <w:kern w:val="0"/>
          <w:sz w:val="24"/>
        </w:rPr>
        <w:br w:type="textWrapping"/>
      </w:r>
      <w:r>
        <w:rPr>
          <w:rFonts w:hint="eastAsia" w:ascii="宋体" w:hAnsi="宋体" w:cs="宋体"/>
          <w:kern w:val="0"/>
          <w:sz w:val="24"/>
        </w:rPr>
        <w:t>2、不向政府采购人、采购代理机构和政府采购评审专家进行任何形式的商业贿赂以谋取交易机会。</w:t>
      </w:r>
      <w:r>
        <w:rPr>
          <w:rFonts w:hint="eastAsia" w:ascii="宋体" w:hAnsi="宋体" w:cs="宋体"/>
          <w:kern w:val="0"/>
          <w:sz w:val="24"/>
        </w:rPr>
        <w:br w:type="textWrapping"/>
      </w:r>
      <w:r>
        <w:rPr>
          <w:rFonts w:hint="eastAsia" w:ascii="宋体" w:hAnsi="宋体" w:cs="宋体"/>
          <w:kern w:val="0"/>
          <w:sz w:val="24"/>
        </w:rPr>
        <w:t>3、不向政府采购代理机构和采购人提供虚假资质文件或采用虚假应标方式参与政府采购市场竞争并谋取中标、成交。</w:t>
      </w:r>
      <w:r>
        <w:rPr>
          <w:rFonts w:hint="eastAsia" w:ascii="宋体" w:hAnsi="宋体" w:cs="宋体"/>
          <w:kern w:val="0"/>
          <w:sz w:val="24"/>
        </w:rPr>
        <w:br w:type="textWrapping"/>
      </w:r>
      <w:r>
        <w:rPr>
          <w:rFonts w:hint="eastAsia" w:ascii="宋体" w:hAnsi="宋体" w:cs="宋体"/>
          <w:kern w:val="0"/>
          <w:sz w:val="24"/>
        </w:rPr>
        <w:t>4、不采取“围标、陪标”等商业欺诈手段获得政府采购定单。</w:t>
      </w:r>
      <w:r>
        <w:rPr>
          <w:rFonts w:hint="eastAsia" w:ascii="宋体" w:hAnsi="宋体" w:cs="宋体"/>
          <w:kern w:val="0"/>
          <w:sz w:val="24"/>
        </w:rPr>
        <w:br w:type="textWrapping"/>
      </w:r>
      <w:r>
        <w:rPr>
          <w:rFonts w:hint="eastAsia" w:ascii="宋体" w:hAnsi="宋体" w:cs="宋体"/>
          <w:kern w:val="0"/>
          <w:sz w:val="24"/>
        </w:rPr>
        <w:t>5、不采取不正当手段诋毁、排挤其他供应商。</w:t>
      </w:r>
      <w:r>
        <w:rPr>
          <w:rFonts w:hint="eastAsia" w:ascii="宋体" w:hAnsi="宋体" w:cs="宋体"/>
          <w:kern w:val="0"/>
          <w:sz w:val="24"/>
        </w:rPr>
        <w:br w:type="textWrapping"/>
      </w:r>
      <w:r>
        <w:rPr>
          <w:rFonts w:hint="eastAsia" w:ascii="宋体" w:hAnsi="宋体" w:cs="宋体"/>
          <w:kern w:val="0"/>
          <w:sz w:val="24"/>
        </w:rPr>
        <w:t>6、不在提供商品和服务时“偷梁换柱、以次充好”损害采购人的合法权益。</w:t>
      </w:r>
      <w:r>
        <w:rPr>
          <w:rFonts w:hint="eastAsia" w:ascii="宋体" w:hAnsi="宋体" w:cs="宋体"/>
          <w:kern w:val="0"/>
          <w:sz w:val="24"/>
        </w:rPr>
        <w:br w:type="textWrapping"/>
      </w:r>
      <w:r>
        <w:rPr>
          <w:rFonts w:hint="eastAsia" w:ascii="宋体" w:hAnsi="宋体" w:cs="宋体"/>
          <w:kern w:val="0"/>
          <w:sz w:val="24"/>
        </w:rPr>
        <w:t>7、不与采购人、采购代理机构政府采购评审专家或其它供应商恶意串通，进行质疑和投诉，维护政府采购市场秩序。</w:t>
      </w:r>
      <w:r>
        <w:rPr>
          <w:rFonts w:hint="eastAsia" w:ascii="宋体" w:hAnsi="宋体" w:cs="宋体"/>
          <w:kern w:val="0"/>
          <w:sz w:val="24"/>
        </w:rPr>
        <w:br w:type="textWrapping"/>
      </w:r>
      <w:r>
        <w:rPr>
          <w:rFonts w:hint="eastAsia" w:ascii="宋体" w:hAnsi="宋体" w:cs="宋体"/>
          <w:kern w:val="0"/>
          <w:sz w:val="24"/>
        </w:rPr>
        <w:t>8、尊重和接受政府采购监督管理部门的监督和政府采购代理机构招标采购要求，承担因违约行为给采购人造成的损失。</w:t>
      </w:r>
      <w:r>
        <w:rPr>
          <w:rFonts w:hint="eastAsia" w:ascii="宋体" w:hAnsi="宋体" w:cs="宋体"/>
          <w:kern w:val="0"/>
          <w:sz w:val="24"/>
        </w:rPr>
        <w:br w:type="textWrapping"/>
      </w:r>
      <w:r>
        <w:rPr>
          <w:rFonts w:hint="eastAsia" w:ascii="宋体" w:hAnsi="宋体" w:cs="宋体"/>
          <w:kern w:val="0"/>
          <w:sz w:val="24"/>
        </w:rPr>
        <w:t>9、不发生其他有悖于政府采购公开、公平、公正和诚信原则的行为。</w:t>
      </w:r>
      <w:r>
        <w:rPr>
          <w:rFonts w:hint="eastAsia" w:ascii="宋体" w:hAnsi="宋体" w:cs="宋体"/>
          <w:kern w:val="0"/>
          <w:sz w:val="24"/>
        </w:rPr>
        <w:br w:type="textWrapping"/>
      </w:r>
    </w:p>
    <w:p>
      <w:pPr>
        <w:widowControl/>
        <w:spacing w:line="408" w:lineRule="auto"/>
        <w:ind w:left="237" w:leftChars="113"/>
        <w:jc w:val="left"/>
        <w:rPr>
          <w:rFonts w:ascii="宋体" w:hAnsi="宋体" w:cs="宋体"/>
          <w:kern w:val="0"/>
          <w:sz w:val="24"/>
        </w:rPr>
      </w:pPr>
      <w:r>
        <w:rPr>
          <w:rFonts w:hint="eastAsia" w:ascii="宋体" w:hAnsi="宋体" w:cs="宋体"/>
          <w:kern w:val="0"/>
          <w:sz w:val="24"/>
        </w:rPr>
        <w:t>承诺单位：</w:t>
      </w:r>
      <w:r>
        <w:rPr>
          <w:rFonts w:hint="eastAsia" w:ascii="宋体" w:hAnsi="宋体" w:cs="宋体"/>
          <w:kern w:val="0"/>
          <w:sz w:val="24"/>
          <w:u w:val="single"/>
        </w:rPr>
        <w:t xml:space="preserve">                         </w:t>
      </w:r>
      <w:r>
        <w:rPr>
          <w:rFonts w:hint="eastAsia" w:ascii="宋体" w:hAnsi="宋体" w:cs="宋体"/>
          <w:kern w:val="0"/>
          <w:sz w:val="24"/>
        </w:rPr>
        <w:t>（盖章）</w:t>
      </w:r>
      <w:r>
        <w:rPr>
          <w:rFonts w:hint="eastAsia" w:ascii="宋体" w:hAnsi="宋体" w:cs="宋体"/>
          <w:kern w:val="0"/>
          <w:sz w:val="24"/>
        </w:rPr>
        <w:br w:type="textWrapping"/>
      </w:r>
      <w:r>
        <w:rPr>
          <w:rFonts w:hint="eastAsia" w:ascii="宋体" w:hAnsi="宋体" w:cs="宋体"/>
          <w:kern w:val="0"/>
          <w:sz w:val="24"/>
        </w:rPr>
        <w:t>法定代表人或委托代理人：</w:t>
      </w:r>
      <w:r>
        <w:rPr>
          <w:rFonts w:hint="eastAsia" w:ascii="宋体" w:hAnsi="宋体" w:cs="宋体"/>
          <w:kern w:val="0"/>
          <w:sz w:val="24"/>
          <w:u w:val="single"/>
        </w:rPr>
        <w:t xml:space="preserve">            </w:t>
      </w:r>
      <w:r>
        <w:rPr>
          <w:rFonts w:hint="eastAsia" w:ascii="宋体" w:hAnsi="宋体" w:cs="宋体"/>
          <w:kern w:val="0"/>
          <w:sz w:val="24"/>
        </w:rPr>
        <w:t>（签字或盖章）</w:t>
      </w:r>
      <w:r>
        <w:rPr>
          <w:rFonts w:hint="eastAsia" w:ascii="宋体" w:hAnsi="宋体" w:cs="宋体"/>
          <w:kern w:val="0"/>
          <w:sz w:val="24"/>
        </w:rPr>
        <w:br w:type="textWrapping"/>
      </w:r>
      <w:r>
        <w:rPr>
          <w:rFonts w:hint="eastAsia" w:ascii="宋体" w:hAnsi="宋体" w:cs="宋体"/>
          <w:kern w:val="0"/>
          <w:sz w:val="24"/>
        </w:rPr>
        <w:t>地  址：</w:t>
      </w:r>
      <w:r>
        <w:rPr>
          <w:rFonts w:hint="eastAsia" w:ascii="宋体" w:hAnsi="宋体" w:cs="宋体"/>
          <w:kern w:val="0"/>
          <w:sz w:val="24"/>
          <w:u w:val="single"/>
        </w:rPr>
        <w:t xml:space="preserve">                            </w:t>
      </w:r>
      <w:r>
        <w:rPr>
          <w:rFonts w:hint="eastAsia" w:ascii="宋体" w:hAnsi="宋体" w:cs="宋体"/>
          <w:kern w:val="0"/>
          <w:sz w:val="24"/>
        </w:rPr>
        <w:t>                 邮  编：</w:t>
      </w:r>
      <w:r>
        <w:rPr>
          <w:rFonts w:hint="eastAsia" w:ascii="宋体" w:hAnsi="宋体" w:cs="宋体"/>
          <w:kern w:val="0"/>
          <w:sz w:val="24"/>
          <w:u w:val="single"/>
        </w:rPr>
        <w:t xml:space="preserve">                            </w:t>
      </w:r>
      <w:r>
        <w:rPr>
          <w:rFonts w:hint="eastAsia" w:ascii="宋体" w:hAnsi="宋体" w:cs="宋体"/>
          <w:kern w:val="0"/>
          <w:sz w:val="24"/>
        </w:rPr>
        <w:br w:type="textWrapping"/>
      </w:r>
      <w:r>
        <w:rPr>
          <w:rFonts w:hint="eastAsia" w:ascii="宋体" w:hAnsi="宋体" w:cs="宋体"/>
          <w:kern w:val="0"/>
          <w:sz w:val="24"/>
        </w:rPr>
        <w:t>电  话：</w:t>
      </w:r>
      <w:r>
        <w:rPr>
          <w:rFonts w:hint="eastAsia" w:ascii="宋体" w:hAnsi="宋体" w:cs="宋体"/>
          <w:kern w:val="0"/>
          <w:sz w:val="24"/>
          <w:u w:val="single"/>
        </w:rPr>
        <w:t xml:space="preserve">                            </w:t>
      </w:r>
      <w:r>
        <w:rPr>
          <w:rFonts w:hint="eastAsia" w:ascii="宋体" w:hAnsi="宋体" w:cs="宋体"/>
          <w:kern w:val="0"/>
          <w:sz w:val="24"/>
        </w:rPr>
        <w:t>                 </w:t>
      </w:r>
    </w:p>
    <w:p>
      <w:pPr>
        <w:widowControl/>
        <w:spacing w:line="408" w:lineRule="auto"/>
        <w:ind w:left="237" w:leftChars="113"/>
        <w:jc w:val="left"/>
        <w:rPr>
          <w:rFonts w:ascii="宋体" w:hAnsi="宋体" w:cs="宋体"/>
          <w:kern w:val="0"/>
          <w:sz w:val="24"/>
        </w:rPr>
      </w:pPr>
      <w:r>
        <w:rPr>
          <w:rFonts w:hint="eastAsia" w:ascii="宋体" w:hAnsi="宋体" w:cs="宋体"/>
          <w:kern w:val="0"/>
          <w:sz w:val="24"/>
        </w:rPr>
        <w:t>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spacing w:line="408" w:lineRule="auto"/>
        <w:ind w:left="525" w:leftChars="250"/>
        <w:rPr>
          <w:rFonts w:ascii="宋体" w:hAnsi="宋体" w:cs="宋体"/>
          <w:sz w:val="24"/>
        </w:rPr>
      </w:pPr>
    </w:p>
    <w:p>
      <w:pPr>
        <w:spacing w:line="408" w:lineRule="auto"/>
        <w:ind w:left="525" w:leftChars="250"/>
        <w:rPr>
          <w:rFonts w:ascii="宋体" w:hAnsi="宋体" w:cs="宋体"/>
          <w:sz w:val="24"/>
        </w:rPr>
      </w:pPr>
    </w:p>
    <w:p>
      <w:pPr>
        <w:spacing w:line="408" w:lineRule="auto"/>
        <w:ind w:left="525" w:leftChars="250"/>
        <w:rPr>
          <w:rFonts w:ascii="宋体" w:hAnsi="宋体" w:cs="宋体"/>
          <w:sz w:val="24"/>
        </w:rPr>
      </w:pPr>
    </w:p>
    <w:p>
      <w:pPr>
        <w:keepLines/>
        <w:pageBreakBefore/>
        <w:jc w:val="center"/>
        <w:outlineLvl w:val="1"/>
        <w:rPr>
          <w:rFonts w:ascii="宋体" w:hAnsi="宋体" w:cs="宋体"/>
          <w:b/>
          <w:bCs/>
          <w:sz w:val="32"/>
          <w:szCs w:val="32"/>
        </w:rPr>
      </w:pPr>
      <w:bookmarkStart w:id="177" w:name="_Toc11876"/>
      <w:bookmarkStart w:id="178" w:name="_Toc26300541"/>
      <w:r>
        <w:rPr>
          <w:rFonts w:hint="eastAsia" w:ascii="宋体" w:hAnsi="宋体" w:cs="宋体"/>
          <w:b/>
          <w:bCs/>
          <w:sz w:val="32"/>
          <w:szCs w:val="32"/>
        </w:rPr>
        <w:t>七、供应商概况及其性质</w:t>
      </w:r>
      <w:bookmarkEnd w:id="177"/>
      <w:bookmarkEnd w:id="178"/>
    </w:p>
    <w:p>
      <w:pPr>
        <w:numPr>
          <w:ilvl w:val="0"/>
          <w:numId w:val="2"/>
        </w:numPr>
        <w:suppressAutoHyphens/>
        <w:spacing w:line="360" w:lineRule="auto"/>
        <w:jc w:val="center"/>
        <w:rPr>
          <w:rFonts w:ascii="宋体" w:hAnsi="宋体" w:cs="宋体"/>
          <w:b/>
          <w:spacing w:val="6"/>
          <w:sz w:val="24"/>
          <w:szCs w:val="21"/>
        </w:rPr>
      </w:pPr>
    </w:p>
    <w:p>
      <w:pPr>
        <w:numPr>
          <w:ilvl w:val="0"/>
          <w:numId w:val="2"/>
        </w:numPr>
        <w:suppressAutoHyphens/>
        <w:spacing w:line="360" w:lineRule="auto"/>
        <w:jc w:val="center"/>
        <w:rPr>
          <w:rFonts w:ascii="宋体" w:hAnsi="宋体" w:cs="宋体"/>
          <w:b/>
          <w:spacing w:val="6"/>
          <w:sz w:val="24"/>
          <w:szCs w:val="21"/>
        </w:rPr>
      </w:pPr>
      <w:r>
        <w:rPr>
          <w:rFonts w:hint="eastAsia" w:ascii="宋体" w:hAnsi="宋体" w:cs="宋体"/>
          <w:b/>
          <w:spacing w:val="6"/>
          <w:sz w:val="24"/>
          <w:szCs w:val="21"/>
        </w:rPr>
        <w:t>残疾人福利性单位声明函</w:t>
      </w:r>
    </w:p>
    <w:p>
      <w:pPr>
        <w:numPr>
          <w:ilvl w:val="0"/>
          <w:numId w:val="2"/>
        </w:numPr>
        <w:suppressAutoHyphens/>
        <w:spacing w:line="360" w:lineRule="auto"/>
        <w:rPr>
          <w:rFonts w:ascii="宋体" w:hAnsi="宋体" w:cs="宋体"/>
          <w:b/>
          <w:spacing w:val="6"/>
          <w:sz w:val="24"/>
          <w:szCs w:val="21"/>
        </w:rPr>
      </w:pPr>
    </w:p>
    <w:p>
      <w:pPr>
        <w:numPr>
          <w:ilvl w:val="0"/>
          <w:numId w:val="2"/>
        </w:numPr>
        <w:suppressAutoHyphens/>
        <w:spacing w:line="360" w:lineRule="auto"/>
        <w:rPr>
          <w:rFonts w:ascii="宋体" w:hAnsi="宋体" w:cs="宋体"/>
          <w:spacing w:val="6"/>
          <w:sz w:val="24"/>
          <w:szCs w:val="21"/>
        </w:rPr>
      </w:pPr>
      <w:r>
        <w:rPr>
          <w:rFonts w:hint="eastAsia" w:ascii="宋体" w:hAnsi="宋体" w:cs="宋体"/>
          <w:spacing w:val="6"/>
          <w:sz w:val="24"/>
          <w:szCs w:val="21"/>
        </w:rPr>
        <w:t xml:space="preserve">    本单位郑重声明，根据《财政部 民政部 中国残疾人联合会关于促进残疾人就业政府采购政策的通知》（财库</w:t>
      </w:r>
      <w:r>
        <w:rPr>
          <w:rFonts w:hint="eastAsia" w:ascii="宋体" w:hAnsi="宋体" w:cs="宋体"/>
          <w:sz w:val="24"/>
          <w:szCs w:val="21"/>
        </w:rPr>
        <w:t>〔2017〕 141</w:t>
      </w:r>
      <w:r>
        <w:rPr>
          <w:rFonts w:hint="eastAsia" w:ascii="宋体" w:hAnsi="宋体" w:cs="宋体"/>
          <w:spacing w:val="6"/>
          <w:sz w:val="24"/>
          <w:szCs w:val="21"/>
        </w:rPr>
        <w:t>号）的规定，本单位为符合条件的残疾人福利性单位，且本单位参加____单位的____项目采购活动提供本单位制造的货物（由本单位承担工程/提供服务），或者提供其他残疾人福利性单位制造的货物（不包括使用非残疾人福利性单位注册商标的货物）。</w:t>
      </w:r>
    </w:p>
    <w:p>
      <w:pPr>
        <w:numPr>
          <w:ilvl w:val="0"/>
          <w:numId w:val="2"/>
        </w:numPr>
        <w:suppressAutoHyphens/>
        <w:spacing w:line="360" w:lineRule="auto"/>
        <w:rPr>
          <w:rFonts w:ascii="宋体" w:hAnsi="宋体" w:cs="宋体"/>
          <w:spacing w:val="6"/>
          <w:sz w:val="24"/>
          <w:szCs w:val="21"/>
        </w:rPr>
      </w:pPr>
      <w:r>
        <w:rPr>
          <w:rFonts w:hint="eastAsia" w:ascii="宋体" w:hAnsi="宋体" w:cs="宋体"/>
          <w:spacing w:val="6"/>
          <w:sz w:val="24"/>
          <w:szCs w:val="21"/>
        </w:rPr>
        <w:t>本单位对上述声明的真实性负责。如有虚假，将依法承担相应责任。</w:t>
      </w:r>
    </w:p>
    <w:p>
      <w:pPr>
        <w:numPr>
          <w:ilvl w:val="0"/>
          <w:numId w:val="2"/>
        </w:numPr>
        <w:suppressAutoHyphens/>
        <w:spacing w:line="360" w:lineRule="auto"/>
        <w:rPr>
          <w:rFonts w:ascii="宋体" w:hAnsi="宋体" w:cs="宋体"/>
          <w:spacing w:val="6"/>
          <w:sz w:val="24"/>
          <w:szCs w:val="21"/>
        </w:rPr>
      </w:pPr>
    </w:p>
    <w:p>
      <w:pPr>
        <w:numPr>
          <w:ilvl w:val="0"/>
          <w:numId w:val="2"/>
        </w:numPr>
        <w:suppressAutoHyphens/>
        <w:spacing w:line="360" w:lineRule="auto"/>
        <w:rPr>
          <w:rFonts w:ascii="宋体" w:hAnsi="宋体" w:cs="宋体"/>
          <w:kern w:val="0"/>
          <w:sz w:val="24"/>
          <w:szCs w:val="21"/>
        </w:rPr>
      </w:pPr>
      <w:r>
        <w:rPr>
          <w:rFonts w:hint="eastAsia" w:ascii="宋体" w:hAnsi="宋体" w:cs="宋体"/>
          <w:kern w:val="0"/>
          <w:sz w:val="24"/>
          <w:szCs w:val="21"/>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widowControl/>
        <w:tabs>
          <w:tab w:val="left" w:pos="567"/>
        </w:tabs>
        <w:spacing w:line="360" w:lineRule="auto"/>
        <w:rPr>
          <w:rFonts w:ascii="宋体" w:hAnsi="宋体" w:cs="宋体"/>
        </w:rPr>
      </w:pPr>
    </w:p>
    <w:p>
      <w:pPr>
        <w:spacing w:line="360" w:lineRule="auto"/>
        <w:rPr>
          <w:rFonts w:ascii="宋体" w:hAnsi="宋体" w:cs="宋体"/>
        </w:rPr>
      </w:pPr>
    </w:p>
    <w:p>
      <w:pPr>
        <w:numPr>
          <w:ilvl w:val="0"/>
          <w:numId w:val="2"/>
        </w:numPr>
        <w:tabs>
          <w:tab w:val="left" w:pos="4860"/>
        </w:tabs>
        <w:suppressAutoHyphens/>
        <w:spacing w:line="360" w:lineRule="auto"/>
        <w:ind w:right="1560"/>
        <w:jc w:val="center"/>
        <w:rPr>
          <w:rFonts w:ascii="宋体" w:hAnsi="宋体" w:cs="宋体"/>
          <w:spacing w:val="6"/>
          <w:sz w:val="24"/>
          <w:szCs w:val="21"/>
        </w:rPr>
      </w:pPr>
      <w:r>
        <w:rPr>
          <w:rFonts w:hint="eastAsia" w:ascii="宋体" w:hAnsi="宋体" w:cs="宋体"/>
          <w:spacing w:val="6"/>
          <w:sz w:val="24"/>
          <w:szCs w:val="21"/>
        </w:rPr>
        <w:t>单位名称（盖章）：</w:t>
      </w:r>
    </w:p>
    <w:p>
      <w:pPr>
        <w:numPr>
          <w:ilvl w:val="0"/>
          <w:numId w:val="2"/>
        </w:numPr>
        <w:suppressAutoHyphens/>
        <w:spacing w:line="360" w:lineRule="auto"/>
        <w:jc w:val="right"/>
        <w:rPr>
          <w:rFonts w:ascii="宋体" w:hAnsi="宋体" w:cs="宋体"/>
          <w:spacing w:val="6"/>
          <w:sz w:val="24"/>
          <w:szCs w:val="21"/>
        </w:rPr>
      </w:pPr>
      <w:r>
        <w:rPr>
          <w:rFonts w:hint="eastAsia" w:ascii="宋体" w:hAnsi="宋体" w:cs="宋体"/>
          <w:spacing w:val="6"/>
          <w:sz w:val="24"/>
          <w:szCs w:val="21"/>
        </w:rPr>
        <w:t>日  期： 年 月 日</w:t>
      </w:r>
    </w:p>
    <w:p>
      <w:pPr>
        <w:numPr>
          <w:ilvl w:val="0"/>
          <w:numId w:val="2"/>
        </w:numPr>
        <w:suppressAutoHyphens/>
        <w:spacing w:line="360" w:lineRule="auto"/>
        <w:jc w:val="center"/>
        <w:rPr>
          <w:rFonts w:ascii="宋体" w:hAnsi="宋体" w:cs="宋体"/>
          <w:b/>
          <w:bCs/>
          <w:color w:val="333333"/>
          <w:spacing w:val="8"/>
        </w:rPr>
      </w:pPr>
      <w:r>
        <w:rPr>
          <w:rFonts w:hint="eastAsia" w:ascii="宋体" w:hAnsi="宋体" w:cs="宋体"/>
          <w:spacing w:val="6"/>
          <w:sz w:val="24"/>
          <w:szCs w:val="21"/>
        </w:rPr>
        <w:br w:type="page"/>
      </w:r>
      <w:r>
        <w:rPr>
          <w:rFonts w:hint="eastAsia" w:ascii="宋体" w:hAnsi="宋体" w:cs="宋体"/>
          <w:b/>
          <w:spacing w:val="6"/>
          <w:szCs w:val="21"/>
        </w:rPr>
        <w:t xml:space="preserve">     </w:t>
      </w:r>
      <w:r>
        <w:rPr>
          <w:rFonts w:hint="eastAsia" w:ascii="宋体" w:hAnsi="宋体" w:cs="宋体"/>
          <w:b/>
          <w:bCs/>
          <w:color w:val="333333"/>
          <w:spacing w:val="15"/>
          <w:szCs w:val="21"/>
          <w:shd w:val="clear" w:color="auto" w:fill="FFFFFF"/>
        </w:rPr>
        <w:t>中小企业声明函(工程、服务)</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4"/>
        <w:shd w:val="clear" w:color="auto" w:fill="FFFFFF"/>
        <w:spacing w:line="276" w:lineRule="auto"/>
        <w:ind w:firstLine="540" w:firstLineChars="200"/>
        <w:rPr>
          <w:rFonts w:hint="default"/>
          <w:color w:val="333333"/>
          <w:spacing w:val="8"/>
          <w:shd w:val="clear" w:color="auto" w:fill="FFFFFF"/>
        </w:rPr>
      </w:pPr>
      <w:r>
        <w:rPr>
          <w:color w:val="333333"/>
          <w:spacing w:val="15"/>
          <w:shd w:val="clear" w:color="auto" w:fill="FFFFFF"/>
        </w:rPr>
        <w:t>1</w:t>
      </w:r>
      <w:r>
        <w:rPr>
          <w:color w:val="333333"/>
          <w:spacing w:val="15"/>
          <w:u w:val="single"/>
          <w:shd w:val="clear" w:color="auto" w:fill="FFFFFF"/>
        </w:rPr>
        <w:t>. (项目名称)，</w:t>
      </w:r>
      <w:r>
        <w:rPr>
          <w:color w:val="333333"/>
          <w:spacing w:val="15"/>
          <w:shd w:val="clear" w:color="auto" w:fill="FFFFFF"/>
        </w:rPr>
        <w:t>属于</w:t>
      </w:r>
      <w:r>
        <w:rPr>
          <w:color w:val="333333"/>
          <w:spacing w:val="15"/>
          <w:u w:val="single"/>
          <w:shd w:val="clear" w:color="auto" w:fill="FFFFFF"/>
        </w:rPr>
        <w:t xml:space="preserve">(采购文件中明确的所属    行业); </w:t>
      </w:r>
      <w:r>
        <w:rPr>
          <w:color w:val="333333"/>
          <w:spacing w:val="15"/>
          <w:shd w:val="clear" w:color="auto" w:fill="FFFFFF"/>
        </w:rPr>
        <w:t>承建(承接)企业为</w:t>
      </w:r>
      <w:r>
        <w:rPr>
          <w:color w:val="333333"/>
          <w:spacing w:val="15"/>
          <w:u w:val="single"/>
          <w:shd w:val="clear" w:color="auto" w:fill="FFFFFF"/>
        </w:rPr>
        <w:t>(企业名称)，</w:t>
      </w:r>
      <w:r>
        <w:rPr>
          <w:color w:val="333333"/>
          <w:spacing w:val="15"/>
          <w:shd w:val="clear" w:color="auto" w:fill="FFFFFF"/>
        </w:rPr>
        <w:t>从业人员</w:t>
      </w:r>
      <w:r>
        <w:rPr>
          <w:color w:val="333333"/>
          <w:spacing w:val="15"/>
          <w:u w:val="single"/>
          <w:shd w:val="clear" w:color="auto" w:fill="FFFFFF"/>
        </w:rPr>
        <w:t>   </w:t>
      </w:r>
      <w:r>
        <w:rPr>
          <w:color w:val="333333"/>
          <w:spacing w:val="15"/>
          <w:shd w:val="clear" w:color="auto" w:fill="FFFFFF"/>
        </w:rPr>
        <w:t>人，营业收入为</w:t>
      </w:r>
      <w:r>
        <w:rPr>
          <w:color w:val="333333"/>
          <w:spacing w:val="15"/>
          <w:u w:val="single"/>
          <w:shd w:val="clear" w:color="auto" w:fill="FFFFFF"/>
        </w:rPr>
        <w:t>   </w:t>
      </w:r>
      <w:r>
        <w:rPr>
          <w:color w:val="333333"/>
          <w:spacing w:val="15"/>
          <w:shd w:val="clear" w:color="auto" w:fill="FFFFFF"/>
        </w:rPr>
        <w:t>万元，资产总额为</w:t>
      </w:r>
      <w:r>
        <w:rPr>
          <w:color w:val="333333"/>
          <w:spacing w:val="15"/>
          <w:u w:val="single"/>
          <w:shd w:val="clear" w:color="auto" w:fill="FFFFFF"/>
        </w:rPr>
        <w:t>   </w:t>
      </w:r>
      <w:r>
        <w:rPr>
          <w:color w:val="333333"/>
          <w:spacing w:val="15"/>
          <w:shd w:val="clear" w:color="auto" w:fill="FFFFFF"/>
        </w:rPr>
        <w:t>万元</w:t>
      </w:r>
      <w:r>
        <w:rPr>
          <w:color w:val="333333"/>
          <w:spacing w:val="15"/>
          <w:shd w:val="clear" w:color="auto" w:fill="FFFFFF"/>
          <w:vertAlign w:val="superscript"/>
        </w:rPr>
        <w:t>1</w:t>
      </w:r>
      <w:r>
        <w:rPr>
          <w:color w:val="333333"/>
          <w:spacing w:val="15"/>
          <w:shd w:val="clear" w:color="auto" w:fill="FFFFFF"/>
        </w:rPr>
        <w:t>，属于</w:t>
      </w:r>
      <w:r>
        <w:rPr>
          <w:color w:val="333333"/>
          <w:spacing w:val="15"/>
          <w:u w:val="single"/>
          <w:shd w:val="clear" w:color="auto" w:fill="FFFFFF"/>
        </w:rPr>
        <w:t>(中型企业、小型企业、微型企业);</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以上企业，不属于大企业的分支机构，不存在控股股东为大企业的情形，也不存在与大企业的负责人为同一人的情形。本企业对上述声明内容的真实性负责。如有虚假，将依法承担相应责任。</w:t>
      </w:r>
    </w:p>
    <w:p>
      <w:pPr>
        <w:pStyle w:val="14"/>
        <w:shd w:val="clear" w:color="auto" w:fill="FFFFFF"/>
        <w:spacing w:line="276" w:lineRule="auto"/>
        <w:ind w:firstLine="480" w:firstLineChars="200"/>
        <w:rPr>
          <w:rFonts w:hint="default"/>
          <w:kern w:val="0"/>
          <w:shd w:val="clear" w:color="auto" w:fill="FFFFFF"/>
        </w:rPr>
      </w:pPr>
      <w:r>
        <w:rPr>
          <w:kern w:val="0"/>
          <w:shd w:val="clear" w:color="auto" w:fill="FFFFFF"/>
        </w:rPr>
        <w:t>从业人员、营业收入、资产总额填报上一年度数据，无上一年度数据的新成立企业可不填报。</w:t>
      </w:r>
    </w:p>
    <w:p>
      <w:pPr>
        <w:numPr>
          <w:ilvl w:val="0"/>
          <w:numId w:val="2"/>
        </w:numPr>
        <w:suppressAutoHyphens/>
        <w:spacing w:line="360" w:lineRule="auto"/>
        <w:rPr>
          <w:rFonts w:ascii="宋体" w:hAnsi="宋体" w:cs="宋体"/>
          <w:kern w:val="0"/>
          <w:sz w:val="24"/>
          <w:szCs w:val="21"/>
        </w:rPr>
      </w:pPr>
      <w:r>
        <w:rPr>
          <w:rFonts w:hint="eastAsia" w:ascii="宋体" w:hAnsi="宋体" w:cs="宋体"/>
          <w:kern w:val="0"/>
          <w:sz w:val="24"/>
          <w:szCs w:val="21"/>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suppressAutoHyphens/>
        <w:spacing w:line="360" w:lineRule="auto"/>
        <w:jc w:val="center"/>
        <w:rPr>
          <w:rFonts w:ascii="宋体" w:hAnsi="宋体" w:cs="宋体"/>
          <w:spacing w:val="6"/>
          <w:sz w:val="24"/>
          <w:szCs w:val="21"/>
        </w:rPr>
      </w:pPr>
      <w:r>
        <w:rPr>
          <w:rFonts w:hint="eastAsia" w:ascii="宋体" w:hAnsi="宋体" w:cs="宋体"/>
          <w:spacing w:val="6"/>
          <w:sz w:val="24"/>
          <w:szCs w:val="21"/>
        </w:rPr>
        <w:t xml:space="preserve">            </w:t>
      </w:r>
    </w:p>
    <w:p>
      <w:pPr>
        <w:numPr>
          <w:ilvl w:val="0"/>
          <w:numId w:val="2"/>
        </w:numPr>
        <w:suppressAutoHyphens/>
        <w:spacing w:line="360" w:lineRule="auto"/>
        <w:jc w:val="center"/>
        <w:rPr>
          <w:rFonts w:ascii="宋体" w:hAnsi="宋体" w:cs="宋体"/>
          <w:spacing w:val="6"/>
          <w:sz w:val="24"/>
          <w:szCs w:val="21"/>
        </w:rPr>
      </w:pPr>
      <w:r>
        <w:rPr>
          <w:rFonts w:hint="eastAsia" w:ascii="宋体" w:hAnsi="宋体" w:cs="宋体"/>
          <w:spacing w:val="6"/>
          <w:sz w:val="24"/>
          <w:szCs w:val="21"/>
        </w:rPr>
        <w:t xml:space="preserve">                                     企业名称（盖章）：</w:t>
      </w:r>
    </w:p>
    <w:p>
      <w:pPr>
        <w:numPr>
          <w:ilvl w:val="0"/>
          <w:numId w:val="2"/>
        </w:numPr>
        <w:suppressAutoHyphens/>
        <w:spacing w:line="360" w:lineRule="auto"/>
        <w:rPr>
          <w:rFonts w:ascii="宋体" w:hAnsi="宋体" w:cs="宋体"/>
          <w:b/>
          <w:sz w:val="32"/>
          <w:szCs w:val="32"/>
        </w:rPr>
      </w:pPr>
      <w:r>
        <w:rPr>
          <w:rFonts w:hint="eastAsia" w:ascii="宋体" w:hAnsi="宋体" w:cs="宋体"/>
          <w:spacing w:val="6"/>
          <w:sz w:val="24"/>
          <w:szCs w:val="21"/>
        </w:rPr>
        <w:t xml:space="preserve">                                            日  期： 年 月 日</w:t>
      </w:r>
    </w:p>
    <w:p>
      <w:pPr>
        <w:widowControl/>
        <w:jc w:val="center"/>
        <w:outlineLvl w:val="2"/>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八、其他说明事项</w:t>
      </w:r>
    </w:p>
    <w:p>
      <w:pPr>
        <w:spacing w:line="408" w:lineRule="auto"/>
        <w:ind w:left="525" w:leftChars="250"/>
        <w:rPr>
          <w:rFonts w:ascii="宋体" w:hAnsi="宋体" w:cs="宋体"/>
          <w:sz w:val="24"/>
        </w:rPr>
      </w:pPr>
    </w:p>
    <w:bookmarkEnd w:id="173"/>
    <w:bookmarkEnd w:id="174"/>
    <w:bookmarkEnd w:id="175"/>
    <w:bookmarkEnd w:id="176"/>
    <w:p>
      <w:pPr>
        <w:spacing w:line="550" w:lineRule="exact"/>
        <w:ind w:right="640"/>
        <w:rPr>
          <w:rFonts w:ascii="宋体" w:hAnsi="宋体" w:cs="宋体"/>
          <w:sz w:val="24"/>
        </w:rPr>
      </w:pPr>
    </w:p>
    <w:p/>
    <w:p/>
    <w:sectPr>
      <w:pgSz w:w="11906" w:h="16838"/>
      <w:pgMar w:top="1417" w:right="1417" w:bottom="1417" w:left="17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LLILPH+??‹??">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C94BC"/>
    <w:multiLevelType w:val="singleLevel"/>
    <w:tmpl w:val="95AC94BC"/>
    <w:lvl w:ilvl="0" w:tentative="0">
      <w:start w:val="2"/>
      <w:numFmt w:val="decimal"/>
      <w:lvlText w:val="%1."/>
      <w:lvlJc w:val="left"/>
      <w:pPr>
        <w:tabs>
          <w:tab w:val="left" w:pos="312"/>
        </w:tabs>
      </w:pPr>
    </w:lvl>
  </w:abstractNum>
  <w:abstractNum w:abstractNumId="1">
    <w:nsid w:val="F8BB5BFD"/>
    <w:multiLevelType w:val="singleLevel"/>
    <w:tmpl w:val="F8BB5BFD"/>
    <w:lvl w:ilvl="0" w:tentative="0">
      <w:start w:val="1"/>
      <w:numFmt w:val="chineseCounting"/>
      <w:suff w:val="nothing"/>
      <w:lvlText w:val="%1、"/>
      <w:lvlJc w:val="left"/>
      <w:rPr>
        <w:rFonts w:hint="eastAsia"/>
      </w:rPr>
    </w:lvl>
  </w:abstractNum>
  <w:abstractNum w:abstractNumId="2">
    <w:nsid w:val="FDA68C60"/>
    <w:multiLevelType w:val="multilevel"/>
    <w:tmpl w:val="FDA68C60"/>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34BDB2C3"/>
    <w:multiLevelType w:val="singleLevel"/>
    <w:tmpl w:val="34BDB2C3"/>
    <w:lvl w:ilvl="0" w:tentative="0">
      <w:start w:val="1"/>
      <w:numFmt w:val="upperLetter"/>
      <w:lvlText w:val="%1."/>
      <w:lvlJc w:val="left"/>
      <w:pPr>
        <w:tabs>
          <w:tab w:val="left" w:pos="312"/>
        </w:tabs>
      </w:pPr>
    </w:lvl>
  </w:abstractNum>
  <w:abstractNum w:abstractNumId="4">
    <w:nsid w:val="3847499E"/>
    <w:multiLevelType w:val="multilevel"/>
    <w:tmpl w:val="3847499E"/>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17ED63D"/>
    <w:multiLevelType w:val="multilevel"/>
    <w:tmpl w:val="417ED63D"/>
    <w:lvl w:ilvl="0" w:tentative="0">
      <w:start w:val="6"/>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4AD353B"/>
    <w:multiLevelType w:val="multilevel"/>
    <w:tmpl w:val="54AD353B"/>
    <w:lvl w:ilvl="0" w:tentative="0">
      <w:start w:val="1"/>
      <w:numFmt w:val="decimal"/>
      <w:lvlText w:val="%1、"/>
      <w:lvlJc w:val="left"/>
      <w:pPr>
        <w:ind w:left="420" w:hanging="420"/>
      </w:pPr>
      <w:rPr>
        <w:rFonts w:ascii="宋体" w:hAnsi="宋体" w:eastAsia="宋体"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27136D"/>
    <w:multiLevelType w:val="singleLevel"/>
    <w:tmpl w:val="5627136D"/>
    <w:lvl w:ilvl="0" w:tentative="0">
      <w:start w:val="1"/>
      <w:numFmt w:val="decimal"/>
      <w:suff w:val="nothing"/>
      <w:lvlText w:val="%1、"/>
      <w:lvlJc w:val="left"/>
    </w:lvl>
  </w:abstractNum>
  <w:abstractNum w:abstractNumId="8">
    <w:nsid w:val="7DBE531A"/>
    <w:multiLevelType w:val="singleLevel"/>
    <w:tmpl w:val="7DBE531A"/>
    <w:lvl w:ilvl="0" w:tentative="0">
      <w:start w:val="5"/>
      <w:numFmt w:val="chineseCounting"/>
      <w:suff w:val="space"/>
      <w:lvlText w:val="第%1章"/>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N2M4MThiYWRjOTY5YWQ5MGY3YjJiNzBkNGU0OTUifQ=="/>
  </w:docVars>
  <w:rsids>
    <w:rsidRoot w:val="004B6602"/>
    <w:rsid w:val="00006AF9"/>
    <w:rsid w:val="000E4F86"/>
    <w:rsid w:val="0018749B"/>
    <w:rsid w:val="001A06D7"/>
    <w:rsid w:val="00314289"/>
    <w:rsid w:val="004436C4"/>
    <w:rsid w:val="004B6602"/>
    <w:rsid w:val="00507531"/>
    <w:rsid w:val="005C1066"/>
    <w:rsid w:val="007B32CE"/>
    <w:rsid w:val="00B144BE"/>
    <w:rsid w:val="00BD05CF"/>
    <w:rsid w:val="00C9141E"/>
    <w:rsid w:val="00DE1010"/>
    <w:rsid w:val="00E11588"/>
    <w:rsid w:val="00E8288D"/>
    <w:rsid w:val="00E97057"/>
    <w:rsid w:val="00F36BA9"/>
    <w:rsid w:val="02963AF1"/>
    <w:rsid w:val="043F0CF9"/>
    <w:rsid w:val="0723568B"/>
    <w:rsid w:val="07A42FC9"/>
    <w:rsid w:val="082251E3"/>
    <w:rsid w:val="08B35715"/>
    <w:rsid w:val="0A4E45BA"/>
    <w:rsid w:val="0CCD363D"/>
    <w:rsid w:val="0CE238D4"/>
    <w:rsid w:val="0DA45747"/>
    <w:rsid w:val="0FA17A8E"/>
    <w:rsid w:val="0FC165D7"/>
    <w:rsid w:val="135E02B9"/>
    <w:rsid w:val="142F5420"/>
    <w:rsid w:val="16350BE0"/>
    <w:rsid w:val="166939F1"/>
    <w:rsid w:val="192D3F85"/>
    <w:rsid w:val="1A1F44BD"/>
    <w:rsid w:val="1D39141D"/>
    <w:rsid w:val="1E4A22EC"/>
    <w:rsid w:val="1F602BDC"/>
    <w:rsid w:val="1FDA2770"/>
    <w:rsid w:val="20524D8E"/>
    <w:rsid w:val="214975D5"/>
    <w:rsid w:val="23061120"/>
    <w:rsid w:val="23846ED4"/>
    <w:rsid w:val="26262EE0"/>
    <w:rsid w:val="268A023A"/>
    <w:rsid w:val="28435C89"/>
    <w:rsid w:val="286B4325"/>
    <w:rsid w:val="288E7471"/>
    <w:rsid w:val="28EE2101"/>
    <w:rsid w:val="29833A89"/>
    <w:rsid w:val="2B9F1782"/>
    <w:rsid w:val="2DB51210"/>
    <w:rsid w:val="2F224C77"/>
    <w:rsid w:val="31E7380E"/>
    <w:rsid w:val="329E7043"/>
    <w:rsid w:val="330170EA"/>
    <w:rsid w:val="33130F5D"/>
    <w:rsid w:val="360367FD"/>
    <w:rsid w:val="38470C27"/>
    <w:rsid w:val="39162A7F"/>
    <w:rsid w:val="39751D14"/>
    <w:rsid w:val="3BAE1530"/>
    <w:rsid w:val="3C843CE7"/>
    <w:rsid w:val="400A2887"/>
    <w:rsid w:val="4228796D"/>
    <w:rsid w:val="44B013A1"/>
    <w:rsid w:val="46B60E3B"/>
    <w:rsid w:val="48D264D2"/>
    <w:rsid w:val="4B5D0AEF"/>
    <w:rsid w:val="4D0740EB"/>
    <w:rsid w:val="4D1909F7"/>
    <w:rsid w:val="4DB93750"/>
    <w:rsid w:val="4EA92DB0"/>
    <w:rsid w:val="531D0170"/>
    <w:rsid w:val="536F7632"/>
    <w:rsid w:val="54B33720"/>
    <w:rsid w:val="54F95BAF"/>
    <w:rsid w:val="58243792"/>
    <w:rsid w:val="59105B39"/>
    <w:rsid w:val="5E5669F8"/>
    <w:rsid w:val="5FE918AC"/>
    <w:rsid w:val="61151731"/>
    <w:rsid w:val="621072FD"/>
    <w:rsid w:val="628D57ED"/>
    <w:rsid w:val="63401F1A"/>
    <w:rsid w:val="66E859E6"/>
    <w:rsid w:val="672010A4"/>
    <w:rsid w:val="695C2223"/>
    <w:rsid w:val="6BEC2333"/>
    <w:rsid w:val="6D97495B"/>
    <w:rsid w:val="6DD80CDF"/>
    <w:rsid w:val="6E9552BD"/>
    <w:rsid w:val="703F6D26"/>
    <w:rsid w:val="70AB1193"/>
    <w:rsid w:val="72BF1E62"/>
    <w:rsid w:val="73A66225"/>
    <w:rsid w:val="73B52150"/>
    <w:rsid w:val="74F70FB8"/>
    <w:rsid w:val="76682D7E"/>
    <w:rsid w:val="788962DB"/>
    <w:rsid w:val="789D626C"/>
    <w:rsid w:val="79DB5F57"/>
    <w:rsid w:val="7A2B1CD2"/>
    <w:rsid w:val="7D176ECF"/>
    <w:rsid w:val="7FAF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line="360" w:lineRule="auto"/>
      <w:outlineLvl w:val="0"/>
    </w:pPr>
    <w:rPr>
      <w:rFonts w:ascii="Times New Roman" w:hAnsi="Times New Roman"/>
      <w:b/>
      <w:bCs/>
      <w:kern w:val="44"/>
      <w:sz w:val="32"/>
      <w:szCs w:val="32"/>
    </w:rPr>
  </w:style>
  <w:style w:type="paragraph" w:styleId="4">
    <w:name w:val="heading 2"/>
    <w:basedOn w:val="1"/>
    <w:next w:val="1"/>
    <w:link w:val="2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9"/>
    <w:qFormat/>
    <w:uiPriority w:val="0"/>
    <w:pPr>
      <w:keepNext/>
      <w:keepLines/>
      <w:spacing w:before="260" w:after="260" w:line="413" w:lineRule="auto"/>
      <w:outlineLvl w:val="2"/>
    </w:pPr>
    <w:rPr>
      <w:b/>
      <w:sz w:val="32"/>
    </w:rPr>
  </w:style>
  <w:style w:type="paragraph" w:styleId="2">
    <w:name w:val="heading 4"/>
    <w:basedOn w:val="1"/>
    <w:next w:val="1"/>
    <w:link w:val="26"/>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qFormat/>
    <w:uiPriority w:val="0"/>
    <w:pPr>
      <w:jc w:val="left"/>
    </w:pPr>
    <w:rPr>
      <w:rFonts w:ascii="Times New Roman" w:hAnsi="Times New Roman"/>
      <w:szCs w:val="21"/>
    </w:rPr>
  </w:style>
  <w:style w:type="paragraph" w:styleId="7">
    <w:name w:val="Body Text"/>
    <w:basedOn w:val="1"/>
    <w:next w:val="1"/>
    <w:link w:val="31"/>
    <w:qFormat/>
    <w:uiPriority w:val="0"/>
    <w:pPr>
      <w:jc w:val="center"/>
    </w:pPr>
    <w:rPr>
      <w:rFonts w:ascii="Times New Roman" w:hAnsi="Times New Roman"/>
      <w:szCs w:val="21"/>
    </w:rPr>
  </w:style>
  <w:style w:type="paragraph" w:styleId="8">
    <w:name w:val="Plain Text"/>
    <w:basedOn w:val="1"/>
    <w:qFormat/>
    <w:uiPriority w:val="99"/>
    <w:rPr>
      <w:rFonts w:ascii="宋体" w:hAnsi="Courier New"/>
      <w:szCs w:val="21"/>
    </w:rPr>
  </w:style>
  <w:style w:type="paragraph" w:styleId="9">
    <w:name w:val="Date"/>
    <w:basedOn w:val="1"/>
    <w:next w:val="1"/>
    <w:link w:val="32"/>
    <w:qFormat/>
    <w:uiPriority w:val="0"/>
    <w:pPr>
      <w:ind w:left="100" w:leftChars="2500"/>
    </w:pPr>
    <w:rPr>
      <w:rFonts w:ascii="Times New Roman" w:hAnsi="Times New Roman"/>
      <w:szCs w:val="21"/>
    </w:rPr>
  </w:style>
  <w:style w:type="paragraph" w:styleId="10">
    <w:name w:val="Balloon Text"/>
    <w:basedOn w:val="1"/>
    <w:link w:val="55"/>
    <w:qFormat/>
    <w:uiPriority w:val="0"/>
    <w:rPr>
      <w:sz w:val="18"/>
      <w:szCs w:val="18"/>
    </w:rPr>
  </w:style>
  <w:style w:type="paragraph" w:styleId="11">
    <w:name w:val="footer"/>
    <w:basedOn w:val="1"/>
    <w:link w:val="33"/>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before="120" w:after="120"/>
      <w:jc w:val="left"/>
    </w:pPr>
    <w:rPr>
      <w:b/>
      <w:bCs/>
      <w:caps/>
      <w:sz w:val="20"/>
      <w:szCs w:val="20"/>
    </w:rPr>
  </w:style>
  <w:style w:type="paragraph" w:styleId="14">
    <w:name w:val="Normal (Web)"/>
    <w:basedOn w:val="1"/>
    <w:qFormat/>
    <w:uiPriority w:val="0"/>
    <w:pPr>
      <w:widowControl/>
      <w:spacing w:before="100" w:beforeAutospacing="1" w:after="100" w:afterAutospacing="1"/>
      <w:jc w:val="left"/>
    </w:pPr>
    <w:rPr>
      <w:rFonts w:hint="eastAsia" w:ascii="宋体" w:hAnsi="宋体"/>
      <w:sz w:val="24"/>
    </w:rPr>
  </w:style>
  <w:style w:type="paragraph" w:styleId="15">
    <w:name w:val="Body Text First Indent"/>
    <w:basedOn w:val="7"/>
    <w:link w:val="35"/>
    <w:qFormat/>
    <w:uiPriority w:val="0"/>
    <w:pPr>
      <w:ind w:firstLine="420" w:firstLineChars="100"/>
    </w:pPr>
    <w:rPr>
      <w:szCs w:val="24"/>
    </w:r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TML Definition"/>
    <w:basedOn w:val="17"/>
    <w:qFormat/>
    <w:uiPriority w:val="0"/>
    <w:rPr>
      <w:i/>
    </w:rPr>
  </w:style>
  <w:style w:type="character" w:styleId="22">
    <w:name w:val="Hyperlink"/>
    <w:basedOn w:val="17"/>
    <w:qFormat/>
    <w:uiPriority w:val="0"/>
    <w:rPr>
      <w:color w:val="333333"/>
      <w:u w:val="none"/>
    </w:rPr>
  </w:style>
  <w:style w:type="character" w:styleId="23">
    <w:name w:val="HTML Code"/>
    <w:basedOn w:val="17"/>
    <w:qFormat/>
    <w:uiPriority w:val="0"/>
    <w:rPr>
      <w:rFonts w:hint="default" w:ascii="Consolas" w:hAnsi="Consolas" w:eastAsia="Consolas" w:cs="Consolas"/>
      <w:color w:val="C7254E"/>
      <w:sz w:val="21"/>
      <w:szCs w:val="21"/>
      <w:shd w:val="clear" w:color="auto" w:fill="F9F2F4"/>
    </w:rPr>
  </w:style>
  <w:style w:type="character" w:styleId="24">
    <w:name w:val="HTML Keyboard"/>
    <w:basedOn w:val="17"/>
    <w:qFormat/>
    <w:uiPriority w:val="0"/>
    <w:rPr>
      <w:rFonts w:hint="default" w:ascii="Consolas" w:hAnsi="Consolas" w:eastAsia="Consolas" w:cs="Consolas"/>
      <w:color w:val="FFFFFF"/>
      <w:sz w:val="21"/>
      <w:szCs w:val="21"/>
      <w:shd w:val="clear" w:color="auto" w:fill="333333"/>
    </w:rPr>
  </w:style>
  <w:style w:type="character" w:styleId="25">
    <w:name w:val="HTML Sample"/>
    <w:basedOn w:val="17"/>
    <w:qFormat/>
    <w:uiPriority w:val="0"/>
    <w:rPr>
      <w:rFonts w:hint="default" w:ascii="Consolas" w:hAnsi="Consolas" w:eastAsia="Consolas" w:cs="Consolas"/>
      <w:sz w:val="21"/>
      <w:szCs w:val="21"/>
      <w:shd w:val="clear" w:color="auto" w:fill="FFFFFF"/>
    </w:rPr>
  </w:style>
  <w:style w:type="character" w:customStyle="1" w:styleId="26">
    <w:name w:val="标题 4 Char"/>
    <w:basedOn w:val="17"/>
    <w:link w:val="2"/>
    <w:qFormat/>
    <w:uiPriority w:val="0"/>
    <w:rPr>
      <w:rFonts w:ascii="Arial" w:hAnsi="Arial" w:cs="Arial"/>
      <w:b/>
      <w:bCs/>
      <w:kern w:val="2"/>
      <w:sz w:val="21"/>
      <w:szCs w:val="21"/>
    </w:rPr>
  </w:style>
  <w:style w:type="character" w:customStyle="1" w:styleId="27">
    <w:name w:val="标题 1 Char"/>
    <w:basedOn w:val="17"/>
    <w:link w:val="3"/>
    <w:qFormat/>
    <w:uiPriority w:val="0"/>
    <w:rPr>
      <w:b/>
      <w:bCs/>
      <w:kern w:val="44"/>
      <w:sz w:val="32"/>
      <w:szCs w:val="32"/>
    </w:rPr>
  </w:style>
  <w:style w:type="character" w:customStyle="1" w:styleId="28">
    <w:name w:val="标题 2 Char"/>
    <w:basedOn w:val="17"/>
    <w:link w:val="4"/>
    <w:qFormat/>
    <w:uiPriority w:val="0"/>
    <w:rPr>
      <w:rFonts w:hint="default" w:ascii="Cambria" w:hAnsi="Cambria" w:eastAsia="Cambria" w:cs="Cambria"/>
      <w:b/>
      <w:bCs/>
      <w:kern w:val="2"/>
      <w:sz w:val="32"/>
      <w:szCs w:val="32"/>
    </w:rPr>
  </w:style>
  <w:style w:type="character" w:customStyle="1" w:styleId="29">
    <w:name w:val="标题 3 Char"/>
    <w:basedOn w:val="17"/>
    <w:link w:val="5"/>
    <w:qFormat/>
    <w:uiPriority w:val="0"/>
    <w:rPr>
      <w:b/>
      <w:bCs/>
      <w:kern w:val="2"/>
      <w:sz w:val="24"/>
      <w:szCs w:val="24"/>
    </w:rPr>
  </w:style>
  <w:style w:type="character" w:customStyle="1" w:styleId="30">
    <w:name w:val="批注文字 Char"/>
    <w:basedOn w:val="17"/>
    <w:link w:val="6"/>
    <w:qFormat/>
    <w:uiPriority w:val="0"/>
    <w:rPr>
      <w:kern w:val="2"/>
      <w:sz w:val="21"/>
      <w:szCs w:val="21"/>
    </w:rPr>
  </w:style>
  <w:style w:type="character" w:customStyle="1" w:styleId="31">
    <w:name w:val="正文文本 Char"/>
    <w:basedOn w:val="17"/>
    <w:link w:val="7"/>
    <w:qFormat/>
    <w:uiPriority w:val="0"/>
    <w:rPr>
      <w:kern w:val="2"/>
      <w:sz w:val="21"/>
      <w:szCs w:val="21"/>
    </w:rPr>
  </w:style>
  <w:style w:type="character" w:customStyle="1" w:styleId="32">
    <w:name w:val="日期 Char"/>
    <w:basedOn w:val="17"/>
    <w:link w:val="9"/>
    <w:qFormat/>
    <w:uiPriority w:val="0"/>
    <w:rPr>
      <w:kern w:val="2"/>
      <w:sz w:val="21"/>
      <w:szCs w:val="21"/>
    </w:rPr>
  </w:style>
  <w:style w:type="character" w:customStyle="1" w:styleId="33">
    <w:name w:val="页脚 Char"/>
    <w:basedOn w:val="17"/>
    <w:link w:val="11"/>
    <w:qFormat/>
    <w:uiPriority w:val="0"/>
    <w:rPr>
      <w:kern w:val="2"/>
      <w:sz w:val="18"/>
      <w:szCs w:val="18"/>
    </w:rPr>
  </w:style>
  <w:style w:type="character" w:customStyle="1" w:styleId="34">
    <w:name w:val="页眉 Char"/>
    <w:basedOn w:val="17"/>
    <w:link w:val="12"/>
    <w:qFormat/>
    <w:uiPriority w:val="0"/>
    <w:rPr>
      <w:kern w:val="2"/>
      <w:sz w:val="18"/>
      <w:szCs w:val="18"/>
    </w:rPr>
  </w:style>
  <w:style w:type="character" w:customStyle="1" w:styleId="35">
    <w:name w:val="正文首行缩进 Char"/>
    <w:basedOn w:val="31"/>
    <w:link w:val="15"/>
    <w:qFormat/>
    <w:uiPriority w:val="0"/>
    <w:rPr>
      <w:kern w:val="2"/>
      <w:sz w:val="21"/>
      <w:szCs w:val="24"/>
    </w:rPr>
  </w:style>
  <w:style w:type="character" w:customStyle="1" w:styleId="36">
    <w:name w:val="hover"/>
    <w:basedOn w:val="17"/>
    <w:qFormat/>
    <w:uiPriority w:val="0"/>
    <w:rPr>
      <w:shd w:val="clear" w:color="auto" w:fill="EEEEEE"/>
    </w:rPr>
  </w:style>
  <w:style w:type="character" w:customStyle="1" w:styleId="37">
    <w:name w:val="hover2"/>
    <w:basedOn w:val="17"/>
    <w:qFormat/>
    <w:uiPriority w:val="0"/>
    <w:rPr>
      <w:shd w:val="clear" w:color="auto" w:fill="EEEEEE"/>
    </w:rPr>
  </w:style>
  <w:style w:type="character" w:customStyle="1" w:styleId="38">
    <w:name w:val="hour_pm"/>
    <w:basedOn w:val="17"/>
    <w:qFormat/>
    <w:uiPriority w:val="0"/>
  </w:style>
  <w:style w:type="character" w:customStyle="1" w:styleId="39">
    <w:name w:val="indent"/>
    <w:basedOn w:val="17"/>
    <w:qFormat/>
    <w:uiPriority w:val="0"/>
  </w:style>
  <w:style w:type="character" w:customStyle="1" w:styleId="40">
    <w:name w:val="tmpztreemove_arrow"/>
    <w:basedOn w:val="17"/>
    <w:qFormat/>
    <w:uiPriority w:val="0"/>
    <w:rPr>
      <w:shd w:val="clear" w:color="auto" w:fill="FFFFFF"/>
    </w:rPr>
  </w:style>
  <w:style w:type="character" w:customStyle="1" w:styleId="41">
    <w:name w:val="glyphicon"/>
    <w:basedOn w:val="17"/>
    <w:qFormat/>
    <w:uiPriority w:val="0"/>
  </w:style>
  <w:style w:type="character" w:customStyle="1" w:styleId="42">
    <w:name w:val="button"/>
    <w:basedOn w:val="17"/>
    <w:qFormat/>
    <w:uiPriority w:val="0"/>
  </w:style>
  <w:style w:type="character" w:customStyle="1" w:styleId="43">
    <w:name w:val="glyphicon4"/>
    <w:basedOn w:val="17"/>
    <w:qFormat/>
    <w:uiPriority w:val="0"/>
  </w:style>
  <w:style w:type="character" w:customStyle="1" w:styleId="44">
    <w:name w:val="old"/>
    <w:basedOn w:val="17"/>
    <w:qFormat/>
    <w:uiPriority w:val="0"/>
    <w:rPr>
      <w:color w:val="999999"/>
    </w:rPr>
  </w:style>
  <w:style w:type="character" w:customStyle="1" w:styleId="45">
    <w:name w:val="hover3"/>
    <w:basedOn w:val="17"/>
    <w:qFormat/>
    <w:uiPriority w:val="0"/>
    <w:rPr>
      <w:shd w:val="clear" w:color="auto" w:fill="EEEEEE"/>
    </w:rPr>
  </w:style>
  <w:style w:type="character" w:customStyle="1" w:styleId="46">
    <w:name w:val="hour_am"/>
    <w:basedOn w:val="17"/>
    <w:qFormat/>
    <w:uiPriority w:val="0"/>
  </w:style>
  <w:style w:type="paragraph" w:customStyle="1" w:styleId="47">
    <w:name w:val="title12"/>
    <w:basedOn w:val="1"/>
    <w:qFormat/>
    <w:uiPriority w:val="0"/>
    <w:pPr>
      <w:widowControl/>
      <w:spacing w:before="150" w:line="510" w:lineRule="atLeast"/>
      <w:jc w:val="left"/>
    </w:pPr>
    <w:rPr>
      <w:rFonts w:hint="eastAsia" w:ascii="宋体" w:hAnsi="宋体"/>
      <w:b/>
      <w:bCs/>
      <w:kern w:val="0"/>
      <w:sz w:val="23"/>
      <w:szCs w:val="23"/>
    </w:rPr>
  </w:style>
  <w:style w:type="paragraph" w:customStyle="1" w:styleId="48">
    <w:name w:val="Normal_34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49">
    <w:name w:val="列出段落1"/>
    <w:basedOn w:val="1"/>
    <w:qFormat/>
    <w:uiPriority w:val="0"/>
    <w:pPr>
      <w:ind w:firstLine="420" w:firstLineChars="200"/>
    </w:pPr>
    <w:rPr>
      <w:szCs w:val="21"/>
    </w:rPr>
  </w:style>
  <w:style w:type="paragraph" w:customStyle="1" w:styleId="50">
    <w:name w:val="List Paragraph_a13e901a-d7d9-4441-ba6b-091e4de82f5d"/>
    <w:basedOn w:val="1"/>
    <w:qFormat/>
    <w:uiPriority w:val="0"/>
    <w:pPr>
      <w:ind w:firstLine="420" w:firstLineChars="200"/>
    </w:pPr>
    <w:rPr>
      <w:rFonts w:ascii="Times New Roman" w:hAnsi="Times New Roman"/>
      <w:szCs w:val="21"/>
    </w:rPr>
  </w:style>
  <w:style w:type="paragraph" w:customStyle="1" w:styleId="51">
    <w:name w:val="无缩进格式"/>
    <w:basedOn w:val="1"/>
    <w:qFormat/>
    <w:uiPriority w:val="0"/>
    <w:pPr>
      <w:spacing w:line="360" w:lineRule="auto"/>
      <w:jc w:val="center"/>
    </w:pPr>
    <w:rPr>
      <w:rFonts w:ascii="Times New Roman" w:hAnsi="Times New Roman"/>
      <w:sz w:val="24"/>
    </w:rPr>
  </w:style>
  <w:style w:type="paragraph" w:styleId="52">
    <w:name w:val="List Paragraph"/>
    <w:basedOn w:val="1"/>
    <w:qFormat/>
    <w:uiPriority w:val="0"/>
    <w:pPr>
      <w:ind w:firstLine="420" w:firstLineChars="200"/>
    </w:pPr>
  </w:style>
  <w:style w:type="paragraph" w:customStyle="1" w:styleId="5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4">
    <w:name w:val="*正文"/>
    <w:basedOn w:val="1"/>
    <w:qFormat/>
    <w:uiPriority w:val="99"/>
    <w:pPr>
      <w:widowControl/>
      <w:ind w:firstLine="200" w:firstLineChars="200"/>
    </w:pPr>
    <w:rPr>
      <w:rFonts w:ascii="??_GB2312" w:eastAsia="Times New Roman" w:cs="??_GB2312"/>
      <w:sz w:val="24"/>
    </w:rPr>
  </w:style>
  <w:style w:type="character" w:customStyle="1" w:styleId="55">
    <w:name w:val="批注框文本 Char"/>
    <w:basedOn w:val="17"/>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6712</Words>
  <Characters>38263</Characters>
  <Lines>318</Lines>
  <Paragraphs>89</Paragraphs>
  <TotalTime>0</TotalTime>
  <ScaleCrop>false</ScaleCrop>
  <LinksUpToDate>false</LinksUpToDate>
  <CharactersWithSpaces>44886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2021-09-03T02:07:00Z</dcterms:created>
  <dc:creator>Administrator</dc:creator>
  <cp:lastModifiedBy>mr.Deja Vu</cp:lastModifiedBy>
  <dcterms:modified xsi:type="dcterms:W3CDTF">2023-11-30T01:37:26Z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97A2140095AF49FA8B65C3EF2D7A3CCE</vt:lpwstr>
  </property>
</Properties>
</file>