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b/>
          <w:sz w:val="28"/>
          <w:szCs w:val="28"/>
        </w:rPr>
      </w:pPr>
      <w:r>
        <w:rPr>
          <w:rFonts w:hint="eastAsia" w:ascii="宋体" w:hAnsi="宋体" w:cs="宋体"/>
          <w:b/>
          <w:sz w:val="28"/>
          <w:szCs w:val="28"/>
        </w:rPr>
        <w:t xml:space="preserve">  </w:t>
      </w:r>
      <w:r>
        <w:rPr>
          <w:rFonts w:hint="eastAsia" w:ascii="宋体" w:hAnsi="宋体" w:cs="宋体"/>
          <w:b/>
          <w:sz w:val="28"/>
          <w:szCs w:val="28"/>
        </w:rPr>
        <w:drawing>
          <wp:inline distT="0" distB="0" distL="0" distR="0">
            <wp:extent cx="1809750" cy="476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srcRect/>
                    <a:stretch>
                      <a:fillRect/>
                    </a:stretch>
                  </pic:blipFill>
                  <pic:spPr>
                    <a:xfrm>
                      <a:off x="0" y="0"/>
                      <a:ext cx="1809750" cy="476250"/>
                    </a:xfrm>
                    <a:prstGeom prst="rect">
                      <a:avLst/>
                    </a:prstGeom>
                    <a:noFill/>
                    <a:ln w="9525" cmpd="sng">
                      <a:noFill/>
                      <a:miter lim="800000"/>
                      <a:headEnd/>
                      <a:tailEnd/>
                    </a:ln>
                  </pic:spPr>
                </pic:pic>
              </a:graphicData>
            </a:graphic>
          </wp:inline>
        </w:drawing>
      </w:r>
      <w:r>
        <w:rPr>
          <w:rFonts w:hint="eastAsia" w:ascii="宋体" w:hAnsi="宋体" w:cs="宋体"/>
          <w:b/>
          <w:sz w:val="28"/>
          <w:szCs w:val="28"/>
        </w:rPr>
        <w:t xml:space="preserve">       </w:t>
      </w:r>
    </w:p>
    <w:p>
      <w:pPr>
        <w:widowControl/>
        <w:jc w:val="center"/>
        <w:rPr>
          <w:rFonts w:ascii="宋体" w:hAnsi="宋体" w:cs="宋体"/>
          <w:b/>
          <w:sz w:val="26"/>
          <w:szCs w:val="26"/>
        </w:rPr>
      </w:pPr>
      <w:r>
        <w:rPr>
          <w:rFonts w:hint="eastAsia" w:ascii="宋体" w:hAnsi="宋体" w:cs="宋体"/>
          <w:b/>
          <w:sz w:val="26"/>
          <w:szCs w:val="26"/>
        </w:rPr>
        <w:t xml:space="preserve">                                           项目编号：SXTD-ZB2021-1053</w:t>
      </w:r>
    </w:p>
    <w:p>
      <w:pPr>
        <w:spacing w:line="360" w:lineRule="auto"/>
        <w:ind w:right="-56"/>
        <w:jc w:val="left"/>
        <w:rPr>
          <w:rFonts w:hint="eastAsia" w:ascii="宋体" w:hAnsi="宋体" w:cs="宋体"/>
        </w:rPr>
      </w:pPr>
      <w:r>
        <w:rPr>
          <w:rFonts w:hint="eastAsia" w:ascii="宋体" w:hAnsi="宋体" w:cs="宋体"/>
          <w:b/>
          <w:sz w:val="28"/>
          <w:szCs w:val="28"/>
        </w:rPr>
        <w:t xml:space="preserve">                          </w:t>
      </w:r>
    </w:p>
    <w:p>
      <w:pPr>
        <w:jc w:val="center"/>
        <w:rPr>
          <w:rFonts w:hint="eastAsia" w:ascii="宋体" w:hAnsi="宋体" w:cs="宋体"/>
          <w:b/>
          <w:bCs/>
          <w:sz w:val="52"/>
          <w:szCs w:val="52"/>
        </w:rPr>
      </w:pPr>
      <w:r>
        <w:rPr>
          <w:rFonts w:hint="eastAsia" w:ascii="宋体" w:hAnsi="宋体" w:cs="宋体"/>
          <w:b/>
          <w:bCs/>
          <w:sz w:val="52"/>
          <w:szCs w:val="52"/>
        </w:rPr>
        <w:t>陕西省高速公路收费中心监控、GIS系统维护服务</w:t>
      </w:r>
    </w:p>
    <w:p>
      <w:pPr>
        <w:jc w:val="center"/>
        <w:rPr>
          <w:rFonts w:hint="eastAsia" w:ascii="宋体" w:hAnsi="宋体" w:cs="宋体"/>
          <w:b/>
          <w:sz w:val="52"/>
          <w:szCs w:val="52"/>
        </w:rPr>
      </w:pPr>
      <w:r>
        <w:rPr>
          <w:rFonts w:hint="eastAsia" w:ascii="宋体" w:hAnsi="宋体" w:cs="宋体"/>
          <w:b/>
          <w:sz w:val="52"/>
          <w:szCs w:val="52"/>
        </w:rPr>
        <w:t xml:space="preserve"> </w:t>
      </w:r>
    </w:p>
    <w:p>
      <w:pPr>
        <w:pStyle w:val="2"/>
        <w:rPr>
          <w:rFonts w:hint="eastAsia"/>
        </w:rPr>
      </w:pPr>
    </w:p>
    <w:p>
      <w:pPr>
        <w:jc w:val="center"/>
        <w:rPr>
          <w:rFonts w:hint="eastAsia" w:ascii="宋体" w:hAnsi="宋体" w:cs="宋体"/>
          <w:b/>
          <w:sz w:val="52"/>
          <w:szCs w:val="52"/>
        </w:rPr>
      </w:pPr>
    </w:p>
    <w:p>
      <w:pPr>
        <w:jc w:val="center"/>
        <w:rPr>
          <w:rFonts w:hint="eastAsia" w:ascii="宋体" w:hAnsi="宋体" w:cs="宋体"/>
          <w:b/>
          <w:sz w:val="72"/>
          <w:szCs w:val="52"/>
        </w:rPr>
      </w:pPr>
      <w:r>
        <w:rPr>
          <w:rFonts w:hint="eastAsia" w:ascii="宋体" w:hAnsi="宋体" w:cs="宋体"/>
          <w:b/>
          <w:sz w:val="72"/>
          <w:szCs w:val="52"/>
        </w:rPr>
        <w:t>竞争性磋商文件</w:t>
      </w:r>
    </w:p>
    <w:p>
      <w:pPr>
        <w:rPr>
          <w:rFonts w:hint="eastAsia" w:ascii="宋体" w:hAnsi="宋体" w:cs="宋体"/>
        </w:rPr>
      </w:pPr>
    </w:p>
    <w:p>
      <w:pPr>
        <w:jc w:val="center"/>
        <w:rPr>
          <w:rFonts w:hint="eastAsia" w:ascii="宋体" w:hAnsi="宋体" w:cs="宋体"/>
          <w:b/>
          <w:sz w:val="30"/>
          <w:szCs w:val="30"/>
        </w:rPr>
      </w:pPr>
    </w:p>
    <w:p>
      <w:pPr>
        <w:rPr>
          <w:rFonts w:hint="eastAsia" w:ascii="宋体" w:hAnsi="宋体" w:cs="宋体"/>
        </w:rPr>
      </w:pPr>
    </w:p>
    <w:p>
      <w:pPr>
        <w:pStyle w:val="89"/>
        <w:ind w:firstLine="0" w:firstLineChars="0"/>
        <w:rPr>
          <w:rFonts w:hint="eastAsia" w:ascii="宋体" w:hAnsi="宋体" w:cs="宋体"/>
        </w:rPr>
      </w:pPr>
    </w:p>
    <w:p>
      <w:pPr>
        <w:pStyle w:val="89"/>
        <w:rPr>
          <w:rFonts w:hint="eastAsia" w:ascii="宋体" w:hAnsi="宋体" w:cs="宋体"/>
        </w:rPr>
      </w:pPr>
    </w:p>
    <w:p>
      <w:pPr>
        <w:rPr>
          <w:rFonts w:hint="eastAsia" w:ascii="宋体" w:hAnsi="宋体" w:cs="宋体"/>
        </w:rPr>
      </w:pPr>
    </w:p>
    <w:p>
      <w:pPr>
        <w:pStyle w:val="23"/>
        <w:adjustRightInd w:val="0"/>
        <w:snapToGrid w:val="0"/>
        <w:spacing w:line="360" w:lineRule="auto"/>
        <w:rPr>
          <w:rFonts w:hint="eastAsia" w:hAnsi="宋体" w:cs="宋体"/>
          <w:b/>
          <w:sz w:val="28"/>
          <w:szCs w:val="28"/>
        </w:rPr>
      </w:pPr>
    </w:p>
    <w:p>
      <w:pPr>
        <w:pStyle w:val="23"/>
        <w:adjustRightInd w:val="0"/>
        <w:snapToGrid w:val="0"/>
        <w:spacing w:line="360" w:lineRule="auto"/>
        <w:ind w:firstLine="1446" w:firstLineChars="400"/>
        <w:jc w:val="both"/>
        <w:rPr>
          <w:rFonts w:hint="eastAsia" w:hAnsi="宋体" w:cs="宋体"/>
          <w:b/>
          <w:sz w:val="36"/>
          <w:szCs w:val="36"/>
        </w:rPr>
      </w:pPr>
    </w:p>
    <w:p>
      <w:pPr>
        <w:pStyle w:val="23"/>
        <w:adjustRightInd w:val="0"/>
        <w:snapToGrid w:val="0"/>
        <w:spacing w:line="360" w:lineRule="auto"/>
        <w:ind w:firstLine="1446" w:firstLineChars="400"/>
        <w:jc w:val="both"/>
        <w:rPr>
          <w:rFonts w:hint="eastAsia" w:hAnsi="宋体" w:cs="宋体"/>
          <w:b/>
          <w:sz w:val="36"/>
          <w:szCs w:val="36"/>
        </w:rPr>
      </w:pPr>
      <w:r>
        <w:rPr>
          <w:rFonts w:hint="eastAsia" w:hAnsi="宋体" w:cs="宋体"/>
          <w:b/>
          <w:sz w:val="36"/>
          <w:szCs w:val="36"/>
        </w:rPr>
        <w:t>采   购   人：陕西省高速公路收费中心</w:t>
      </w:r>
    </w:p>
    <w:p>
      <w:pPr>
        <w:pStyle w:val="23"/>
        <w:adjustRightInd w:val="0"/>
        <w:snapToGrid w:val="0"/>
        <w:spacing w:line="360" w:lineRule="auto"/>
        <w:ind w:firstLine="1807" w:firstLineChars="500"/>
        <w:rPr>
          <w:rFonts w:hint="eastAsia" w:hAnsi="宋体" w:cs="宋体"/>
          <w:b/>
          <w:sz w:val="36"/>
          <w:szCs w:val="36"/>
        </w:rPr>
      </w:pPr>
    </w:p>
    <w:p>
      <w:pPr>
        <w:pStyle w:val="23"/>
        <w:adjustRightInd w:val="0"/>
        <w:snapToGrid w:val="0"/>
        <w:spacing w:line="360" w:lineRule="auto"/>
        <w:ind w:firstLine="1446" w:firstLineChars="400"/>
        <w:jc w:val="both"/>
        <w:rPr>
          <w:rFonts w:hint="eastAsia" w:hAnsi="宋体" w:cs="宋体"/>
          <w:b/>
          <w:sz w:val="36"/>
          <w:szCs w:val="36"/>
        </w:rPr>
      </w:pPr>
      <w:r>
        <w:rPr>
          <w:rFonts w:hint="eastAsia" w:hAnsi="宋体" w:cs="宋体"/>
          <w:b/>
          <w:sz w:val="36"/>
          <w:szCs w:val="36"/>
        </w:rPr>
        <w:t>采购代理机构：腾德工程咨询有限公司</w:t>
      </w:r>
    </w:p>
    <w:p>
      <w:pPr>
        <w:widowControl/>
        <w:spacing w:before="100" w:beforeAutospacing="1" w:after="100" w:afterAutospacing="1" w:line="360" w:lineRule="auto"/>
        <w:jc w:val="center"/>
        <w:rPr>
          <w:rFonts w:hint="eastAsia" w:ascii="宋体" w:hAnsi="宋体" w:cs="宋体"/>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851" w:gutter="0"/>
          <w:pgNumType w:start="0"/>
          <w:cols w:space="720" w:num="1"/>
          <w:titlePg/>
          <w:docGrid w:type="lines" w:linePitch="312" w:charSpace="0"/>
        </w:sectPr>
      </w:pPr>
      <w:r>
        <w:rPr>
          <w:rFonts w:hint="eastAsia" w:ascii="宋体" w:hAnsi="宋体" w:cs="宋体"/>
          <w:b/>
          <w:sz w:val="36"/>
          <w:szCs w:val="36"/>
        </w:rPr>
        <w:t>二〇二一年七月</w:t>
      </w:r>
    </w:p>
    <w:p>
      <w:pPr>
        <w:spacing w:line="360" w:lineRule="auto"/>
        <w:jc w:val="center"/>
        <w:rPr>
          <w:rFonts w:hint="eastAsia" w:ascii="宋体" w:hAnsi="宋体" w:cs="宋体"/>
          <w:b/>
          <w:bCs/>
          <w:spacing w:val="140"/>
          <w:sz w:val="52"/>
          <w:szCs w:val="52"/>
          <w:u w:val="double"/>
        </w:rPr>
      </w:pPr>
      <w:bookmarkStart w:id="0" w:name="_Toc520356143"/>
      <w:r>
        <w:rPr>
          <w:rFonts w:hint="eastAsia" w:ascii="宋体" w:hAnsi="宋体" w:cs="宋体"/>
          <w:b/>
          <w:bCs/>
          <w:spacing w:val="140"/>
          <w:sz w:val="52"/>
          <w:szCs w:val="52"/>
          <w:u w:val="double"/>
        </w:rPr>
        <w:t>特别提示</w:t>
      </w:r>
    </w:p>
    <w:p>
      <w:pPr>
        <w:spacing w:line="360" w:lineRule="auto"/>
        <w:rPr>
          <w:rFonts w:hint="eastAsia" w:ascii="宋体" w:hAnsi="宋体" w:cs="宋体"/>
          <w:b/>
          <w:bCs/>
          <w:szCs w:val="21"/>
        </w:rPr>
      </w:pPr>
      <w:r>
        <w:rPr>
          <w:rFonts w:hint="eastAsia" w:ascii="宋体" w:hAnsi="宋体" w:cs="宋体"/>
          <w:b/>
          <w:bCs/>
        </w:rPr>
        <w:t xml:space="preserve"> </w:t>
      </w:r>
    </w:p>
    <w:p>
      <w:pPr>
        <w:spacing w:line="360" w:lineRule="auto"/>
        <w:rPr>
          <w:rFonts w:hint="eastAsia" w:ascii="宋体" w:hAnsi="宋体" w:cs="宋体"/>
        </w:rPr>
      </w:pPr>
      <w:r>
        <w:rPr>
          <w:rFonts w:hint="eastAsia" w:ascii="宋体" w:hAnsi="宋体" w:cs="宋体"/>
          <w:b/>
          <w:bCs/>
        </w:rPr>
        <w:t>各投标人</w:t>
      </w:r>
      <w:r>
        <w:rPr>
          <w:rFonts w:hint="eastAsia" w:ascii="宋体" w:hAnsi="宋体" w:cs="宋体"/>
        </w:rPr>
        <w:t>：在此我们特别善意地提醒您注意！</w:t>
      </w:r>
    </w:p>
    <w:p>
      <w:pPr>
        <w:spacing w:line="360" w:lineRule="auto"/>
        <w:rPr>
          <w:rFonts w:hint="eastAsia" w:ascii="宋体" w:hAnsi="宋体" w:cs="宋体"/>
        </w:rPr>
      </w:pPr>
      <w:r>
        <w:rPr>
          <w:rFonts w:hint="eastAsia" w:ascii="宋体" w:hAnsi="宋体" w:cs="宋体"/>
        </w:rPr>
        <w:t>1、请您仔细地阅读竞争性磋商文件并正确理解竞争性磋商文件中各项具体要求。</w:t>
      </w:r>
    </w:p>
    <w:p>
      <w:pPr>
        <w:spacing w:line="360" w:lineRule="auto"/>
        <w:rPr>
          <w:rFonts w:hint="eastAsia" w:ascii="宋体" w:hAnsi="宋体" w:cs="宋体"/>
        </w:rPr>
      </w:pPr>
      <w:r>
        <w:rPr>
          <w:rFonts w:hint="eastAsia" w:ascii="宋体" w:hAnsi="宋体" w:cs="宋体"/>
        </w:rPr>
        <w:t>2、请您严格按照竞争性磋商文件载明的响应文件格式要求编制响应文件。</w:t>
      </w:r>
    </w:p>
    <w:p>
      <w:pPr>
        <w:spacing w:line="360" w:lineRule="auto"/>
        <w:rPr>
          <w:rFonts w:hint="eastAsia" w:ascii="宋体" w:hAnsi="宋体" w:cs="宋体"/>
        </w:rPr>
      </w:pPr>
      <w:r>
        <w:rPr>
          <w:rFonts w:hint="eastAsia" w:ascii="宋体" w:hAnsi="宋体" w:cs="宋体"/>
        </w:rPr>
        <w:t>3、请您按照竞争性磋商文件要求密封响应文件，并正确标记。</w:t>
      </w:r>
    </w:p>
    <w:p>
      <w:pPr>
        <w:spacing w:line="360" w:lineRule="auto"/>
        <w:rPr>
          <w:rFonts w:hint="eastAsia" w:ascii="宋体" w:hAnsi="宋体" w:cs="宋体"/>
        </w:rPr>
      </w:pPr>
      <w:r>
        <w:rPr>
          <w:rFonts w:hint="eastAsia" w:ascii="宋体" w:hAnsi="宋体" w:cs="宋体"/>
        </w:rPr>
        <w:t>4、请您明确标记响应文件的正本、副本。</w:t>
      </w:r>
    </w:p>
    <w:p>
      <w:pPr>
        <w:spacing w:line="360" w:lineRule="auto"/>
        <w:rPr>
          <w:rFonts w:hint="eastAsia" w:ascii="宋体" w:hAnsi="宋体" w:cs="宋体"/>
        </w:rPr>
      </w:pPr>
      <w:r>
        <w:rPr>
          <w:rFonts w:hint="eastAsia" w:ascii="宋体" w:hAnsi="宋体" w:cs="宋体"/>
        </w:rPr>
        <w:t>5、请您于</w:t>
      </w:r>
      <w:r>
        <w:rPr>
          <w:rFonts w:hint="eastAsia" w:ascii="宋体" w:hAnsi="宋体" w:cs="宋体"/>
          <w:b/>
          <w:bCs/>
          <w:u w:val="single"/>
        </w:rPr>
        <w:t>2021</w:t>
      </w:r>
      <w:r>
        <w:rPr>
          <w:rFonts w:hint="eastAsia" w:ascii="宋体" w:hAnsi="宋体" w:cs="宋体"/>
          <w:b/>
          <w:bCs/>
        </w:rPr>
        <w:t>年</w:t>
      </w:r>
      <w:r>
        <w:rPr>
          <w:rFonts w:hint="eastAsia" w:ascii="宋体" w:hAnsi="宋体" w:cs="宋体"/>
          <w:b/>
          <w:bCs/>
          <w:u w:val="single"/>
        </w:rPr>
        <w:t xml:space="preserve"> </w:t>
      </w:r>
      <w:r>
        <w:rPr>
          <w:rFonts w:hint="eastAsia" w:ascii="宋体" w:hAnsi="宋体" w:cs="宋体"/>
          <w:b/>
          <w:bCs/>
          <w:u w:val="single"/>
          <w:lang w:val="en-US" w:eastAsia="zh-CN"/>
        </w:rPr>
        <w:t>7</w:t>
      </w:r>
      <w:r>
        <w:rPr>
          <w:rFonts w:hint="eastAsia" w:ascii="宋体" w:hAnsi="宋体" w:cs="宋体"/>
          <w:b/>
          <w:bCs/>
        </w:rPr>
        <w:t>月</w:t>
      </w:r>
      <w:r>
        <w:rPr>
          <w:rFonts w:hint="eastAsia" w:ascii="宋体" w:hAnsi="宋体" w:cs="宋体"/>
          <w:b/>
          <w:bCs/>
          <w:u w:val="single"/>
        </w:rPr>
        <w:t xml:space="preserve"> </w:t>
      </w:r>
      <w:r>
        <w:rPr>
          <w:rFonts w:hint="eastAsia" w:ascii="宋体" w:hAnsi="宋体" w:cs="宋体"/>
          <w:b/>
          <w:bCs/>
          <w:u w:val="single"/>
          <w:lang w:val="en-US" w:eastAsia="zh-CN"/>
        </w:rPr>
        <w:t>29</w:t>
      </w:r>
      <w:r>
        <w:rPr>
          <w:rFonts w:hint="eastAsia" w:ascii="宋体" w:hAnsi="宋体" w:cs="宋体"/>
          <w:b/>
          <w:bCs/>
          <w:u w:val="single"/>
        </w:rPr>
        <w:t xml:space="preserve"> </w:t>
      </w:r>
      <w:r>
        <w:rPr>
          <w:rFonts w:hint="eastAsia" w:ascii="宋体" w:hAnsi="宋体" w:cs="宋体"/>
          <w:b/>
          <w:bCs/>
        </w:rPr>
        <w:t>日</w:t>
      </w:r>
      <w:r>
        <w:rPr>
          <w:rFonts w:hint="eastAsia" w:ascii="宋体" w:hAnsi="宋体" w:cs="宋体"/>
          <w:b/>
          <w:bCs/>
          <w:u w:val="single"/>
          <w:lang w:val="en-US" w:eastAsia="zh-CN"/>
        </w:rPr>
        <w:t>14</w:t>
      </w:r>
      <w:r>
        <w:rPr>
          <w:rFonts w:hint="eastAsia" w:ascii="宋体" w:hAnsi="宋体" w:cs="宋体"/>
          <w:b/>
          <w:bCs/>
        </w:rPr>
        <w:t>时</w:t>
      </w:r>
      <w:r>
        <w:rPr>
          <w:rFonts w:hint="eastAsia" w:ascii="宋体" w:hAnsi="宋体" w:cs="宋体"/>
          <w:b/>
          <w:bCs/>
          <w:u w:val="single"/>
          <w:lang w:val="en-US" w:eastAsia="zh-CN"/>
        </w:rPr>
        <w:t>3</w:t>
      </w:r>
      <w:r>
        <w:rPr>
          <w:rFonts w:hint="eastAsia" w:ascii="宋体" w:hAnsi="宋体" w:cs="宋体"/>
          <w:b/>
          <w:bCs/>
          <w:u w:val="single"/>
        </w:rPr>
        <w:t>0</w:t>
      </w:r>
      <w:r>
        <w:rPr>
          <w:rFonts w:hint="eastAsia" w:ascii="宋体" w:hAnsi="宋体" w:cs="宋体"/>
          <w:b/>
          <w:bCs/>
        </w:rPr>
        <w:t>分</w:t>
      </w:r>
      <w:r>
        <w:rPr>
          <w:rFonts w:hint="eastAsia" w:ascii="宋体" w:hAnsi="宋体" w:cs="宋体"/>
        </w:rPr>
        <w:t>前，准时到</w:t>
      </w:r>
      <w:r>
        <w:rPr>
          <w:rFonts w:hint="eastAsia" w:ascii="宋体" w:hAnsi="宋体" w:cs="宋体"/>
          <w:u w:val="single"/>
        </w:rPr>
        <w:t>西安市明光路166号凯瑞E座803室</w:t>
      </w:r>
      <w:r>
        <w:rPr>
          <w:rFonts w:hint="eastAsia" w:ascii="宋体" w:hAnsi="宋体" w:cs="宋体"/>
        </w:rPr>
        <w:t>递交响应文件并参加开标，避免迟误。</w:t>
      </w:r>
    </w:p>
    <w:p>
      <w:pPr>
        <w:spacing w:line="360" w:lineRule="auto"/>
        <w:rPr>
          <w:rFonts w:hint="eastAsia" w:ascii="宋体" w:hAnsi="宋体" w:cs="宋体"/>
        </w:rPr>
      </w:pPr>
      <w:r>
        <w:rPr>
          <w:rFonts w:hint="eastAsia" w:ascii="宋体" w:hAnsi="宋体" w:cs="宋体"/>
        </w:rPr>
        <w:t>6、请您不要忘记随身携带竞争性磋商文件要求提供的其他备查文件原件和证书。</w:t>
      </w:r>
    </w:p>
    <w:p>
      <w:pPr>
        <w:spacing w:line="360" w:lineRule="auto"/>
        <w:rPr>
          <w:rFonts w:hint="eastAsia" w:ascii="宋体" w:hAnsi="宋体" w:cs="宋体"/>
        </w:rPr>
      </w:pPr>
      <w:r>
        <w:rPr>
          <w:rFonts w:hint="eastAsia" w:ascii="宋体" w:hAnsi="宋体" w:cs="宋体"/>
        </w:rPr>
        <w:t>7、请您到达磋商地点后及时到签到处签字登记。</w:t>
      </w:r>
    </w:p>
    <w:p>
      <w:pPr>
        <w:spacing w:line="360" w:lineRule="auto"/>
        <w:rPr>
          <w:rFonts w:hint="eastAsia" w:ascii="宋体" w:hAnsi="宋体" w:cs="宋体"/>
          <w:b/>
          <w:bCs/>
        </w:rPr>
      </w:pPr>
      <w:r>
        <w:rPr>
          <w:rFonts w:hint="eastAsia" w:ascii="宋体" w:hAnsi="宋体" w:cs="宋体"/>
          <w:b/>
          <w:bCs/>
        </w:rPr>
        <w:t>8、关于供应商注册登记提醒：</w:t>
      </w:r>
    </w:p>
    <w:p>
      <w:pPr>
        <w:spacing w:line="360" w:lineRule="auto"/>
        <w:ind w:firstLine="422" w:firstLineChars="200"/>
        <w:rPr>
          <w:rFonts w:hint="eastAsia" w:ascii="宋体" w:hAnsi="宋体" w:cs="宋体"/>
          <w:b/>
          <w:bCs/>
        </w:rPr>
      </w:pPr>
      <w:r>
        <w:rPr>
          <w:rFonts w:hint="eastAsia" w:ascii="宋体" w:hAnsi="宋体" w:cs="宋体"/>
          <w:b/>
          <w:bCs/>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spacing w:line="360" w:lineRule="auto"/>
        <w:ind w:firstLine="420" w:firstLineChars="200"/>
        <w:rPr>
          <w:rFonts w:hint="eastAsia" w:ascii="宋体" w:hAnsi="宋体" w:cs="宋体"/>
        </w:rPr>
      </w:pPr>
      <w:r>
        <w:rPr>
          <w:rFonts w:hint="eastAsia" w:ascii="宋体" w:hAnsi="宋体" w:cs="宋体"/>
        </w:rPr>
        <w:t>谨记上述提示，将有助您顺利地参加磋商。若有什么需要帮助，请您与我们的工作人员联系，我们将非常高兴地为您服务。</w:t>
      </w:r>
    </w:p>
    <w:p>
      <w:pPr>
        <w:spacing w:line="360" w:lineRule="auto"/>
        <w:rPr>
          <w:rFonts w:hint="eastAsia" w:ascii="宋体" w:hAnsi="宋体" w:cs="宋体"/>
          <w:b/>
          <w:bCs/>
        </w:rPr>
      </w:pPr>
      <w:r>
        <w:rPr>
          <w:rFonts w:hint="eastAsia" w:ascii="宋体" w:hAnsi="宋体" w:cs="宋体"/>
          <w:b/>
          <w:bCs/>
        </w:rPr>
        <w:t>9、请将委托代理服务费汇至下列指定账户，咨询服务费到账情况请致电财务：17349033753。</w:t>
      </w:r>
    </w:p>
    <w:p>
      <w:pPr>
        <w:spacing w:line="360" w:lineRule="auto"/>
        <w:rPr>
          <w:rFonts w:hint="eastAsia" w:ascii="宋体" w:hAnsi="宋体" w:cs="宋体"/>
        </w:rPr>
      </w:pPr>
      <w:r>
        <w:rPr>
          <w:rFonts w:hint="eastAsia" w:ascii="宋体" w:hAnsi="宋体" w:cs="宋体"/>
        </w:rPr>
        <w:t>开户名称：腾德工程咨询有限公司</w:t>
      </w:r>
    </w:p>
    <w:p>
      <w:pPr>
        <w:spacing w:line="360" w:lineRule="auto"/>
        <w:rPr>
          <w:rFonts w:hint="eastAsia" w:ascii="宋体" w:hAnsi="宋体" w:cs="宋体"/>
        </w:rPr>
      </w:pPr>
      <w:r>
        <w:rPr>
          <w:rFonts w:hint="eastAsia" w:ascii="宋体" w:hAnsi="宋体" w:cs="宋体"/>
        </w:rPr>
        <w:t>开 户 行：中国光大银行股份有限公司西安凤城九路支行</w:t>
      </w:r>
    </w:p>
    <w:p>
      <w:pPr>
        <w:spacing w:line="360" w:lineRule="auto"/>
        <w:rPr>
          <w:rFonts w:hint="eastAsia" w:ascii="宋体" w:hAnsi="宋体" w:cs="宋体"/>
        </w:rPr>
      </w:pPr>
      <w:r>
        <w:rPr>
          <w:rFonts w:hint="eastAsia" w:ascii="宋体" w:hAnsi="宋体" w:cs="宋体"/>
        </w:rPr>
        <w:t>账    号：79260188000034793</w:t>
      </w:r>
    </w:p>
    <w:p>
      <w:pPr>
        <w:spacing w:line="360" w:lineRule="auto"/>
        <w:rPr>
          <w:rFonts w:hint="eastAsia" w:ascii="宋体" w:hAnsi="宋体" w:cs="宋体"/>
          <w:b/>
          <w:bCs/>
          <w:sz w:val="24"/>
        </w:rPr>
      </w:pPr>
      <w:r>
        <w:rPr>
          <w:rFonts w:hint="eastAsia" w:ascii="宋体" w:hAnsi="宋体" w:cs="宋体"/>
          <w:b/>
          <w:bCs/>
        </w:rPr>
        <w:t>领取竞争性磋商文件后，请仔细阅读，特别注意粗体部分，如有疑问，请来电咨询。</w:t>
      </w:r>
    </w:p>
    <w:p>
      <w:pPr>
        <w:spacing w:beforeLines="50" w:afterLines="50" w:line="360" w:lineRule="auto"/>
        <w:jc w:val="center"/>
        <w:rPr>
          <w:rFonts w:hint="eastAsia" w:ascii="宋体" w:hAnsi="宋体" w:cs="宋体"/>
          <w:bCs/>
          <w:sz w:val="32"/>
          <w:szCs w:val="32"/>
        </w:rPr>
      </w:pPr>
    </w:p>
    <w:p>
      <w:pPr>
        <w:pStyle w:val="89"/>
        <w:ind w:firstLine="400"/>
        <w:rPr>
          <w:rFonts w:hint="eastAsia" w:ascii="宋体" w:hAnsi="宋体" w:cs="宋体"/>
        </w:rPr>
      </w:pPr>
    </w:p>
    <w:p>
      <w:pPr>
        <w:pStyle w:val="89"/>
        <w:ind w:firstLine="400"/>
        <w:rPr>
          <w:rFonts w:hint="eastAsia" w:ascii="宋体" w:hAnsi="宋体" w:cs="宋体"/>
        </w:rPr>
      </w:pPr>
    </w:p>
    <w:p>
      <w:pPr>
        <w:pStyle w:val="89"/>
        <w:ind w:firstLine="400"/>
        <w:rPr>
          <w:rFonts w:hint="eastAsia" w:ascii="宋体" w:hAnsi="宋体" w:cs="宋体"/>
        </w:rPr>
      </w:pPr>
    </w:p>
    <w:p>
      <w:pPr>
        <w:pStyle w:val="89"/>
        <w:ind w:firstLine="400"/>
        <w:rPr>
          <w:rFonts w:hint="eastAsia" w:ascii="宋体" w:hAnsi="宋体" w:cs="宋体"/>
        </w:rPr>
      </w:pPr>
    </w:p>
    <w:p>
      <w:pPr>
        <w:pStyle w:val="89"/>
        <w:ind w:firstLine="400"/>
        <w:rPr>
          <w:rFonts w:hint="eastAsia" w:ascii="宋体" w:hAnsi="宋体" w:cs="宋体"/>
        </w:rPr>
      </w:pPr>
    </w:p>
    <w:p>
      <w:pPr>
        <w:pStyle w:val="89"/>
        <w:ind w:firstLine="400"/>
        <w:rPr>
          <w:rFonts w:hint="eastAsia" w:ascii="宋体" w:hAnsi="宋体" w:cs="宋体"/>
        </w:rPr>
      </w:pPr>
    </w:p>
    <w:p>
      <w:pPr>
        <w:pStyle w:val="89"/>
        <w:ind w:firstLine="400"/>
        <w:rPr>
          <w:rFonts w:hint="eastAsia" w:ascii="宋体" w:hAnsi="宋体" w:cs="宋体"/>
        </w:rPr>
      </w:pPr>
    </w:p>
    <w:p>
      <w:pPr>
        <w:widowControl/>
        <w:spacing w:beforeLines="50" w:beforeAutospacing="1" w:afterLines="50" w:afterAutospacing="1" w:line="360" w:lineRule="auto"/>
        <w:jc w:val="center"/>
        <w:rPr>
          <w:rFonts w:hint="eastAsia" w:ascii="宋体" w:hAnsi="宋体" w:eastAsia="宋体" w:cs="宋体"/>
          <w:kern w:val="0"/>
          <w:sz w:val="24"/>
          <w:szCs w:val="24"/>
          <w:lang w:val="en-US" w:eastAsia="zh-CN" w:bidi="ar-SA"/>
        </w:rPr>
      </w:pPr>
      <w:r>
        <w:rPr>
          <w:rFonts w:hint="eastAsia" w:ascii="宋体" w:hAnsi="宋体" w:cs="宋体"/>
          <w:b/>
          <w:bCs/>
          <w:kern w:val="0"/>
          <w:sz w:val="40"/>
          <w:szCs w:val="40"/>
        </w:rPr>
        <w:t>目    录</w:t>
      </w:r>
      <w:r>
        <w:rPr>
          <w:rFonts w:hint="eastAsia" w:ascii="宋体" w:hAnsi="宋体" w:cs="宋体"/>
          <w:kern w:val="0"/>
          <w:sz w:val="24"/>
        </w:rPr>
        <w:fldChar w:fldCharType="begin"/>
      </w:r>
      <w:r>
        <w:rPr>
          <w:rFonts w:hint="eastAsia" w:ascii="宋体" w:hAnsi="宋体" w:cs="宋体"/>
          <w:kern w:val="0"/>
          <w:sz w:val="24"/>
        </w:rPr>
        <w:instrText xml:space="preserve"> TOC \o "1-3" \h \z \u </w:instrText>
      </w:r>
      <w:r>
        <w:rPr>
          <w:rFonts w:hint="eastAsia" w:ascii="宋体" w:hAnsi="宋体" w:cs="宋体"/>
          <w:kern w:val="0"/>
          <w:sz w:val="24"/>
        </w:rPr>
        <w:fldChar w:fldCharType="separate"/>
      </w:r>
    </w:p>
    <w:p>
      <w:pPr>
        <w:pStyle w:val="31"/>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_Toc352 </w:instrText>
      </w:r>
      <w:r>
        <w:rPr>
          <w:rFonts w:hint="eastAsia" w:ascii="宋体" w:hAnsi="宋体" w:cs="宋体"/>
          <w:kern w:val="0"/>
        </w:rPr>
        <w:fldChar w:fldCharType="separate"/>
      </w:r>
      <w:r>
        <w:rPr>
          <w:rFonts w:hint="eastAsia" w:cs="宋体"/>
        </w:rPr>
        <w:t>第一章  竞争性磋商公告</w:t>
      </w:r>
      <w:r>
        <w:tab/>
      </w:r>
      <w:r>
        <w:fldChar w:fldCharType="begin"/>
      </w:r>
      <w:r>
        <w:instrText xml:space="preserve"> PAGEREF _Toc352 \h </w:instrText>
      </w:r>
      <w:r>
        <w:fldChar w:fldCharType="separate"/>
      </w:r>
      <w:r>
        <w:t>3</w:t>
      </w:r>
      <w:r>
        <w:fldChar w:fldCharType="end"/>
      </w:r>
      <w:r>
        <w:rPr>
          <w:rFonts w:hint="eastAsia" w:ascii="宋体" w:hAnsi="宋体" w:cs="宋体"/>
          <w:kern w:val="0"/>
        </w:rPr>
        <w:fldChar w:fldCharType="end"/>
      </w:r>
    </w:p>
    <w:p>
      <w:pPr>
        <w:pStyle w:val="31"/>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_Toc6101 </w:instrText>
      </w:r>
      <w:r>
        <w:rPr>
          <w:rFonts w:hint="eastAsia" w:ascii="宋体" w:hAnsi="宋体" w:cs="宋体"/>
          <w:kern w:val="0"/>
        </w:rPr>
        <w:fldChar w:fldCharType="separate"/>
      </w:r>
      <w:r>
        <w:rPr>
          <w:rFonts w:hint="eastAsia" w:cs="宋体"/>
        </w:rPr>
        <w:t>第二章  供应商须知</w:t>
      </w:r>
      <w:r>
        <w:tab/>
      </w:r>
      <w:r>
        <w:fldChar w:fldCharType="begin"/>
      </w:r>
      <w:r>
        <w:instrText xml:space="preserve"> PAGEREF _Toc6101 \h </w:instrText>
      </w:r>
      <w:r>
        <w:fldChar w:fldCharType="separate"/>
      </w:r>
      <w:r>
        <w:t>6</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_Toc13293 </w:instrText>
      </w:r>
      <w:r>
        <w:rPr>
          <w:rFonts w:hint="eastAsia" w:ascii="宋体" w:hAnsi="宋体" w:cs="宋体"/>
          <w:kern w:val="0"/>
        </w:rPr>
        <w:fldChar w:fldCharType="separate"/>
      </w:r>
      <w:r>
        <w:rPr>
          <w:rFonts w:hint="eastAsia" w:ascii="宋体" w:hAnsi="宋体" w:cs="宋体"/>
          <w:bCs/>
          <w:szCs w:val="21"/>
        </w:rPr>
        <w:t>供应商须知前附表</w:t>
      </w:r>
      <w:r>
        <w:tab/>
      </w:r>
      <w:r>
        <w:fldChar w:fldCharType="begin"/>
      </w:r>
      <w:r>
        <w:instrText xml:space="preserve"> PAGEREF _Toc13293 \h </w:instrText>
      </w:r>
      <w:r>
        <w:fldChar w:fldCharType="separate"/>
      </w:r>
      <w:r>
        <w:t>6</w:t>
      </w:r>
      <w:r>
        <w:fldChar w:fldCharType="end"/>
      </w:r>
      <w:r>
        <w:rPr>
          <w:rFonts w:hint="eastAsia" w:ascii="宋体" w:hAnsi="宋体" w:cs="宋体"/>
          <w:kern w:val="0"/>
        </w:rPr>
        <w:fldChar w:fldCharType="end"/>
      </w:r>
    </w:p>
    <w:p>
      <w:pPr>
        <w:pStyle w:val="31"/>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_Toc27244 </w:instrText>
      </w:r>
      <w:r>
        <w:rPr>
          <w:rFonts w:hint="eastAsia" w:ascii="宋体" w:hAnsi="宋体" w:cs="宋体"/>
          <w:kern w:val="0"/>
        </w:rPr>
        <w:fldChar w:fldCharType="separate"/>
      </w:r>
      <w:r>
        <w:rPr>
          <w:rFonts w:hint="eastAsia" w:ascii="宋体" w:hAnsi="宋体" w:cs="宋体"/>
          <w:kern w:val="0"/>
        </w:rPr>
        <w:t>无需缴纳</w:t>
      </w:r>
      <w:r>
        <w:rPr>
          <w:rFonts w:hint="eastAsia" w:ascii="宋体" w:hAnsi="宋体" w:cs="宋体"/>
          <w:bCs/>
        </w:rPr>
        <w:t>磋商</w:t>
      </w:r>
      <w:r>
        <w:rPr>
          <w:rFonts w:hint="eastAsia" w:ascii="宋体" w:hAnsi="宋体" w:cs="宋体"/>
          <w:kern w:val="0"/>
        </w:rPr>
        <w:t>保证金</w:t>
      </w:r>
      <w:r>
        <w:tab/>
      </w:r>
      <w:r>
        <w:fldChar w:fldCharType="begin"/>
      </w:r>
      <w:r>
        <w:instrText xml:space="preserve"> PAGEREF _Toc27244 \h </w:instrText>
      </w:r>
      <w:r>
        <w:fldChar w:fldCharType="separate"/>
      </w:r>
      <w:r>
        <w:t>14</w:t>
      </w:r>
      <w:r>
        <w:fldChar w:fldCharType="end"/>
      </w:r>
      <w:r>
        <w:rPr>
          <w:rFonts w:hint="eastAsia" w:ascii="宋体" w:hAnsi="宋体" w:cs="宋体"/>
          <w:kern w:val="0"/>
        </w:rPr>
        <w:fldChar w:fldCharType="end"/>
      </w:r>
    </w:p>
    <w:p>
      <w:pPr>
        <w:pStyle w:val="31"/>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_Toc27405 </w:instrText>
      </w:r>
      <w:r>
        <w:rPr>
          <w:rFonts w:hint="eastAsia" w:ascii="宋体" w:hAnsi="宋体" w:cs="宋体"/>
          <w:kern w:val="0"/>
        </w:rPr>
        <w:fldChar w:fldCharType="separate"/>
      </w:r>
      <w:r>
        <w:rPr>
          <w:rFonts w:hint="eastAsia" w:cs="宋体"/>
        </w:rPr>
        <w:t>第三章  评审方法</w:t>
      </w:r>
      <w:r>
        <w:tab/>
      </w:r>
      <w:r>
        <w:fldChar w:fldCharType="begin"/>
      </w:r>
      <w:r>
        <w:instrText xml:space="preserve"> PAGEREF _Toc27405 \h </w:instrText>
      </w:r>
      <w:r>
        <w:fldChar w:fldCharType="separate"/>
      </w:r>
      <w:r>
        <w:t>34</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_Toc28547 </w:instrText>
      </w:r>
      <w:r>
        <w:rPr>
          <w:rFonts w:hint="eastAsia" w:ascii="宋体" w:hAnsi="宋体" w:cs="宋体"/>
          <w:kern w:val="0"/>
        </w:rPr>
        <w:fldChar w:fldCharType="separate"/>
      </w:r>
      <w:r>
        <w:rPr>
          <w:rFonts w:hint="eastAsia" w:ascii="宋体" w:hAnsi="宋体" w:cs="宋体"/>
          <w:szCs w:val="28"/>
        </w:rPr>
        <w:t>附表一  资格性审查表</w:t>
      </w:r>
      <w:r>
        <w:tab/>
      </w:r>
      <w:r>
        <w:fldChar w:fldCharType="begin"/>
      </w:r>
      <w:r>
        <w:instrText xml:space="preserve"> PAGEREF _Toc28547 \h </w:instrText>
      </w:r>
      <w:r>
        <w:fldChar w:fldCharType="separate"/>
      </w:r>
      <w:r>
        <w:t>35</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_Toc14084 </w:instrText>
      </w:r>
      <w:r>
        <w:rPr>
          <w:rFonts w:hint="eastAsia" w:ascii="宋体" w:hAnsi="宋体" w:cs="宋体"/>
          <w:kern w:val="0"/>
        </w:rPr>
        <w:fldChar w:fldCharType="separate"/>
      </w:r>
      <w:r>
        <w:rPr>
          <w:rFonts w:hint="eastAsia" w:ascii="宋体" w:hAnsi="宋体" w:cs="宋体"/>
          <w:szCs w:val="28"/>
        </w:rPr>
        <w:t>附表二 符合性审查表</w:t>
      </w:r>
      <w:r>
        <w:tab/>
      </w:r>
      <w:r>
        <w:fldChar w:fldCharType="begin"/>
      </w:r>
      <w:r>
        <w:instrText xml:space="preserve"> PAGEREF _Toc14084 \h </w:instrText>
      </w:r>
      <w:r>
        <w:fldChar w:fldCharType="separate"/>
      </w:r>
      <w:r>
        <w:t>37</w:t>
      </w:r>
      <w:r>
        <w:fldChar w:fldCharType="end"/>
      </w:r>
      <w:r>
        <w:rPr>
          <w:rFonts w:hint="eastAsia" w:ascii="宋体" w:hAnsi="宋体" w:cs="宋体"/>
          <w:kern w:val="0"/>
        </w:rPr>
        <w:fldChar w:fldCharType="end"/>
      </w:r>
    </w:p>
    <w:p>
      <w:pPr>
        <w:pStyle w:val="31"/>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_Toc27140 </w:instrText>
      </w:r>
      <w:r>
        <w:rPr>
          <w:rFonts w:hint="eastAsia" w:ascii="宋体" w:hAnsi="宋体" w:cs="宋体"/>
          <w:kern w:val="0"/>
        </w:rPr>
        <w:fldChar w:fldCharType="separate"/>
      </w:r>
      <w:r>
        <w:rPr>
          <w:rFonts w:hint="eastAsia" w:cs="宋体"/>
        </w:rPr>
        <w:t>第四章 技术标准和要求</w:t>
      </w:r>
      <w:r>
        <w:tab/>
      </w:r>
      <w:r>
        <w:fldChar w:fldCharType="begin"/>
      </w:r>
      <w:r>
        <w:instrText xml:space="preserve"> PAGEREF _Toc27140 \h </w:instrText>
      </w:r>
      <w:r>
        <w:fldChar w:fldCharType="separate"/>
      </w:r>
      <w:r>
        <w:t>40</w:t>
      </w:r>
      <w:r>
        <w:fldChar w:fldCharType="end"/>
      </w:r>
      <w:r>
        <w:rPr>
          <w:rFonts w:hint="eastAsia" w:ascii="宋体" w:hAnsi="宋体" w:cs="宋体"/>
          <w:kern w:val="0"/>
        </w:rPr>
        <w:fldChar w:fldCharType="end"/>
      </w:r>
    </w:p>
    <w:p>
      <w:pPr>
        <w:pStyle w:val="31"/>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_Toc23530 </w:instrText>
      </w:r>
      <w:r>
        <w:rPr>
          <w:rFonts w:hint="eastAsia" w:ascii="宋体" w:hAnsi="宋体" w:cs="宋体"/>
          <w:kern w:val="0"/>
        </w:rPr>
        <w:fldChar w:fldCharType="separate"/>
      </w:r>
      <w:r>
        <w:rPr>
          <w:rFonts w:hint="eastAsia" w:cs="宋体"/>
        </w:rPr>
        <w:t>第五章  合同条款及格式</w:t>
      </w:r>
      <w:r>
        <w:tab/>
      </w:r>
      <w:r>
        <w:fldChar w:fldCharType="begin"/>
      </w:r>
      <w:r>
        <w:instrText xml:space="preserve"> PAGEREF _Toc23530 \h </w:instrText>
      </w:r>
      <w:r>
        <w:fldChar w:fldCharType="separate"/>
      </w:r>
      <w:r>
        <w:t>44</w:t>
      </w:r>
      <w:r>
        <w:fldChar w:fldCharType="end"/>
      </w:r>
      <w:r>
        <w:rPr>
          <w:rFonts w:hint="eastAsia" w:ascii="宋体" w:hAnsi="宋体" w:cs="宋体"/>
          <w:kern w:val="0"/>
        </w:rPr>
        <w:fldChar w:fldCharType="end"/>
      </w:r>
    </w:p>
    <w:p>
      <w:pPr>
        <w:pStyle w:val="31"/>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_Toc12085 </w:instrText>
      </w:r>
      <w:r>
        <w:rPr>
          <w:rFonts w:hint="eastAsia" w:ascii="宋体" w:hAnsi="宋体" w:cs="宋体"/>
          <w:kern w:val="0"/>
        </w:rPr>
        <w:fldChar w:fldCharType="separate"/>
      </w:r>
      <w:r>
        <w:rPr>
          <w:rFonts w:hint="eastAsia" w:cs="宋体"/>
        </w:rPr>
        <w:t>第六章  竞争性磋商响应文件构成及格式</w:t>
      </w:r>
      <w:r>
        <w:tab/>
      </w:r>
      <w:r>
        <w:fldChar w:fldCharType="begin"/>
      </w:r>
      <w:r>
        <w:instrText xml:space="preserve"> PAGEREF _Toc12085 \h </w:instrText>
      </w:r>
      <w:r>
        <w:fldChar w:fldCharType="separate"/>
      </w:r>
      <w:r>
        <w:t>48</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_Toc7504 </w:instrText>
      </w:r>
      <w:r>
        <w:rPr>
          <w:rFonts w:hint="eastAsia" w:ascii="宋体" w:hAnsi="宋体" w:cs="宋体"/>
          <w:kern w:val="0"/>
        </w:rPr>
        <w:fldChar w:fldCharType="separate"/>
      </w:r>
      <w:r>
        <w:rPr>
          <w:rFonts w:hint="eastAsia" w:cs="宋体"/>
        </w:rPr>
        <w:t>第一部分 资格证明文件</w:t>
      </w:r>
      <w:r>
        <w:tab/>
      </w:r>
      <w:r>
        <w:fldChar w:fldCharType="begin"/>
      </w:r>
      <w:r>
        <w:instrText xml:space="preserve"> PAGEREF _Toc7504 \h </w:instrText>
      </w:r>
      <w:r>
        <w:fldChar w:fldCharType="separate"/>
      </w:r>
      <w:r>
        <w:t>50</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_Toc12858 </w:instrText>
      </w:r>
      <w:r>
        <w:rPr>
          <w:rFonts w:hint="eastAsia" w:ascii="宋体" w:hAnsi="宋体" w:cs="宋体"/>
          <w:kern w:val="0"/>
        </w:rPr>
        <w:fldChar w:fldCharType="separate"/>
      </w:r>
      <w:r>
        <w:rPr>
          <w:rFonts w:hint="eastAsia" w:ascii="宋体" w:hAnsi="宋体" w:cs="宋体"/>
          <w:bCs/>
          <w:szCs w:val="32"/>
        </w:rPr>
        <w:t>一、营业执照等主体资格证明文件</w:t>
      </w:r>
      <w:r>
        <w:tab/>
      </w:r>
      <w:r>
        <w:fldChar w:fldCharType="begin"/>
      </w:r>
      <w:r>
        <w:instrText xml:space="preserve"> PAGEREF _Toc12858 \h </w:instrText>
      </w:r>
      <w:r>
        <w:fldChar w:fldCharType="separate"/>
      </w:r>
      <w:r>
        <w:t>50</w:t>
      </w:r>
      <w:r>
        <w:fldChar w:fldCharType="end"/>
      </w:r>
      <w:r>
        <w:rPr>
          <w:rFonts w:hint="eastAsia" w:ascii="宋体" w:hAnsi="宋体" w:cs="宋体"/>
          <w:kern w:val="0"/>
        </w:rPr>
        <w:fldChar w:fldCharType="end"/>
      </w:r>
    </w:p>
    <w:p>
      <w:pPr>
        <w:pStyle w:val="22"/>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_Toc20538 </w:instrText>
      </w:r>
      <w:r>
        <w:rPr>
          <w:rFonts w:hint="eastAsia" w:ascii="宋体" w:hAnsi="宋体" w:cs="宋体"/>
          <w:kern w:val="0"/>
        </w:rPr>
        <w:fldChar w:fldCharType="separate"/>
      </w:r>
      <w:r>
        <w:rPr>
          <w:rFonts w:hint="eastAsia" w:ascii="宋体" w:hAnsi="宋体" w:cs="宋体"/>
        </w:rPr>
        <w:t>1 、具有独立承担民事责任的能力</w:t>
      </w:r>
      <w:r>
        <w:tab/>
      </w:r>
      <w:r>
        <w:fldChar w:fldCharType="begin"/>
      </w:r>
      <w:r>
        <w:instrText xml:space="preserve"> PAGEREF _Toc20538 \h </w:instrText>
      </w:r>
      <w:r>
        <w:fldChar w:fldCharType="separate"/>
      </w:r>
      <w:r>
        <w:t>50</w:t>
      </w:r>
      <w:r>
        <w:fldChar w:fldCharType="end"/>
      </w:r>
      <w:r>
        <w:rPr>
          <w:rFonts w:hint="eastAsia" w:ascii="宋体" w:hAnsi="宋体" w:cs="宋体"/>
          <w:kern w:val="0"/>
        </w:rPr>
        <w:fldChar w:fldCharType="end"/>
      </w:r>
    </w:p>
    <w:p>
      <w:pPr>
        <w:pStyle w:val="22"/>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_Toc12467 </w:instrText>
      </w:r>
      <w:r>
        <w:rPr>
          <w:rFonts w:hint="eastAsia" w:ascii="宋体" w:hAnsi="宋体" w:cs="宋体"/>
          <w:kern w:val="0"/>
        </w:rPr>
        <w:fldChar w:fldCharType="separate"/>
      </w:r>
      <w:r>
        <w:rPr>
          <w:rFonts w:hint="eastAsia" w:ascii="宋体" w:hAnsi="宋体" w:cs="宋体"/>
        </w:rPr>
        <w:t>2、  具有良好的商业信誉和健全的财务会计制度</w:t>
      </w:r>
      <w:r>
        <w:tab/>
      </w:r>
      <w:r>
        <w:fldChar w:fldCharType="begin"/>
      </w:r>
      <w:r>
        <w:instrText xml:space="preserve"> PAGEREF _Toc12467 \h </w:instrText>
      </w:r>
      <w:r>
        <w:fldChar w:fldCharType="separate"/>
      </w:r>
      <w:r>
        <w:t>51</w:t>
      </w:r>
      <w:r>
        <w:fldChar w:fldCharType="end"/>
      </w:r>
      <w:r>
        <w:rPr>
          <w:rFonts w:hint="eastAsia" w:ascii="宋体" w:hAnsi="宋体" w:cs="宋体"/>
          <w:kern w:val="0"/>
        </w:rPr>
        <w:fldChar w:fldCharType="end"/>
      </w:r>
    </w:p>
    <w:p>
      <w:pPr>
        <w:pStyle w:val="22"/>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_Toc11720 </w:instrText>
      </w:r>
      <w:r>
        <w:rPr>
          <w:rFonts w:hint="eastAsia" w:ascii="宋体" w:hAnsi="宋体" w:cs="宋体"/>
          <w:kern w:val="0"/>
        </w:rPr>
        <w:fldChar w:fldCharType="separate"/>
      </w:r>
      <w:r>
        <w:rPr>
          <w:rFonts w:hint="eastAsia" w:ascii="宋体" w:hAnsi="宋体" w:cs="宋体"/>
        </w:rPr>
        <w:t>3 、有依法缴纳税收和社会保障资金的良好记录</w:t>
      </w:r>
      <w:r>
        <w:tab/>
      </w:r>
      <w:r>
        <w:fldChar w:fldCharType="begin"/>
      </w:r>
      <w:r>
        <w:instrText xml:space="preserve"> PAGEREF _Toc11720 \h </w:instrText>
      </w:r>
      <w:r>
        <w:fldChar w:fldCharType="separate"/>
      </w:r>
      <w:r>
        <w:t>52</w:t>
      </w:r>
      <w:r>
        <w:fldChar w:fldCharType="end"/>
      </w:r>
      <w:r>
        <w:rPr>
          <w:rFonts w:hint="eastAsia" w:ascii="宋体" w:hAnsi="宋体" w:cs="宋体"/>
          <w:kern w:val="0"/>
        </w:rPr>
        <w:fldChar w:fldCharType="end"/>
      </w:r>
    </w:p>
    <w:p>
      <w:pPr>
        <w:pStyle w:val="22"/>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_Toc12603 </w:instrText>
      </w:r>
      <w:r>
        <w:rPr>
          <w:rFonts w:hint="eastAsia" w:ascii="宋体" w:hAnsi="宋体" w:cs="宋体"/>
          <w:kern w:val="0"/>
        </w:rPr>
        <w:fldChar w:fldCharType="separate"/>
      </w:r>
      <w:r>
        <w:rPr>
          <w:rFonts w:hint="eastAsia" w:ascii="宋体" w:hAnsi="宋体" w:cs="宋体"/>
        </w:rPr>
        <w:t>4、 具备履行合同所必需的设备和专业技术能力承诺书</w:t>
      </w:r>
      <w:r>
        <w:tab/>
      </w:r>
      <w:r>
        <w:fldChar w:fldCharType="begin"/>
      </w:r>
      <w:r>
        <w:instrText xml:space="preserve"> PAGEREF _Toc12603 \h </w:instrText>
      </w:r>
      <w:r>
        <w:fldChar w:fldCharType="separate"/>
      </w:r>
      <w:r>
        <w:t>53</w:t>
      </w:r>
      <w:r>
        <w:fldChar w:fldCharType="end"/>
      </w:r>
      <w:r>
        <w:rPr>
          <w:rFonts w:hint="eastAsia" w:ascii="宋体" w:hAnsi="宋体" w:cs="宋体"/>
          <w:kern w:val="0"/>
        </w:rPr>
        <w:fldChar w:fldCharType="end"/>
      </w:r>
    </w:p>
    <w:p>
      <w:pPr>
        <w:pStyle w:val="22"/>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_Toc29759 </w:instrText>
      </w:r>
      <w:r>
        <w:rPr>
          <w:rFonts w:hint="eastAsia" w:ascii="宋体" w:hAnsi="宋体" w:cs="宋体"/>
          <w:kern w:val="0"/>
        </w:rPr>
        <w:fldChar w:fldCharType="separate"/>
      </w:r>
      <w:r>
        <w:rPr>
          <w:rFonts w:hint="eastAsia" w:ascii="宋体" w:hAnsi="宋体" w:cs="宋体"/>
        </w:rPr>
        <w:t>承诺书</w:t>
      </w:r>
      <w:r>
        <w:tab/>
      </w:r>
      <w:r>
        <w:fldChar w:fldCharType="begin"/>
      </w:r>
      <w:r>
        <w:instrText xml:space="preserve"> PAGEREF _Toc29759 \h </w:instrText>
      </w:r>
      <w:r>
        <w:fldChar w:fldCharType="separate"/>
      </w:r>
      <w:r>
        <w:t>53</w:t>
      </w:r>
      <w:r>
        <w:fldChar w:fldCharType="end"/>
      </w:r>
      <w:r>
        <w:rPr>
          <w:rFonts w:hint="eastAsia" w:ascii="宋体" w:hAnsi="宋体" w:cs="宋体"/>
          <w:kern w:val="0"/>
        </w:rPr>
        <w:fldChar w:fldCharType="end"/>
      </w:r>
    </w:p>
    <w:p>
      <w:pPr>
        <w:pStyle w:val="22"/>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_Toc19146 </w:instrText>
      </w:r>
      <w:r>
        <w:rPr>
          <w:rFonts w:hint="eastAsia" w:ascii="宋体" w:hAnsi="宋体" w:cs="宋体"/>
          <w:kern w:val="0"/>
        </w:rPr>
        <w:fldChar w:fldCharType="separate"/>
      </w:r>
      <w:r>
        <w:rPr>
          <w:rFonts w:hint="eastAsia" w:ascii="宋体" w:hAnsi="宋体" w:cs="宋体"/>
        </w:rPr>
        <w:t>5、供应商参加政府采购活动前3年内在经营活动中没有重大违法记录的书面声明书</w:t>
      </w:r>
      <w:r>
        <w:tab/>
      </w:r>
      <w:r>
        <w:fldChar w:fldCharType="begin"/>
      </w:r>
      <w:r>
        <w:instrText xml:space="preserve"> PAGEREF _Toc19146 \h </w:instrText>
      </w:r>
      <w:r>
        <w:fldChar w:fldCharType="separate"/>
      </w:r>
      <w:r>
        <w:t>54</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_Toc4441 </w:instrText>
      </w:r>
      <w:r>
        <w:rPr>
          <w:rFonts w:hint="eastAsia" w:ascii="宋体" w:hAnsi="宋体" w:cs="宋体"/>
          <w:kern w:val="0"/>
        </w:rPr>
        <w:fldChar w:fldCharType="separate"/>
      </w:r>
      <w:r>
        <w:rPr>
          <w:rFonts w:hint="eastAsia" w:ascii="宋体" w:hAnsi="宋体" w:cs="宋体"/>
          <w:bCs/>
          <w:szCs w:val="32"/>
        </w:rPr>
        <w:t>二、法定代表人授权委托书</w:t>
      </w:r>
      <w:r>
        <w:tab/>
      </w:r>
      <w:r>
        <w:fldChar w:fldCharType="begin"/>
      </w:r>
      <w:r>
        <w:instrText xml:space="preserve"> PAGEREF _Toc4441 \h </w:instrText>
      </w:r>
      <w:r>
        <w:fldChar w:fldCharType="separate"/>
      </w:r>
      <w:r>
        <w:t>56</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_Toc9293 </w:instrText>
      </w:r>
      <w:r>
        <w:rPr>
          <w:rFonts w:hint="eastAsia" w:ascii="宋体" w:hAnsi="宋体" w:cs="宋体"/>
          <w:kern w:val="0"/>
        </w:rPr>
        <w:fldChar w:fldCharType="separate"/>
      </w:r>
      <w:r>
        <w:rPr>
          <w:rFonts w:hint="eastAsia" w:cs="宋体"/>
        </w:rPr>
        <w:t>第二部分 符合性证明文件</w:t>
      </w:r>
      <w:r>
        <w:tab/>
      </w:r>
      <w:r>
        <w:fldChar w:fldCharType="begin"/>
      </w:r>
      <w:r>
        <w:instrText xml:space="preserve"> PAGEREF _Toc9293 \h </w:instrText>
      </w:r>
      <w:r>
        <w:fldChar w:fldCharType="separate"/>
      </w:r>
      <w:r>
        <w:t>58</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_Toc10237 </w:instrText>
      </w:r>
      <w:r>
        <w:rPr>
          <w:rFonts w:hint="eastAsia" w:ascii="宋体" w:hAnsi="宋体" w:cs="宋体"/>
          <w:kern w:val="0"/>
        </w:rPr>
        <w:fldChar w:fldCharType="separate"/>
      </w:r>
      <w:r>
        <w:rPr>
          <w:rFonts w:hint="eastAsia" w:ascii="宋体" w:hAnsi="宋体" w:cs="宋体"/>
          <w:bCs/>
          <w:szCs w:val="32"/>
        </w:rPr>
        <w:t>一、响应函</w:t>
      </w:r>
      <w:r>
        <w:tab/>
      </w:r>
      <w:r>
        <w:fldChar w:fldCharType="begin"/>
      </w:r>
      <w:r>
        <w:instrText xml:space="preserve"> PAGEREF _Toc10237 \h </w:instrText>
      </w:r>
      <w:r>
        <w:fldChar w:fldCharType="separate"/>
      </w:r>
      <w:r>
        <w:t>58</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_Toc22009 </w:instrText>
      </w:r>
      <w:r>
        <w:rPr>
          <w:rFonts w:hint="eastAsia" w:ascii="宋体" w:hAnsi="宋体" w:cs="宋体"/>
          <w:kern w:val="0"/>
        </w:rPr>
        <w:fldChar w:fldCharType="separate"/>
      </w:r>
      <w:r>
        <w:rPr>
          <w:rFonts w:hint="eastAsia" w:ascii="宋体" w:hAnsi="宋体" w:cs="宋体"/>
          <w:bCs/>
          <w:szCs w:val="32"/>
        </w:rPr>
        <w:t>二、第一次磋商报价表</w:t>
      </w:r>
      <w:r>
        <w:tab/>
      </w:r>
      <w:r>
        <w:fldChar w:fldCharType="begin"/>
      </w:r>
      <w:r>
        <w:instrText xml:space="preserve"> PAGEREF _Toc22009 \h </w:instrText>
      </w:r>
      <w:r>
        <w:fldChar w:fldCharType="separate"/>
      </w:r>
      <w:r>
        <w:t>59</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_Toc5327 </w:instrText>
      </w:r>
      <w:r>
        <w:rPr>
          <w:rFonts w:hint="eastAsia" w:ascii="宋体" w:hAnsi="宋体" w:cs="宋体"/>
          <w:kern w:val="0"/>
        </w:rPr>
        <w:fldChar w:fldCharType="separate"/>
      </w:r>
      <w:r>
        <w:rPr>
          <w:rFonts w:hint="eastAsia" w:ascii="宋体" w:hAnsi="宋体" w:cs="宋体"/>
          <w:bCs/>
          <w:szCs w:val="32"/>
        </w:rPr>
        <w:t>三、分项报价表</w:t>
      </w:r>
      <w:r>
        <w:tab/>
      </w:r>
      <w:r>
        <w:fldChar w:fldCharType="begin"/>
      </w:r>
      <w:r>
        <w:instrText xml:space="preserve"> PAGEREF _Toc5327 \h </w:instrText>
      </w:r>
      <w:r>
        <w:fldChar w:fldCharType="separate"/>
      </w:r>
      <w:r>
        <w:t>60</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_Toc25114 </w:instrText>
      </w:r>
      <w:r>
        <w:rPr>
          <w:rFonts w:hint="eastAsia" w:ascii="宋体" w:hAnsi="宋体" w:cs="宋体"/>
          <w:kern w:val="0"/>
        </w:rPr>
        <w:fldChar w:fldCharType="separate"/>
      </w:r>
      <w:r>
        <w:rPr>
          <w:rFonts w:hint="eastAsia" w:ascii="宋体" w:hAnsi="宋体" w:cs="宋体"/>
          <w:bCs/>
          <w:szCs w:val="32"/>
        </w:rPr>
        <w:t>四、供应商承诺书</w:t>
      </w:r>
      <w:r>
        <w:tab/>
      </w:r>
      <w:r>
        <w:fldChar w:fldCharType="begin"/>
      </w:r>
      <w:r>
        <w:instrText xml:space="preserve"> PAGEREF _Toc25114 \h </w:instrText>
      </w:r>
      <w:r>
        <w:fldChar w:fldCharType="separate"/>
      </w:r>
      <w:r>
        <w:t>61</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_Toc28736 </w:instrText>
      </w:r>
      <w:r>
        <w:rPr>
          <w:rFonts w:hint="eastAsia" w:ascii="宋体" w:hAnsi="宋体" w:cs="宋体"/>
          <w:kern w:val="0"/>
        </w:rPr>
        <w:fldChar w:fldCharType="separate"/>
      </w:r>
      <w:r>
        <w:rPr>
          <w:rFonts w:hint="eastAsia" w:ascii="宋体" w:hAnsi="宋体" w:cs="宋体"/>
          <w:bCs/>
          <w:szCs w:val="32"/>
        </w:rPr>
        <w:t>第三部分  响应方案</w:t>
      </w:r>
      <w:r>
        <w:tab/>
      </w:r>
      <w:r>
        <w:fldChar w:fldCharType="begin"/>
      </w:r>
      <w:r>
        <w:instrText xml:space="preserve"> PAGEREF _Toc28736 \h </w:instrText>
      </w:r>
      <w:r>
        <w:fldChar w:fldCharType="separate"/>
      </w:r>
      <w:r>
        <w:t>62</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_Toc26989 </w:instrText>
      </w:r>
      <w:r>
        <w:rPr>
          <w:rFonts w:hint="eastAsia" w:ascii="宋体" w:hAnsi="宋体" w:cs="宋体"/>
          <w:kern w:val="0"/>
        </w:rPr>
        <w:fldChar w:fldCharType="separate"/>
      </w:r>
      <w:r>
        <w:rPr>
          <w:rFonts w:hint="eastAsia" w:ascii="宋体" w:hAnsi="宋体" w:cs="宋体"/>
          <w:bCs/>
          <w:szCs w:val="32"/>
        </w:rPr>
        <w:t>一、供应商概况及其性质</w:t>
      </w:r>
      <w:r>
        <w:tab/>
      </w:r>
      <w:r>
        <w:fldChar w:fldCharType="begin"/>
      </w:r>
      <w:r>
        <w:instrText xml:space="preserve"> PAGEREF _Toc26989 \h </w:instrText>
      </w:r>
      <w:r>
        <w:fldChar w:fldCharType="separate"/>
      </w:r>
      <w:r>
        <w:t>63</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_Toc16889 </w:instrText>
      </w:r>
      <w:r>
        <w:rPr>
          <w:rFonts w:hint="eastAsia" w:ascii="宋体" w:hAnsi="宋体" w:cs="宋体"/>
          <w:kern w:val="0"/>
        </w:rPr>
        <w:fldChar w:fldCharType="separate"/>
      </w:r>
      <w:r>
        <w:rPr>
          <w:rFonts w:hint="eastAsia" w:ascii="宋体" w:hAnsi="宋体" w:cs="宋体"/>
          <w:bCs/>
          <w:szCs w:val="32"/>
        </w:rPr>
        <w:t>二、 技术方案</w:t>
      </w:r>
      <w:r>
        <w:tab/>
      </w:r>
      <w:r>
        <w:fldChar w:fldCharType="begin"/>
      </w:r>
      <w:r>
        <w:instrText xml:space="preserve"> PAGEREF _Toc16889 \h </w:instrText>
      </w:r>
      <w:r>
        <w:fldChar w:fldCharType="separate"/>
      </w:r>
      <w:r>
        <w:t>65</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_Toc8011 </w:instrText>
      </w:r>
      <w:r>
        <w:rPr>
          <w:rFonts w:hint="eastAsia" w:ascii="宋体" w:hAnsi="宋体" w:cs="宋体"/>
          <w:kern w:val="0"/>
        </w:rPr>
        <w:fldChar w:fldCharType="separate"/>
      </w:r>
      <w:r>
        <w:rPr>
          <w:rFonts w:hint="eastAsia" w:ascii="宋体" w:hAnsi="宋体" w:cs="宋体"/>
          <w:bCs/>
          <w:szCs w:val="32"/>
        </w:rPr>
        <w:t>三、技术偏离表</w:t>
      </w:r>
      <w:r>
        <w:tab/>
      </w:r>
      <w:r>
        <w:fldChar w:fldCharType="begin"/>
      </w:r>
      <w:r>
        <w:instrText xml:space="preserve"> PAGEREF _Toc8011 \h </w:instrText>
      </w:r>
      <w:r>
        <w:fldChar w:fldCharType="separate"/>
      </w:r>
      <w:r>
        <w:t>66</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_Toc30944 </w:instrText>
      </w:r>
      <w:r>
        <w:rPr>
          <w:rFonts w:hint="eastAsia" w:ascii="宋体" w:hAnsi="宋体" w:cs="宋体"/>
          <w:kern w:val="0"/>
        </w:rPr>
        <w:fldChar w:fldCharType="separate"/>
      </w:r>
      <w:r>
        <w:rPr>
          <w:rFonts w:hint="eastAsia" w:ascii="宋体" w:hAnsi="宋体" w:cs="宋体"/>
          <w:bCs/>
          <w:szCs w:val="32"/>
        </w:rPr>
        <w:t>四、业绩</w:t>
      </w:r>
      <w:r>
        <w:tab/>
      </w:r>
      <w:r>
        <w:fldChar w:fldCharType="begin"/>
      </w:r>
      <w:r>
        <w:instrText xml:space="preserve"> PAGEREF _Toc30944 \h </w:instrText>
      </w:r>
      <w:r>
        <w:fldChar w:fldCharType="separate"/>
      </w:r>
      <w:r>
        <w:t>67</w:t>
      </w:r>
      <w:r>
        <w:fldChar w:fldCharType="end"/>
      </w:r>
      <w:r>
        <w:rPr>
          <w:rFonts w:hint="eastAsia" w:ascii="宋体" w:hAnsi="宋体" w:cs="宋体"/>
          <w:kern w:val="0"/>
        </w:rPr>
        <w:fldChar w:fldCharType="end"/>
      </w:r>
    </w:p>
    <w:p>
      <w:pPr>
        <w:pStyle w:val="36"/>
        <w:tabs>
          <w:tab w:val="right" w:leader="dot" w:pos="9070"/>
        </w:tabs>
      </w:pPr>
      <w:r>
        <w:rPr>
          <w:rFonts w:hint="eastAsia" w:ascii="宋体" w:hAnsi="宋体" w:cs="宋体"/>
          <w:kern w:val="0"/>
        </w:rPr>
        <w:fldChar w:fldCharType="begin"/>
      </w:r>
      <w:r>
        <w:rPr>
          <w:rFonts w:hint="eastAsia" w:ascii="宋体" w:hAnsi="宋体" w:cs="宋体"/>
          <w:kern w:val="0"/>
        </w:rPr>
        <w:instrText xml:space="preserve"> HYPERLINK \l _Toc25648 </w:instrText>
      </w:r>
      <w:r>
        <w:rPr>
          <w:rFonts w:hint="eastAsia" w:ascii="宋体" w:hAnsi="宋体" w:cs="宋体"/>
          <w:kern w:val="0"/>
        </w:rPr>
        <w:fldChar w:fldCharType="separate"/>
      </w:r>
      <w:r>
        <w:rPr>
          <w:rFonts w:hint="eastAsia" w:ascii="宋体" w:hAnsi="宋体" w:cs="宋体"/>
          <w:bCs/>
          <w:szCs w:val="32"/>
        </w:rPr>
        <w:t>五、其他可以证明供应商实力的文件</w:t>
      </w:r>
      <w:r>
        <w:tab/>
      </w:r>
      <w:r>
        <w:fldChar w:fldCharType="begin"/>
      </w:r>
      <w:r>
        <w:instrText xml:space="preserve"> PAGEREF _Toc25648 \h </w:instrText>
      </w:r>
      <w:r>
        <w:fldChar w:fldCharType="separate"/>
      </w:r>
      <w:r>
        <w:t>68</w:t>
      </w:r>
      <w:r>
        <w:fldChar w:fldCharType="end"/>
      </w:r>
      <w:r>
        <w:rPr>
          <w:rFonts w:hint="eastAsia" w:ascii="宋体" w:hAnsi="宋体" w:cs="宋体"/>
          <w:kern w:val="0"/>
        </w:rPr>
        <w:fldChar w:fldCharType="end"/>
      </w:r>
    </w:p>
    <w:p>
      <w:pPr>
        <w:widowControl/>
        <w:spacing w:beforeLines="50" w:beforeAutospacing="1" w:afterLines="50" w:afterAutospacing="1" w:line="360" w:lineRule="auto"/>
        <w:jc w:val="center"/>
        <w:rPr>
          <w:rFonts w:hint="eastAsia" w:ascii="宋体" w:hAnsi="宋体" w:cs="宋体"/>
          <w:kern w:val="0"/>
          <w:szCs w:val="21"/>
        </w:rPr>
      </w:pPr>
      <w:r>
        <w:rPr>
          <w:rFonts w:hint="eastAsia" w:ascii="宋体" w:hAnsi="宋体" w:cs="宋体"/>
          <w:kern w:val="0"/>
          <w:sz w:val="24"/>
        </w:rPr>
        <w:fldChar w:fldCharType="end"/>
      </w:r>
    </w:p>
    <w:p>
      <w:pPr>
        <w:spacing w:line="360" w:lineRule="auto"/>
        <w:jc w:val="center"/>
        <w:rPr>
          <w:rStyle w:val="61"/>
          <w:rFonts w:hint="eastAsia" w:cs="宋体"/>
        </w:rPr>
      </w:pPr>
      <w:r>
        <w:rPr>
          <w:rFonts w:hint="eastAsia" w:ascii="宋体" w:hAnsi="宋体" w:cs="宋体"/>
          <w:kern w:val="0"/>
          <w:szCs w:val="21"/>
        </w:rPr>
        <w:br w:type="page"/>
      </w:r>
      <w:bookmarkStart w:id="1" w:name="_Toc352"/>
      <w:bookmarkStart w:id="2" w:name="_Toc30259"/>
      <w:r>
        <w:rPr>
          <w:rStyle w:val="61"/>
          <w:rFonts w:hint="eastAsia" w:cs="宋体"/>
        </w:rPr>
        <w:t>第一章  竞争性磋商公告</w:t>
      </w:r>
    </w:p>
    <w:bookmarkEnd w:id="1"/>
    <w:bookmarkEnd w:id="2"/>
    <w:p>
      <w:pPr>
        <w:pStyle w:val="266"/>
        <w:adjustRightInd w:val="0"/>
        <w:snapToGrid w:val="0"/>
        <w:spacing w:before="0" w:line="360" w:lineRule="auto"/>
        <w:ind w:firstLine="480" w:firstLineChars="200"/>
        <w:rPr>
          <w:rFonts w:hint="eastAsia"/>
          <w:b w:val="0"/>
          <w:bCs w:val="0"/>
          <w:sz w:val="24"/>
          <w:szCs w:val="20"/>
          <w:highlight w:val="none"/>
        </w:rPr>
      </w:pPr>
      <w:r>
        <w:rPr>
          <w:rFonts w:hint="eastAsia"/>
          <w:b w:val="0"/>
          <w:bCs w:val="0"/>
          <w:sz w:val="24"/>
          <w:szCs w:val="20"/>
        </w:rPr>
        <w:t>陕西省高速公路收费中心监控、GIS系统维护服务潜在的供应商可在西安市明光路166号凯瑞E座803室获取采购文件，</w:t>
      </w:r>
      <w:r>
        <w:rPr>
          <w:rFonts w:hint="eastAsia"/>
          <w:b w:val="0"/>
          <w:bCs w:val="0"/>
          <w:sz w:val="24"/>
          <w:szCs w:val="20"/>
          <w:highlight w:val="none"/>
        </w:rPr>
        <w:t>并于</w:t>
      </w:r>
      <w:ins w:id="0" w:author="长安大学交通系统工程研究所" w:date="2021-07-21T10:46:19Z">
        <w:r>
          <w:rPr>
            <w:rFonts w:hint="eastAsia"/>
            <w:b w:val="0"/>
            <w:bCs w:val="0"/>
            <w:color w:val="333333"/>
            <w:sz w:val="24"/>
            <w:szCs w:val="24"/>
            <w:highlight w:val="none"/>
          </w:rPr>
          <w:t>2021-07-2</w:t>
        </w:r>
      </w:ins>
      <w:ins w:id="1" w:author="长安大学交通系统工程研究所" w:date="2021-07-21T10:46:19Z">
        <w:r>
          <w:rPr>
            <w:rFonts w:hint="eastAsia"/>
            <w:b w:val="0"/>
            <w:bCs w:val="0"/>
            <w:color w:val="333333"/>
            <w:sz w:val="24"/>
            <w:szCs w:val="24"/>
            <w:highlight w:val="none"/>
            <w:lang w:val="en-US" w:eastAsia="zh-CN"/>
          </w:rPr>
          <w:t>9</w:t>
        </w:r>
      </w:ins>
      <w:ins w:id="2" w:author="长安大学交通系统工程研究所" w:date="2021-07-21T10:46:19Z">
        <w:r>
          <w:rPr>
            <w:rFonts w:hint="eastAsia"/>
            <w:b w:val="0"/>
            <w:bCs w:val="0"/>
            <w:color w:val="333333"/>
            <w:sz w:val="24"/>
            <w:szCs w:val="24"/>
            <w:highlight w:val="none"/>
          </w:rPr>
          <w:t xml:space="preserve"> </w:t>
        </w:r>
      </w:ins>
      <w:ins w:id="3" w:author="长安大学交通系统工程研究所" w:date="2021-07-21T10:46:19Z">
        <w:r>
          <w:rPr>
            <w:rFonts w:hint="eastAsia"/>
            <w:b w:val="0"/>
            <w:bCs w:val="0"/>
            <w:color w:val="333333"/>
            <w:sz w:val="24"/>
            <w:szCs w:val="24"/>
            <w:highlight w:val="none"/>
            <w:lang w:val="en-US" w:eastAsia="zh-CN"/>
          </w:rPr>
          <w:t>14</w:t>
        </w:r>
      </w:ins>
      <w:ins w:id="4" w:author="长安大学交通系统工程研究所" w:date="2021-07-21T10:46:19Z">
        <w:r>
          <w:rPr>
            <w:rFonts w:hint="eastAsia"/>
            <w:b w:val="0"/>
            <w:bCs w:val="0"/>
            <w:color w:val="333333"/>
            <w:sz w:val="24"/>
            <w:szCs w:val="24"/>
            <w:highlight w:val="none"/>
          </w:rPr>
          <w:t>:30:00</w:t>
        </w:r>
      </w:ins>
      <w:del w:id="5" w:author="长安大学交通系统工程研究所" w:date="2021-07-21T10:46:19Z">
        <w:r>
          <w:rPr>
            <w:rFonts w:hint="eastAsia"/>
            <w:b w:val="0"/>
            <w:bCs w:val="0"/>
            <w:sz w:val="24"/>
            <w:szCs w:val="20"/>
            <w:highlight w:val="none"/>
          </w:rPr>
          <w:delText>2021-7-2</w:delText>
        </w:r>
      </w:del>
      <w:del w:id="6" w:author="长安大学交通系统工程研究所" w:date="2021-07-21T10:46:19Z">
        <w:r>
          <w:rPr>
            <w:rFonts w:hint="eastAsia"/>
            <w:b w:val="0"/>
            <w:bCs w:val="0"/>
            <w:sz w:val="24"/>
            <w:szCs w:val="20"/>
            <w:highlight w:val="none"/>
            <w:lang w:val="en-US" w:eastAsia="zh-CN"/>
          </w:rPr>
          <w:delText>2</w:delText>
        </w:r>
      </w:del>
      <w:del w:id="7" w:author="长安大学交通系统工程研究所" w:date="2021-07-21T10:46:19Z">
        <w:r>
          <w:rPr>
            <w:rFonts w:hint="eastAsia"/>
            <w:b w:val="0"/>
            <w:bCs w:val="0"/>
            <w:sz w:val="24"/>
            <w:szCs w:val="20"/>
            <w:highlight w:val="none"/>
          </w:rPr>
          <w:delText xml:space="preserve"> </w:delText>
        </w:r>
      </w:del>
      <w:del w:id="8" w:author="长安大学交通系统工程研究所" w:date="2021-07-21T10:46:19Z">
        <w:r>
          <w:rPr>
            <w:rFonts w:hint="eastAsia"/>
            <w:b w:val="0"/>
            <w:bCs w:val="0"/>
            <w:sz w:val="24"/>
            <w:szCs w:val="20"/>
            <w:highlight w:val="none"/>
            <w:lang w:val="en-US" w:eastAsia="zh-CN"/>
          </w:rPr>
          <w:delText>14</w:delText>
        </w:r>
      </w:del>
      <w:del w:id="9" w:author="长安大学交通系统工程研究所" w:date="2021-07-21T10:46:19Z">
        <w:r>
          <w:rPr>
            <w:rFonts w:hint="eastAsia"/>
            <w:b w:val="0"/>
            <w:bCs w:val="0"/>
            <w:sz w:val="24"/>
            <w:szCs w:val="20"/>
            <w:highlight w:val="none"/>
          </w:rPr>
          <w:delText>:30:00</w:delText>
        </w:r>
      </w:del>
      <w:r>
        <w:rPr>
          <w:rFonts w:hint="eastAsia"/>
          <w:b w:val="0"/>
          <w:bCs w:val="0"/>
          <w:sz w:val="24"/>
          <w:szCs w:val="20"/>
          <w:highlight w:val="none"/>
        </w:rPr>
        <w:t>前递交响应文件。</w:t>
      </w:r>
    </w:p>
    <w:p>
      <w:pPr>
        <w:pStyle w:val="266"/>
        <w:adjustRightInd w:val="0"/>
        <w:snapToGrid w:val="0"/>
        <w:spacing w:before="0" w:line="360" w:lineRule="auto"/>
        <w:rPr>
          <w:rFonts w:hint="eastAsia"/>
          <w:sz w:val="24"/>
          <w:szCs w:val="20"/>
          <w:highlight w:val="none"/>
        </w:rPr>
      </w:pPr>
      <w:r>
        <w:rPr>
          <w:rFonts w:hint="eastAsia"/>
          <w:sz w:val="24"/>
          <w:szCs w:val="20"/>
          <w:highlight w:val="none"/>
        </w:rPr>
        <w:t>一、项目基本信息</w:t>
      </w:r>
    </w:p>
    <w:p>
      <w:pPr>
        <w:pStyle w:val="266"/>
        <w:adjustRightInd w:val="0"/>
        <w:snapToGrid w:val="0"/>
        <w:spacing w:before="0" w:line="360" w:lineRule="auto"/>
        <w:ind w:firstLine="480" w:firstLineChars="200"/>
        <w:rPr>
          <w:b w:val="0"/>
          <w:bCs w:val="0"/>
          <w:sz w:val="24"/>
          <w:szCs w:val="20"/>
        </w:rPr>
      </w:pPr>
      <w:r>
        <w:rPr>
          <w:rFonts w:hint="eastAsia"/>
          <w:b w:val="0"/>
          <w:bCs w:val="0"/>
          <w:sz w:val="24"/>
          <w:szCs w:val="20"/>
        </w:rPr>
        <w:t>1、项目编号：</w:t>
      </w:r>
      <w:bookmarkStart w:id="268" w:name="_GoBack"/>
      <w:r>
        <w:rPr>
          <w:rFonts w:hint="eastAsia"/>
          <w:b w:val="0"/>
          <w:bCs w:val="0"/>
          <w:sz w:val="24"/>
          <w:szCs w:val="20"/>
        </w:rPr>
        <w:t>SXTD-ZB2021-1053</w:t>
      </w:r>
      <w:bookmarkEnd w:id="268"/>
    </w:p>
    <w:p>
      <w:pPr>
        <w:pStyle w:val="266"/>
        <w:adjustRightInd w:val="0"/>
        <w:snapToGrid w:val="0"/>
        <w:spacing w:before="0" w:line="360" w:lineRule="auto"/>
        <w:ind w:firstLine="480" w:firstLineChars="200"/>
        <w:rPr>
          <w:rFonts w:hint="eastAsia"/>
          <w:b w:val="0"/>
          <w:bCs w:val="0"/>
          <w:sz w:val="24"/>
          <w:szCs w:val="20"/>
        </w:rPr>
      </w:pPr>
      <w:r>
        <w:rPr>
          <w:rFonts w:hint="eastAsia"/>
          <w:b w:val="0"/>
          <w:bCs w:val="0"/>
          <w:sz w:val="24"/>
          <w:szCs w:val="20"/>
        </w:rPr>
        <w:t>2、项目名称：陕西省高速公路收费中心监控、GIS系统维护服务</w:t>
      </w:r>
    </w:p>
    <w:p>
      <w:pPr>
        <w:pStyle w:val="266"/>
        <w:adjustRightInd w:val="0"/>
        <w:snapToGrid w:val="0"/>
        <w:spacing w:before="0" w:line="360" w:lineRule="auto"/>
        <w:ind w:firstLine="480" w:firstLineChars="200"/>
        <w:rPr>
          <w:rFonts w:hint="eastAsia"/>
          <w:b w:val="0"/>
          <w:bCs w:val="0"/>
          <w:sz w:val="24"/>
          <w:szCs w:val="20"/>
        </w:rPr>
      </w:pPr>
      <w:r>
        <w:rPr>
          <w:rFonts w:hint="eastAsia"/>
          <w:b w:val="0"/>
          <w:bCs w:val="0"/>
          <w:sz w:val="24"/>
          <w:szCs w:val="20"/>
        </w:rPr>
        <w:t>3、预算金额：</w:t>
      </w:r>
      <w:r>
        <w:rPr>
          <w:rFonts w:hint="eastAsia" w:ascii="仿宋" w:hAnsi="仿宋" w:eastAsia="仿宋" w:cs="仿宋"/>
          <w:color w:val="000000"/>
          <w:sz w:val="24"/>
          <w:szCs w:val="24"/>
        </w:rPr>
        <w:t>530,000.00</w:t>
      </w:r>
      <w:r>
        <w:rPr>
          <w:rFonts w:hint="eastAsia"/>
          <w:color w:val="333333"/>
          <w:sz w:val="24"/>
        </w:rPr>
        <w:t xml:space="preserve"> 元</w:t>
      </w:r>
    </w:p>
    <w:p>
      <w:pPr>
        <w:pStyle w:val="266"/>
        <w:adjustRightInd w:val="0"/>
        <w:snapToGrid w:val="0"/>
        <w:spacing w:before="0" w:line="360" w:lineRule="auto"/>
        <w:ind w:firstLine="480" w:firstLineChars="200"/>
        <w:rPr>
          <w:rFonts w:hint="eastAsia"/>
          <w:b w:val="0"/>
          <w:bCs w:val="0"/>
          <w:sz w:val="24"/>
          <w:szCs w:val="20"/>
        </w:rPr>
      </w:pPr>
      <w:r>
        <w:rPr>
          <w:rFonts w:hint="eastAsia"/>
          <w:b w:val="0"/>
          <w:bCs w:val="0"/>
          <w:sz w:val="24"/>
          <w:szCs w:val="20"/>
        </w:rPr>
        <w:t>4、最高限价：</w:t>
      </w:r>
      <w:r>
        <w:rPr>
          <w:rFonts w:hint="eastAsia" w:ascii="仿宋" w:hAnsi="仿宋" w:eastAsia="仿宋" w:cs="仿宋"/>
          <w:color w:val="000000"/>
          <w:sz w:val="24"/>
          <w:szCs w:val="24"/>
        </w:rPr>
        <w:t>530,000.00</w:t>
      </w:r>
      <w:r>
        <w:rPr>
          <w:rFonts w:hint="eastAsia"/>
          <w:color w:val="333333"/>
          <w:sz w:val="24"/>
        </w:rPr>
        <w:t xml:space="preserve"> 元</w:t>
      </w:r>
    </w:p>
    <w:p>
      <w:pPr>
        <w:pStyle w:val="266"/>
        <w:adjustRightInd w:val="0"/>
        <w:snapToGrid w:val="0"/>
        <w:spacing w:before="0" w:line="360" w:lineRule="auto"/>
        <w:ind w:firstLine="480" w:firstLineChars="200"/>
        <w:rPr>
          <w:rFonts w:hint="eastAsia"/>
          <w:b w:val="0"/>
          <w:bCs w:val="0"/>
          <w:sz w:val="24"/>
          <w:szCs w:val="20"/>
        </w:rPr>
      </w:pPr>
      <w:r>
        <w:rPr>
          <w:rFonts w:hint="eastAsia"/>
          <w:b w:val="0"/>
          <w:bCs w:val="0"/>
          <w:sz w:val="24"/>
          <w:szCs w:val="24"/>
        </w:rPr>
        <w:t>5、</w:t>
      </w:r>
      <w:r>
        <w:rPr>
          <w:rFonts w:hint="eastAsia"/>
          <w:b w:val="0"/>
          <w:bCs w:val="0"/>
          <w:sz w:val="24"/>
          <w:szCs w:val="20"/>
        </w:rPr>
        <w:t>采购需求：陕西省高速收费中心综合监控、GIS系统维护服务（具体详见竞争性磋商文件）。简要技术要求、用途：自用。</w:t>
      </w:r>
    </w:p>
    <w:p>
      <w:pPr>
        <w:pStyle w:val="266"/>
        <w:adjustRightInd w:val="0"/>
        <w:snapToGrid w:val="0"/>
        <w:spacing w:before="0" w:line="360" w:lineRule="auto"/>
        <w:ind w:firstLine="480" w:firstLineChars="200"/>
        <w:rPr>
          <w:rFonts w:hint="eastAsia"/>
          <w:b w:val="0"/>
          <w:bCs w:val="0"/>
          <w:sz w:val="24"/>
          <w:szCs w:val="20"/>
        </w:rPr>
      </w:pPr>
      <w:r>
        <w:rPr>
          <w:rFonts w:hint="eastAsia"/>
          <w:b w:val="0"/>
          <w:bCs w:val="0"/>
          <w:sz w:val="24"/>
          <w:szCs w:val="20"/>
        </w:rPr>
        <w:t>6、合同履行期限：自合同签订之日起1年（具体服务起止日期可随合同签订时间相应顺延）</w:t>
      </w:r>
    </w:p>
    <w:p>
      <w:pPr>
        <w:pStyle w:val="266"/>
        <w:adjustRightInd w:val="0"/>
        <w:snapToGrid w:val="0"/>
        <w:spacing w:before="0" w:line="360" w:lineRule="auto"/>
        <w:ind w:firstLine="480" w:firstLineChars="200"/>
        <w:rPr>
          <w:rFonts w:hint="eastAsia"/>
          <w:b w:val="0"/>
          <w:bCs w:val="0"/>
          <w:sz w:val="24"/>
          <w:szCs w:val="20"/>
        </w:rPr>
      </w:pPr>
      <w:r>
        <w:rPr>
          <w:rFonts w:hint="eastAsia"/>
          <w:b w:val="0"/>
          <w:bCs w:val="0"/>
          <w:sz w:val="24"/>
          <w:szCs w:val="20"/>
        </w:rPr>
        <w:t>7、本项目是否接受联合体投标：否</w:t>
      </w:r>
    </w:p>
    <w:p>
      <w:pPr>
        <w:pStyle w:val="266"/>
        <w:adjustRightInd w:val="0"/>
        <w:snapToGrid w:val="0"/>
        <w:spacing w:before="0" w:line="360" w:lineRule="auto"/>
        <w:rPr>
          <w:rFonts w:hint="eastAsia"/>
          <w:sz w:val="24"/>
          <w:szCs w:val="24"/>
        </w:rPr>
      </w:pPr>
      <w:r>
        <w:rPr>
          <w:rFonts w:hint="eastAsia"/>
          <w:sz w:val="24"/>
          <w:szCs w:val="24"/>
        </w:rPr>
        <w:t>二、响应供应商的资格要求：</w:t>
      </w:r>
    </w:p>
    <w:p>
      <w:pPr>
        <w:widowControl/>
        <w:shd w:val="clear" w:color="auto" w:fill="FFFFFF"/>
        <w:adjustRightInd w:val="0"/>
        <w:snapToGrid w:val="0"/>
        <w:spacing w:line="360" w:lineRule="auto"/>
        <w:ind w:firstLine="480"/>
        <w:jc w:val="left"/>
        <w:rPr>
          <w:rFonts w:hint="eastAsia" w:ascii="宋体" w:hAnsi="宋体" w:cs="宋体"/>
          <w:kern w:val="0"/>
          <w:sz w:val="24"/>
          <w:szCs w:val="20"/>
        </w:rPr>
      </w:pPr>
      <w:r>
        <w:rPr>
          <w:rFonts w:hint="eastAsia" w:ascii="宋体" w:hAnsi="宋体" w:cs="宋体"/>
          <w:kern w:val="0"/>
          <w:sz w:val="24"/>
          <w:szCs w:val="20"/>
        </w:rPr>
        <w:t>1、满足《中华人民共和国政府采购法》第二十二条规定；</w:t>
      </w:r>
    </w:p>
    <w:p>
      <w:pPr>
        <w:widowControl/>
        <w:shd w:val="clear" w:color="auto" w:fill="FFFFFF"/>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szCs w:val="20"/>
        </w:rPr>
        <w:t>2、落实的政府采购政策满足的资格要求：①《财政部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市场监管总局关于调整优化节能产品、环境标志产品政府采购执行机制的通知》（财库〔2019〕9号）；⑦《财政部 国务院扶贫办关于运用政府采购政策支持脱贫攻坚的通知》（财库〔2019〕27号）；⑧《政府采购促进中小企业发展管理办法》（财库〔2020〕46号）；⑨《陕西省财政厅关于加快推进我省中小企业政府采购信用融资工作的通知》（陕财办采〔2020〕15号文件）；⑩《陕西省中小企业政</w:t>
      </w:r>
      <w:r>
        <w:rPr>
          <w:rFonts w:hint="eastAsia" w:ascii="宋体" w:hAnsi="宋体" w:cs="宋体"/>
          <w:kern w:val="0"/>
          <w:sz w:val="24"/>
        </w:rPr>
        <w:t>府采购信用融资办法》（陕财办采〔2018〕23号）”；⑪其他需要落实的政府采购政策。</w:t>
      </w:r>
    </w:p>
    <w:p>
      <w:pPr>
        <w:widowControl/>
        <w:shd w:val="clear" w:color="auto" w:fill="FFFFFF"/>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3、特定资格条件：</w:t>
      </w:r>
    </w:p>
    <w:p>
      <w:pPr>
        <w:widowControl/>
        <w:shd w:val="clear" w:color="auto" w:fill="FFFFFF"/>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1、投标人须通过“信用中国”网站和“中国政府采购网”查询相关主体信用记录，对列入失信被执行人、重大税收违法案件当事人名单、政府采购严重违法失信行为记录名单及其他不符合《中华人民共和国政府采购法》第二十二条规定条件的采购代理机构将拒绝其参与本项目投标）；</w:t>
      </w:r>
    </w:p>
    <w:p>
      <w:pPr>
        <w:widowControl/>
        <w:shd w:val="clear" w:color="auto" w:fill="FFFFFF"/>
        <w:adjustRightInd w:val="0"/>
        <w:snapToGrid w:val="0"/>
        <w:spacing w:line="360" w:lineRule="auto"/>
        <w:ind w:firstLine="480"/>
        <w:jc w:val="left"/>
        <w:rPr>
          <w:rFonts w:hint="eastAsia" w:ascii="宋体" w:hAnsi="宋体" w:cs="宋体"/>
          <w:kern w:val="0"/>
          <w:sz w:val="24"/>
          <w:highlight w:val="none"/>
        </w:rPr>
      </w:pPr>
      <w:r>
        <w:rPr>
          <w:rFonts w:hint="eastAsia" w:ascii="宋体" w:hAnsi="宋体" w:cs="宋体"/>
          <w:kern w:val="0"/>
          <w:sz w:val="24"/>
        </w:rPr>
        <w:t>2、单位负责人为同一人或者存在直</w:t>
      </w:r>
      <w:r>
        <w:rPr>
          <w:rFonts w:hint="eastAsia" w:ascii="宋体" w:hAnsi="宋体" w:cs="宋体"/>
          <w:kern w:val="0"/>
          <w:sz w:val="24"/>
          <w:highlight w:val="none"/>
        </w:rPr>
        <w:t>接控股、管理关系的不同投标人，不得同时参加同一标项投标。</w:t>
      </w:r>
    </w:p>
    <w:p>
      <w:pPr>
        <w:widowControl/>
        <w:shd w:val="clear" w:color="auto" w:fill="FFFFFF"/>
        <w:adjustRightInd w:val="0"/>
        <w:snapToGri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3、本项目不接受联合体投标。</w:t>
      </w:r>
    </w:p>
    <w:p>
      <w:pPr>
        <w:pStyle w:val="266"/>
        <w:adjustRightInd w:val="0"/>
        <w:snapToGrid w:val="0"/>
        <w:spacing w:before="0" w:line="360" w:lineRule="auto"/>
        <w:rPr>
          <w:rFonts w:hint="eastAsia"/>
          <w:sz w:val="24"/>
          <w:szCs w:val="24"/>
          <w:highlight w:val="none"/>
        </w:rPr>
      </w:pPr>
      <w:r>
        <w:rPr>
          <w:rFonts w:hint="eastAsia"/>
          <w:sz w:val="24"/>
          <w:szCs w:val="24"/>
          <w:highlight w:val="none"/>
        </w:rPr>
        <w:t>三、采购文件的获取方式</w:t>
      </w:r>
    </w:p>
    <w:p>
      <w:pPr>
        <w:widowControl/>
        <w:shd w:val="clear" w:color="auto" w:fill="FFFFFF"/>
        <w:adjustRightInd w:val="0"/>
        <w:snapToGrid w:val="0"/>
        <w:spacing w:line="360" w:lineRule="auto"/>
        <w:ind w:firstLine="480"/>
        <w:jc w:val="left"/>
        <w:rPr>
          <w:rFonts w:hint="eastAsia" w:ascii="宋体" w:hAnsi="宋体" w:cs="宋体"/>
          <w:kern w:val="0"/>
          <w:sz w:val="24"/>
          <w:highlight w:val="none"/>
        </w:rPr>
      </w:pPr>
      <w:r>
        <w:rPr>
          <w:rFonts w:hint="eastAsia" w:ascii="宋体" w:hAnsi="宋体" w:cs="宋体"/>
          <w:kern w:val="0"/>
          <w:sz w:val="24"/>
          <w:highlight w:val="none"/>
        </w:rPr>
        <w:t>时间：即日起至2021-07-</w:t>
      </w:r>
      <w:r>
        <w:rPr>
          <w:rFonts w:hint="eastAsia" w:ascii="宋体" w:hAnsi="宋体" w:cs="宋体"/>
          <w:kern w:val="0"/>
          <w:sz w:val="24"/>
          <w:highlight w:val="none"/>
          <w:lang w:val="en-US" w:eastAsia="zh-CN"/>
        </w:rPr>
        <w:t xml:space="preserve">23 </w:t>
      </w:r>
      <w:r>
        <w:rPr>
          <w:rFonts w:hint="eastAsia" w:ascii="宋体" w:hAnsi="宋体" w:cs="宋体"/>
          <w:kern w:val="0"/>
          <w:sz w:val="24"/>
          <w:highlight w:val="none"/>
        </w:rPr>
        <w:t>1</w:t>
      </w:r>
      <w:r>
        <w:rPr>
          <w:rFonts w:hint="eastAsia" w:ascii="宋体" w:hAnsi="宋体" w:cs="宋体"/>
          <w:kern w:val="0"/>
          <w:sz w:val="24"/>
          <w:highlight w:val="none"/>
          <w:lang w:val="en-US" w:eastAsia="zh-CN"/>
        </w:rPr>
        <w:t>7</w:t>
      </w:r>
      <w:r>
        <w:rPr>
          <w:rFonts w:hint="eastAsia" w:ascii="宋体" w:hAnsi="宋体" w:cs="宋体"/>
          <w:kern w:val="0"/>
          <w:sz w:val="24"/>
          <w:highlight w:val="none"/>
        </w:rPr>
        <w:t xml:space="preserve">:00:00 </w:t>
      </w:r>
    </w:p>
    <w:p>
      <w:pPr>
        <w:widowControl/>
        <w:shd w:val="clear" w:color="auto" w:fill="FFFFFF"/>
        <w:adjustRightInd w:val="0"/>
        <w:snapToGrid w:val="0"/>
        <w:spacing w:line="360" w:lineRule="auto"/>
        <w:ind w:firstLine="480"/>
        <w:jc w:val="left"/>
        <w:rPr>
          <w:rFonts w:hint="eastAsia" w:ascii="宋体" w:hAnsi="宋体" w:cs="宋体"/>
          <w:kern w:val="0"/>
          <w:sz w:val="24"/>
          <w:highlight w:val="none"/>
        </w:rPr>
      </w:pPr>
      <w:r>
        <w:rPr>
          <w:rFonts w:hint="eastAsia" w:ascii="宋体" w:hAnsi="宋体" w:cs="宋体"/>
          <w:kern w:val="0"/>
          <w:sz w:val="24"/>
          <w:highlight w:val="none"/>
        </w:rPr>
        <w:t>地点：西安市明光路166号凯瑞E座803室。</w:t>
      </w:r>
    </w:p>
    <w:p>
      <w:pPr>
        <w:widowControl/>
        <w:shd w:val="clear" w:color="auto" w:fill="FFFFFF"/>
        <w:adjustRightInd w:val="0"/>
        <w:snapToGrid w:val="0"/>
        <w:spacing w:line="360" w:lineRule="auto"/>
        <w:ind w:firstLine="480"/>
        <w:jc w:val="left"/>
        <w:rPr>
          <w:rFonts w:hint="eastAsia" w:ascii="宋体" w:hAnsi="宋体" w:cs="宋体"/>
          <w:kern w:val="0"/>
          <w:sz w:val="24"/>
          <w:highlight w:val="none"/>
        </w:rPr>
      </w:pPr>
      <w:r>
        <w:rPr>
          <w:rFonts w:hint="eastAsia" w:ascii="宋体" w:hAnsi="宋体" w:cs="宋体"/>
          <w:kern w:val="0"/>
          <w:sz w:val="24"/>
          <w:highlight w:val="none"/>
        </w:rPr>
        <w:t>方式：现场购买/邮寄</w:t>
      </w:r>
    </w:p>
    <w:p>
      <w:pPr>
        <w:widowControl/>
        <w:shd w:val="clear" w:color="auto" w:fill="FFFFFF"/>
        <w:adjustRightInd w:val="0"/>
        <w:snapToGrid w:val="0"/>
        <w:spacing w:line="360" w:lineRule="auto"/>
        <w:ind w:firstLine="480"/>
        <w:jc w:val="left"/>
        <w:rPr>
          <w:rFonts w:hint="eastAsia" w:ascii="宋体" w:hAnsi="宋体" w:cs="宋体"/>
          <w:kern w:val="0"/>
          <w:sz w:val="24"/>
          <w:highlight w:val="none"/>
        </w:rPr>
      </w:pPr>
      <w:r>
        <w:rPr>
          <w:rFonts w:hint="eastAsia" w:ascii="宋体" w:hAnsi="宋体" w:cs="宋体"/>
          <w:kern w:val="0"/>
          <w:sz w:val="24"/>
          <w:highlight w:val="none"/>
        </w:rPr>
        <w:t>注：领取竞争性磋商文件请携带合法有效的单位介绍信原件、经办人身份证原件及复印件加盖供应商公章。</w:t>
      </w:r>
    </w:p>
    <w:p>
      <w:pPr>
        <w:pStyle w:val="266"/>
        <w:adjustRightInd w:val="0"/>
        <w:snapToGrid w:val="0"/>
        <w:spacing w:before="0" w:line="360" w:lineRule="auto"/>
        <w:rPr>
          <w:rFonts w:hint="eastAsia"/>
          <w:sz w:val="24"/>
          <w:szCs w:val="24"/>
          <w:highlight w:val="none"/>
        </w:rPr>
      </w:pPr>
      <w:r>
        <w:rPr>
          <w:rFonts w:hint="eastAsia"/>
          <w:sz w:val="24"/>
          <w:szCs w:val="24"/>
          <w:highlight w:val="none"/>
        </w:rPr>
        <w:t xml:space="preserve">四、响应文件递交 </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截止时间：2021-07-2</w:t>
      </w:r>
      <w:r>
        <w:rPr>
          <w:rFonts w:hint="eastAsia"/>
          <w:b w:val="0"/>
          <w:bCs w:val="0"/>
          <w:color w:val="333333"/>
          <w:sz w:val="24"/>
          <w:szCs w:val="24"/>
          <w:highlight w:val="none"/>
          <w:lang w:val="en-US" w:eastAsia="zh-CN"/>
        </w:rPr>
        <w:t>9</w:t>
      </w:r>
      <w:r>
        <w:rPr>
          <w:rFonts w:hint="eastAsia"/>
          <w:b w:val="0"/>
          <w:bCs w:val="0"/>
          <w:color w:val="333333"/>
          <w:sz w:val="24"/>
          <w:szCs w:val="24"/>
          <w:highlight w:val="none"/>
        </w:rPr>
        <w:t xml:space="preserve"> </w:t>
      </w:r>
      <w:r>
        <w:rPr>
          <w:rFonts w:hint="eastAsia"/>
          <w:b w:val="0"/>
          <w:bCs w:val="0"/>
          <w:color w:val="333333"/>
          <w:sz w:val="24"/>
          <w:szCs w:val="24"/>
          <w:highlight w:val="none"/>
          <w:lang w:val="en-US" w:eastAsia="zh-CN"/>
        </w:rPr>
        <w:t>14</w:t>
      </w:r>
      <w:r>
        <w:rPr>
          <w:rFonts w:hint="eastAsia"/>
          <w:b w:val="0"/>
          <w:bCs w:val="0"/>
          <w:color w:val="333333"/>
          <w:sz w:val="24"/>
          <w:szCs w:val="24"/>
          <w:highlight w:val="none"/>
        </w:rPr>
        <w:t>:30:00</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地点：西安市明光路166号凯瑞E座803室。</w:t>
      </w:r>
    </w:p>
    <w:p>
      <w:pPr>
        <w:pStyle w:val="266"/>
        <w:adjustRightInd w:val="0"/>
        <w:snapToGrid w:val="0"/>
        <w:spacing w:before="0" w:line="360" w:lineRule="auto"/>
        <w:rPr>
          <w:rFonts w:hint="eastAsia"/>
          <w:sz w:val="24"/>
          <w:szCs w:val="24"/>
          <w:highlight w:val="none"/>
        </w:rPr>
      </w:pPr>
      <w:r>
        <w:rPr>
          <w:rFonts w:hint="eastAsia"/>
          <w:sz w:val="24"/>
          <w:szCs w:val="24"/>
          <w:highlight w:val="none"/>
        </w:rPr>
        <w:t>五、公告期限</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自本公告发布之日起3个工作日</w:t>
      </w:r>
    </w:p>
    <w:p>
      <w:pPr>
        <w:pStyle w:val="266"/>
        <w:numPr>
          <w:ilvl w:val="0"/>
          <w:numId w:val="2"/>
        </w:numPr>
        <w:adjustRightInd w:val="0"/>
        <w:snapToGrid w:val="0"/>
        <w:spacing w:before="0" w:line="360" w:lineRule="auto"/>
        <w:rPr>
          <w:rFonts w:hint="eastAsia"/>
          <w:sz w:val="24"/>
          <w:szCs w:val="24"/>
          <w:highlight w:val="none"/>
        </w:rPr>
      </w:pPr>
      <w:r>
        <w:rPr>
          <w:rFonts w:hint="eastAsia"/>
          <w:sz w:val="24"/>
          <w:szCs w:val="24"/>
          <w:highlight w:val="none"/>
        </w:rPr>
        <w:t>其他补充事项</w:t>
      </w:r>
    </w:p>
    <w:p>
      <w:pPr>
        <w:pStyle w:val="266"/>
        <w:numPr>
          <w:ilvl w:val="0"/>
          <w:numId w:val="2"/>
        </w:numPr>
        <w:adjustRightInd w:val="0"/>
        <w:snapToGrid w:val="0"/>
        <w:spacing w:before="0" w:line="360" w:lineRule="auto"/>
        <w:rPr>
          <w:rFonts w:hint="eastAsia"/>
          <w:sz w:val="24"/>
          <w:szCs w:val="24"/>
          <w:highlight w:val="none"/>
        </w:rPr>
      </w:pPr>
      <w:r>
        <w:rPr>
          <w:rFonts w:hint="eastAsia"/>
          <w:sz w:val="24"/>
          <w:szCs w:val="24"/>
          <w:highlight w:val="none"/>
        </w:rPr>
        <w:t>对本次采购提出询问，请按以下方式联系。</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1、采购人信息：陕西省高速公路收费中心</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地址：陕西省西安市未央区明光路166号</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联系人：孙工</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电话：029-86531095</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2、项目联系方式</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项目联系人：田工</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电 话：029-89293166</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传 真：029-89293166</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3、采购代理机构信息</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名称：腾德工程咨询有限公司</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联系地址：西安市明光路166号凯瑞E座803室</w:t>
      </w:r>
    </w:p>
    <w:p>
      <w:pPr>
        <w:pStyle w:val="266"/>
        <w:adjustRightInd w:val="0"/>
        <w:snapToGrid w:val="0"/>
        <w:spacing w:before="0" w:line="360" w:lineRule="auto"/>
        <w:ind w:firstLine="480" w:firstLineChars="200"/>
        <w:rPr>
          <w:rFonts w:hint="eastAsia"/>
          <w:b w:val="0"/>
          <w:bCs w:val="0"/>
          <w:color w:val="333333"/>
          <w:sz w:val="24"/>
          <w:szCs w:val="24"/>
          <w:highlight w:val="none"/>
        </w:rPr>
      </w:pPr>
      <w:r>
        <w:rPr>
          <w:rFonts w:hint="eastAsia"/>
          <w:b w:val="0"/>
          <w:bCs w:val="0"/>
          <w:color w:val="333333"/>
          <w:sz w:val="24"/>
          <w:szCs w:val="24"/>
          <w:highlight w:val="none"/>
        </w:rPr>
        <w:t>联系方式：</w:t>
      </w:r>
      <w:r>
        <w:rPr>
          <w:highlight w:val="none"/>
        </w:rPr>
        <w:fldChar w:fldCharType="begin"/>
      </w:r>
      <w:r>
        <w:rPr>
          <w:highlight w:val="none"/>
        </w:rPr>
        <w:instrText xml:space="preserve"> HYPERLINK "http://www.ccgp.gov.cn/agency/a_agencylist.html" \t "http://www.ccgp-shaanxi.gov.cn/notice/_blank" </w:instrText>
      </w:r>
      <w:r>
        <w:rPr>
          <w:highlight w:val="none"/>
        </w:rPr>
        <w:fldChar w:fldCharType="separate"/>
      </w:r>
      <w:r>
        <w:rPr>
          <w:rFonts w:hint="eastAsia"/>
          <w:b w:val="0"/>
          <w:bCs w:val="0"/>
          <w:color w:val="333333"/>
          <w:sz w:val="24"/>
          <w:szCs w:val="24"/>
          <w:highlight w:val="none"/>
        </w:rPr>
        <w:t>http://www.ccgp.gov.cn/agency/a_agencylist.html</w:t>
      </w:r>
      <w:r>
        <w:rPr>
          <w:rFonts w:hint="eastAsia"/>
          <w:b w:val="0"/>
          <w:bCs w:val="0"/>
          <w:color w:val="333333"/>
          <w:sz w:val="24"/>
          <w:szCs w:val="24"/>
          <w:highlight w:val="none"/>
        </w:rPr>
        <w:fldChar w:fldCharType="end"/>
      </w:r>
    </w:p>
    <w:p>
      <w:pPr>
        <w:pStyle w:val="266"/>
        <w:adjustRightInd w:val="0"/>
        <w:snapToGrid w:val="0"/>
        <w:spacing w:before="0" w:line="360" w:lineRule="auto"/>
        <w:rPr>
          <w:rFonts w:hint="eastAsia"/>
          <w:sz w:val="24"/>
          <w:szCs w:val="24"/>
          <w:highlight w:val="none"/>
        </w:rPr>
      </w:pPr>
    </w:p>
    <w:p>
      <w:pPr>
        <w:adjustRightInd w:val="0"/>
        <w:snapToGrid w:val="0"/>
        <w:spacing w:line="360" w:lineRule="auto"/>
        <w:jc w:val="right"/>
        <w:rPr>
          <w:rFonts w:hint="eastAsia" w:ascii="宋体" w:hAnsi="宋体" w:cs="宋体"/>
          <w:sz w:val="24"/>
          <w:highlight w:val="none"/>
        </w:rPr>
      </w:pPr>
    </w:p>
    <w:p>
      <w:pPr>
        <w:adjustRightInd w:val="0"/>
        <w:snapToGrid w:val="0"/>
        <w:spacing w:line="360" w:lineRule="auto"/>
        <w:jc w:val="right"/>
        <w:rPr>
          <w:rFonts w:hint="eastAsia" w:ascii="宋体" w:hAnsi="宋体" w:cs="宋体"/>
          <w:sz w:val="24"/>
          <w:highlight w:val="none"/>
        </w:rPr>
      </w:pPr>
      <w:r>
        <w:rPr>
          <w:rFonts w:hint="eastAsia" w:ascii="宋体" w:hAnsi="宋体" w:cs="宋体"/>
          <w:sz w:val="24"/>
          <w:highlight w:val="none"/>
        </w:rPr>
        <w:t>腾德工程咨询有限公司</w:t>
      </w:r>
    </w:p>
    <w:p>
      <w:pPr>
        <w:wordWrap w:val="0"/>
        <w:adjustRightInd w:val="0"/>
        <w:snapToGrid w:val="0"/>
        <w:spacing w:line="360" w:lineRule="auto"/>
        <w:jc w:val="right"/>
        <w:rPr>
          <w:rFonts w:hint="eastAsia" w:ascii="宋体" w:hAnsi="宋体" w:cs="宋体"/>
          <w:sz w:val="24"/>
          <w:highlight w:val="none"/>
        </w:rPr>
      </w:pPr>
      <w:r>
        <w:rPr>
          <w:rFonts w:hint="eastAsia" w:ascii="宋体" w:hAnsi="宋体" w:cs="宋体"/>
          <w:sz w:val="24"/>
          <w:highlight w:val="none"/>
        </w:rPr>
        <w:t>2021年</w:t>
      </w:r>
      <w:r>
        <w:rPr>
          <w:rFonts w:hint="eastAsia" w:ascii="宋体" w:hAnsi="宋体" w:cs="宋体"/>
          <w:sz w:val="24"/>
          <w:highlight w:val="none"/>
          <w:lang w:val="en-US" w:eastAsia="zh-CN"/>
        </w:rPr>
        <w:t>7</w:t>
      </w:r>
      <w:r>
        <w:rPr>
          <w:rFonts w:hint="eastAsia" w:ascii="宋体" w:hAnsi="宋体" w:cs="宋体"/>
          <w:sz w:val="24"/>
          <w:highlight w:val="none"/>
        </w:rPr>
        <w:t xml:space="preserve"> 月</w:t>
      </w:r>
      <w:r>
        <w:rPr>
          <w:rFonts w:hint="eastAsia" w:ascii="宋体" w:hAnsi="宋体" w:cs="宋体"/>
          <w:sz w:val="24"/>
          <w:highlight w:val="none"/>
          <w:lang w:val="en-US" w:eastAsia="zh-CN"/>
        </w:rPr>
        <w:t>19</w:t>
      </w:r>
      <w:r>
        <w:rPr>
          <w:rFonts w:hint="eastAsia" w:ascii="宋体" w:hAnsi="宋体" w:cs="宋体"/>
          <w:sz w:val="24"/>
          <w:highlight w:val="none"/>
        </w:rPr>
        <w:t>日</w:t>
      </w:r>
    </w:p>
    <w:p>
      <w:pPr>
        <w:pStyle w:val="3"/>
        <w:keepNext w:val="0"/>
        <w:pageBreakBefore/>
        <w:spacing w:line="350" w:lineRule="auto"/>
        <w:rPr>
          <w:rFonts w:hint="eastAsia" w:cs="宋体"/>
        </w:rPr>
      </w:pPr>
      <w:bookmarkStart w:id="3" w:name="_Toc421778363"/>
      <w:bookmarkStart w:id="4" w:name="_Toc6101"/>
      <w:bookmarkStart w:id="5" w:name="_Toc18910"/>
      <w:bookmarkStart w:id="6" w:name="_Toc26300488"/>
      <w:r>
        <w:rPr>
          <w:rFonts w:hint="eastAsia" w:cs="宋体"/>
        </w:rPr>
        <w:t>第二章</w:t>
      </w:r>
      <w:bookmarkEnd w:id="3"/>
      <w:r>
        <w:rPr>
          <w:rFonts w:hint="eastAsia" w:cs="宋体"/>
        </w:rPr>
        <w:t xml:space="preserve">  供应商须知</w:t>
      </w:r>
      <w:bookmarkEnd w:id="4"/>
      <w:bookmarkEnd w:id="5"/>
      <w:bookmarkEnd w:id="6"/>
    </w:p>
    <w:p>
      <w:pPr>
        <w:spacing w:line="360" w:lineRule="auto"/>
        <w:jc w:val="center"/>
        <w:outlineLvl w:val="1"/>
        <w:rPr>
          <w:rFonts w:hint="eastAsia" w:ascii="宋体" w:hAnsi="宋体" w:cs="宋体"/>
          <w:b/>
          <w:bCs/>
          <w:szCs w:val="21"/>
        </w:rPr>
      </w:pPr>
      <w:bookmarkStart w:id="7" w:name="_Toc26300489"/>
      <w:bookmarkStart w:id="8" w:name="_Toc26291134"/>
      <w:bookmarkStart w:id="9" w:name="_Toc25771"/>
      <w:bookmarkStart w:id="10" w:name="_Toc421778364"/>
      <w:bookmarkStart w:id="11" w:name="_Toc17998925"/>
      <w:bookmarkStart w:id="12" w:name="_Toc25661893"/>
      <w:bookmarkStart w:id="13" w:name="_Toc13293"/>
      <w:bookmarkStart w:id="14" w:name="_Toc26298318"/>
      <w:bookmarkStart w:id="15" w:name="_Toc17999487"/>
      <w:bookmarkStart w:id="16" w:name="_Toc420591642"/>
      <w:bookmarkStart w:id="17" w:name="_Toc26291034"/>
      <w:r>
        <w:rPr>
          <w:rFonts w:hint="eastAsia" w:ascii="宋体" w:hAnsi="宋体" w:cs="宋体"/>
          <w:b/>
          <w:bCs/>
          <w:szCs w:val="21"/>
        </w:rPr>
        <w:t>供应商须知前附表</w:t>
      </w:r>
      <w:bookmarkEnd w:id="7"/>
      <w:bookmarkEnd w:id="8"/>
      <w:bookmarkEnd w:id="9"/>
      <w:bookmarkEnd w:id="10"/>
      <w:bookmarkEnd w:id="11"/>
      <w:bookmarkEnd w:id="12"/>
      <w:bookmarkEnd w:id="13"/>
      <w:bookmarkEnd w:id="14"/>
      <w:bookmarkEnd w:id="15"/>
      <w:bookmarkEnd w:id="16"/>
      <w:bookmarkEnd w:id="17"/>
    </w:p>
    <w:tbl>
      <w:tblPr>
        <w:tblStyle w:val="44"/>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493"/>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pacing w:line="360" w:lineRule="auto"/>
              <w:jc w:val="center"/>
              <w:rPr>
                <w:rFonts w:hint="eastAsia" w:ascii="宋体" w:hAnsi="宋体" w:cs="宋体"/>
                <w:b/>
                <w:bCs/>
                <w:szCs w:val="21"/>
              </w:rPr>
            </w:pPr>
            <w:r>
              <w:rPr>
                <w:rFonts w:hint="eastAsia" w:ascii="宋体" w:hAnsi="宋体" w:cs="宋体"/>
                <w:b/>
                <w:bCs/>
                <w:szCs w:val="21"/>
              </w:rPr>
              <w:t>条款号</w:t>
            </w:r>
          </w:p>
        </w:tc>
        <w:tc>
          <w:tcPr>
            <w:tcW w:w="2493" w:type="dxa"/>
            <w:vAlign w:val="center"/>
          </w:tcPr>
          <w:p>
            <w:pPr>
              <w:spacing w:line="360" w:lineRule="auto"/>
              <w:jc w:val="center"/>
              <w:rPr>
                <w:rFonts w:hint="eastAsia" w:ascii="宋体" w:hAnsi="宋体" w:cs="宋体"/>
                <w:b/>
                <w:bCs/>
                <w:szCs w:val="21"/>
              </w:rPr>
            </w:pPr>
            <w:r>
              <w:rPr>
                <w:rFonts w:hint="eastAsia" w:ascii="宋体" w:hAnsi="宋体" w:cs="宋体"/>
                <w:b/>
                <w:bCs/>
                <w:szCs w:val="21"/>
              </w:rPr>
              <w:t>条款名称</w:t>
            </w:r>
          </w:p>
        </w:tc>
        <w:tc>
          <w:tcPr>
            <w:tcW w:w="6240" w:type="dxa"/>
            <w:vAlign w:val="center"/>
          </w:tcPr>
          <w:p>
            <w:pPr>
              <w:spacing w:line="360" w:lineRule="auto"/>
              <w:jc w:val="center"/>
              <w:rPr>
                <w:rFonts w:hint="eastAsia" w:ascii="宋体" w:hAnsi="宋体" w:cs="宋体"/>
                <w:b/>
                <w:bCs/>
                <w:szCs w:val="21"/>
              </w:rPr>
            </w:pPr>
            <w:r>
              <w:rPr>
                <w:rFonts w:hint="eastAsia" w:ascii="宋体" w:hAnsi="宋体" w:cs="宋体"/>
                <w:b/>
                <w:bCs/>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1.1.2</w:t>
            </w:r>
          </w:p>
        </w:tc>
        <w:tc>
          <w:tcPr>
            <w:tcW w:w="2493" w:type="dxa"/>
            <w:vAlign w:val="center"/>
          </w:tcPr>
          <w:p>
            <w:pPr>
              <w:jc w:val="center"/>
              <w:rPr>
                <w:rFonts w:hint="eastAsia" w:ascii="宋体" w:hAnsi="宋体" w:cs="宋体"/>
                <w:kern w:val="0"/>
                <w:szCs w:val="21"/>
              </w:rPr>
            </w:pPr>
            <w:r>
              <w:rPr>
                <w:rFonts w:hint="eastAsia" w:ascii="宋体" w:hAnsi="宋体" w:cs="宋体"/>
                <w:kern w:val="0"/>
                <w:szCs w:val="21"/>
              </w:rPr>
              <w:t>采购人</w:t>
            </w:r>
          </w:p>
        </w:tc>
        <w:tc>
          <w:tcPr>
            <w:tcW w:w="6240" w:type="dxa"/>
            <w:vAlign w:val="center"/>
          </w:tcPr>
          <w:p>
            <w:pPr>
              <w:spacing w:line="460" w:lineRule="exact"/>
              <w:jc w:val="left"/>
              <w:rPr>
                <w:rFonts w:hint="eastAsia" w:ascii="宋体" w:hAnsi="宋体" w:cs="宋体"/>
                <w:kern w:val="0"/>
                <w:szCs w:val="21"/>
              </w:rPr>
            </w:pPr>
            <w:r>
              <w:rPr>
                <w:rFonts w:hint="eastAsia" w:ascii="宋体" w:hAnsi="宋体" w:cs="宋体"/>
                <w:kern w:val="0"/>
                <w:szCs w:val="21"/>
              </w:rPr>
              <w:t>名称：陕西省高速公路收费中心</w:t>
            </w:r>
          </w:p>
          <w:p>
            <w:pPr>
              <w:spacing w:line="460" w:lineRule="exact"/>
              <w:jc w:val="left"/>
              <w:rPr>
                <w:rFonts w:hint="eastAsia" w:ascii="宋体" w:hAnsi="宋体" w:cs="宋体"/>
                <w:kern w:val="0"/>
                <w:szCs w:val="21"/>
              </w:rPr>
            </w:pPr>
            <w:r>
              <w:rPr>
                <w:rFonts w:hint="eastAsia" w:ascii="宋体" w:hAnsi="宋体" w:cs="宋体"/>
                <w:kern w:val="0"/>
                <w:szCs w:val="21"/>
              </w:rPr>
              <w:t>地址：西安市经开区未央路208号</w:t>
            </w:r>
          </w:p>
          <w:p>
            <w:pPr>
              <w:spacing w:line="460" w:lineRule="exact"/>
              <w:jc w:val="left"/>
              <w:rPr>
                <w:rFonts w:hint="eastAsia" w:ascii="宋体" w:hAnsi="宋体" w:cs="宋体"/>
                <w:kern w:val="0"/>
                <w:szCs w:val="21"/>
              </w:rPr>
            </w:pPr>
            <w:r>
              <w:rPr>
                <w:rFonts w:hint="eastAsia" w:ascii="宋体" w:hAnsi="宋体" w:cs="宋体"/>
                <w:kern w:val="0"/>
                <w:szCs w:val="21"/>
              </w:rPr>
              <w:t>联系人:孙工</w:t>
            </w:r>
          </w:p>
          <w:p>
            <w:pPr>
              <w:spacing w:line="460" w:lineRule="exact"/>
              <w:jc w:val="left"/>
              <w:rPr>
                <w:rFonts w:hint="eastAsia" w:ascii="宋体" w:hAnsi="宋体" w:cs="宋体"/>
                <w:kern w:val="0"/>
                <w:szCs w:val="21"/>
              </w:rPr>
            </w:pPr>
            <w:r>
              <w:rPr>
                <w:rFonts w:hint="eastAsia" w:ascii="宋体" w:hAnsi="宋体" w:cs="宋体"/>
                <w:kern w:val="0"/>
                <w:szCs w:val="21"/>
              </w:rPr>
              <w:t>联系方式：029-86531095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1.1.3</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采购代理机构</w:t>
            </w:r>
          </w:p>
        </w:tc>
        <w:tc>
          <w:tcPr>
            <w:tcW w:w="6240" w:type="dxa"/>
            <w:vAlign w:val="center"/>
          </w:tcPr>
          <w:p>
            <w:pPr>
              <w:spacing w:line="400" w:lineRule="exact"/>
              <w:rPr>
                <w:rFonts w:hint="eastAsia" w:ascii="宋体" w:hAnsi="宋体" w:cs="宋体"/>
              </w:rPr>
            </w:pPr>
            <w:r>
              <w:rPr>
                <w:rFonts w:hint="eastAsia" w:ascii="宋体" w:hAnsi="宋体" w:cs="宋体"/>
              </w:rPr>
              <w:t>名  称: 腾德工程咨询有限公司</w:t>
            </w:r>
          </w:p>
          <w:p>
            <w:pPr>
              <w:spacing w:line="400" w:lineRule="exact"/>
              <w:rPr>
                <w:rFonts w:hint="eastAsia" w:ascii="宋体" w:hAnsi="宋体" w:cs="宋体"/>
              </w:rPr>
            </w:pPr>
            <w:r>
              <w:rPr>
                <w:rFonts w:hint="eastAsia" w:ascii="宋体" w:hAnsi="宋体" w:cs="宋体"/>
              </w:rPr>
              <w:t>地  址: 西安市明光路166号凯瑞E座803室</w:t>
            </w:r>
          </w:p>
          <w:p>
            <w:pPr>
              <w:spacing w:line="400" w:lineRule="exact"/>
              <w:rPr>
                <w:rFonts w:hint="eastAsia" w:ascii="宋体" w:hAnsi="宋体" w:cs="宋体"/>
              </w:rPr>
            </w:pPr>
            <w:r>
              <w:rPr>
                <w:rFonts w:hint="eastAsia" w:ascii="宋体" w:hAnsi="宋体" w:cs="宋体"/>
              </w:rPr>
              <w:t>联系人:田工</w:t>
            </w:r>
          </w:p>
          <w:p>
            <w:pPr>
              <w:spacing w:line="360" w:lineRule="auto"/>
              <w:rPr>
                <w:rFonts w:hint="eastAsia" w:ascii="宋体" w:hAnsi="宋体" w:cs="宋体"/>
                <w:szCs w:val="21"/>
              </w:rPr>
            </w:pPr>
            <w:r>
              <w:rPr>
                <w:rFonts w:hint="eastAsia" w:ascii="宋体" w:hAnsi="宋体" w:cs="宋体"/>
              </w:rPr>
              <w:t>电  话: 029-89293166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1.1.4</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采购项目名称</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陕西省高速公路收费中心监控、GIS系统维护服务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1.1.5</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采购地点</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详见第五章采购内容及技术要求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1.2.1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资金来源</w:t>
            </w:r>
          </w:p>
        </w:tc>
        <w:tc>
          <w:tcPr>
            <w:tcW w:w="6240" w:type="dxa"/>
            <w:vAlign w:val="center"/>
          </w:tcPr>
          <w:p>
            <w:pPr>
              <w:rPr>
                <w:rFonts w:hint="eastAsia" w:ascii="宋体" w:hAnsi="宋体" w:eastAsia="宋体" w:cs="宋体"/>
                <w:szCs w:val="21"/>
                <w:lang w:eastAsia="zh-CN"/>
              </w:rPr>
            </w:pPr>
            <w:del w:id="10" w:author="长安大学交通系统工程研究所" w:date="2021-07-21T10:46:33Z">
              <w:r>
                <w:rPr>
                  <w:rFonts w:hint="default" w:ascii="宋体" w:hAnsi="宋体" w:cs="宋体"/>
                  <w:szCs w:val="21"/>
                  <w:lang w:val="en-US"/>
                </w:rPr>
                <w:delText>政府投资</w:delText>
              </w:r>
            </w:del>
            <w:ins w:id="11" w:author="长安大学交通系统工程研究所" w:date="2021-07-21T10:46:36Z">
              <w:r>
                <w:rPr>
                  <w:rFonts w:hint="eastAsia" w:ascii="宋体" w:hAnsi="宋体" w:cs="宋体"/>
                  <w:szCs w:val="21"/>
                  <w:lang w:val="en-US" w:eastAsia="zh-CN"/>
                </w:rPr>
                <w:t>财政拨款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1.2.2</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资金落实情况</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1.3.1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磋商范围</w:t>
            </w:r>
          </w:p>
        </w:tc>
        <w:tc>
          <w:tcPr>
            <w:tcW w:w="6240" w:type="dxa"/>
            <w:vAlign w:val="center"/>
          </w:tcPr>
          <w:p>
            <w:pPr>
              <w:spacing w:line="360" w:lineRule="auto"/>
              <w:jc w:val="left"/>
              <w:rPr>
                <w:rFonts w:hint="eastAsia" w:ascii="宋体" w:hAnsi="宋体" w:cs="宋体"/>
                <w:szCs w:val="21"/>
              </w:rPr>
            </w:pPr>
            <w:r>
              <w:rPr>
                <w:rFonts w:hint="eastAsia" w:ascii="宋体" w:hAnsi="宋体" w:cs="宋体"/>
                <w:szCs w:val="21"/>
              </w:rPr>
              <w:t>陕西省高速收费中心综合监控、GIS系统维护服务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1.3.2</w:t>
            </w:r>
          </w:p>
        </w:tc>
        <w:tc>
          <w:tcPr>
            <w:tcW w:w="2493" w:type="dxa"/>
            <w:vAlign w:val="center"/>
          </w:tcPr>
          <w:p>
            <w:pPr>
              <w:spacing w:line="360" w:lineRule="auto"/>
              <w:jc w:val="center"/>
              <w:rPr>
                <w:rFonts w:hint="eastAsia" w:ascii="宋体" w:hAnsi="宋体" w:cs="宋体"/>
                <w:kern w:val="0"/>
                <w:szCs w:val="21"/>
              </w:rPr>
            </w:pPr>
            <w:r>
              <w:rPr>
                <w:rFonts w:hint="eastAsia" w:ascii="宋体" w:hAnsi="宋体" w:cs="宋体"/>
                <w:kern w:val="0"/>
                <w:szCs w:val="21"/>
              </w:rPr>
              <w:t>服务期</w:t>
            </w:r>
          </w:p>
        </w:tc>
        <w:tc>
          <w:tcPr>
            <w:tcW w:w="6240" w:type="dxa"/>
            <w:vAlign w:val="center"/>
          </w:tcPr>
          <w:p>
            <w:pPr>
              <w:pStyle w:val="16"/>
              <w:rPr>
                <w:rFonts w:hint="eastAsia" w:ascii="宋体" w:hAnsi="宋体" w:cs="宋体"/>
                <w:szCs w:val="21"/>
              </w:rPr>
            </w:pPr>
            <w:r>
              <w:rPr>
                <w:rFonts w:hint="eastAsia" w:ascii="宋体" w:hAnsi="宋体" w:cs="宋体"/>
                <w:szCs w:val="21"/>
              </w:rPr>
              <w:t>维护服务期为自合同签订之日起一年。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1.4.1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资质证明文件</w:t>
            </w:r>
          </w:p>
        </w:tc>
        <w:tc>
          <w:tcPr>
            <w:tcW w:w="6240" w:type="dxa"/>
            <w:vAlign w:val="center"/>
          </w:tcPr>
          <w:p>
            <w:pPr>
              <w:widowControl/>
              <w:shd w:val="clear" w:color="auto" w:fill="FFFFFF"/>
              <w:spacing w:line="460" w:lineRule="exact"/>
              <w:jc w:val="left"/>
              <w:rPr>
                <w:rFonts w:hint="eastAsia" w:ascii="宋体" w:hAnsi="宋体" w:cs="宋体"/>
                <w:szCs w:val="21"/>
              </w:rPr>
            </w:pPr>
            <w:r>
              <w:rPr>
                <w:rFonts w:hint="eastAsia" w:ascii="宋体" w:hAnsi="宋体" w:cs="宋体"/>
                <w:szCs w:val="21"/>
              </w:rPr>
              <w:t>一、基本资格条件：符合《中华人民共和国政府采购法》第二十二条的规定：</w:t>
            </w:r>
          </w:p>
          <w:p>
            <w:pPr>
              <w:widowControl/>
              <w:shd w:val="clear" w:color="auto" w:fill="FFFFFF"/>
              <w:spacing w:line="460" w:lineRule="exact"/>
              <w:ind w:firstLine="480"/>
              <w:jc w:val="left"/>
              <w:rPr>
                <w:rFonts w:hint="eastAsia" w:ascii="宋体" w:hAnsi="宋体" w:cs="宋体"/>
                <w:szCs w:val="21"/>
              </w:rPr>
            </w:pPr>
            <w:r>
              <w:rPr>
                <w:rFonts w:hint="eastAsia" w:ascii="宋体" w:hAnsi="宋体" w:cs="宋体"/>
                <w:szCs w:val="21"/>
              </w:rPr>
              <w:t>1、具有独立承担民事责任的能力（</w:t>
            </w:r>
            <w:r>
              <w:rPr>
                <w:rFonts w:hint="eastAsia" w:ascii="宋体" w:hAnsi="宋体" w:cs="宋体"/>
                <w:color w:val="000000"/>
                <w:szCs w:val="21"/>
              </w:rPr>
              <w:t>提供营业执照/事业单位法人证书/非企业专业服务机构执业许可证/自然人身份证</w:t>
            </w:r>
            <w:r>
              <w:rPr>
                <w:rFonts w:hint="eastAsia" w:ascii="宋体" w:hAnsi="宋体" w:cs="宋体"/>
                <w:szCs w:val="21"/>
              </w:rPr>
              <w:t>）；</w:t>
            </w:r>
          </w:p>
          <w:p>
            <w:pPr>
              <w:widowControl/>
              <w:shd w:val="clear" w:color="auto" w:fill="FFFFFF"/>
              <w:spacing w:line="460" w:lineRule="exact"/>
              <w:ind w:firstLine="480"/>
              <w:jc w:val="left"/>
              <w:rPr>
                <w:rFonts w:hint="eastAsia" w:ascii="宋体" w:hAnsi="宋体" w:cs="宋体"/>
                <w:szCs w:val="21"/>
              </w:rPr>
            </w:pPr>
            <w:r>
              <w:rPr>
                <w:rFonts w:hint="eastAsia" w:ascii="宋体" w:hAnsi="宋体" w:cs="宋体"/>
                <w:szCs w:val="21"/>
              </w:rPr>
              <w:t>2、</w:t>
            </w:r>
            <w:r>
              <w:rPr>
                <w:rFonts w:hint="eastAsia" w:ascii="宋体" w:hAnsi="宋体" w:cs="宋体"/>
                <w:color w:val="000000"/>
                <w:szCs w:val="21"/>
              </w:rPr>
              <w:t>具有良好的商业信誉和健全的财务会计制度</w:t>
            </w:r>
            <w:r>
              <w:rPr>
                <w:rFonts w:hint="eastAsia" w:ascii="宋体" w:hAnsi="宋体" w:cs="宋体"/>
                <w:szCs w:val="21"/>
              </w:rPr>
              <w:t>（提供具有财务审计资质的单位出具的2020年财务报告，或磋商截止时间前三个月内公司存款账户开户银行出具的资信证明，或信用担保机构出具的投标担保函）；</w:t>
            </w:r>
          </w:p>
          <w:p>
            <w:pPr>
              <w:widowControl/>
              <w:shd w:val="clear" w:color="auto" w:fill="FFFFFF"/>
              <w:spacing w:line="460" w:lineRule="exact"/>
              <w:ind w:firstLine="480"/>
              <w:jc w:val="left"/>
              <w:rPr>
                <w:rFonts w:hint="eastAsia" w:ascii="宋体" w:hAnsi="宋体" w:cs="宋体"/>
                <w:szCs w:val="21"/>
              </w:rPr>
            </w:pPr>
            <w:r>
              <w:rPr>
                <w:rFonts w:hint="eastAsia" w:ascii="宋体" w:hAnsi="宋体" w:cs="宋体"/>
                <w:szCs w:val="21"/>
              </w:rPr>
              <w:t>3、</w:t>
            </w:r>
            <w:r>
              <w:commentReference w:id="0"/>
            </w:r>
            <w:r>
              <w:rPr>
                <w:rFonts w:hint="eastAsia" w:ascii="宋体" w:hAnsi="宋体" w:cs="宋体"/>
                <w:color w:val="000000"/>
                <w:szCs w:val="21"/>
              </w:rPr>
              <w:t>有依法缴纳税收和社会保障资金的良好记录</w:t>
            </w:r>
            <w:r>
              <w:rPr>
                <w:rFonts w:hint="eastAsia" w:ascii="宋体" w:hAnsi="宋体" w:cs="宋体"/>
                <w:szCs w:val="21"/>
              </w:rPr>
              <w:t>（</w:t>
            </w:r>
            <w:r>
              <w:rPr>
                <w:rFonts w:hint="eastAsia" w:ascii="宋体" w:hAnsi="宋体" w:cs="宋体"/>
                <w:color w:val="000000"/>
                <w:szCs w:val="21"/>
              </w:rPr>
              <w:t>提供</w:t>
            </w:r>
            <w:r>
              <w:rPr>
                <w:rFonts w:hint="eastAsia" w:ascii="宋体" w:hAnsi="宋体" w:cs="宋体"/>
                <w:kern w:val="0"/>
                <w:szCs w:val="21"/>
              </w:rPr>
              <w:t>磋商截止时间前12个月内任</w:t>
            </w:r>
            <w:del w:id="12" w:author="长安大学交通系统工程研究所" w:date="2021-07-21T10:52:38Z">
              <w:r>
                <w:rPr>
                  <w:rFonts w:hint="default" w:ascii="宋体" w:hAnsi="宋体" w:cs="宋体"/>
                  <w:kern w:val="0"/>
                  <w:szCs w:val="21"/>
                  <w:lang w:val="en-US"/>
                </w:rPr>
                <w:delText>一</w:delText>
              </w:r>
            </w:del>
            <w:ins w:id="13" w:author="长安大学交通系统工程研究所" w:date="2021-07-21T10:52:39Z">
              <w:r>
                <w:rPr>
                  <w:rFonts w:hint="eastAsia" w:ascii="宋体" w:hAnsi="宋体" w:cs="宋体"/>
                  <w:kern w:val="0"/>
                  <w:szCs w:val="21"/>
                  <w:lang w:val="en-US" w:eastAsia="zh-CN"/>
                </w:rPr>
                <w:t>三</w:t>
              </w:r>
            </w:ins>
            <w:r>
              <w:rPr>
                <w:rFonts w:hint="eastAsia" w:ascii="宋体" w:hAnsi="宋体" w:cs="宋体"/>
                <w:kern w:val="0"/>
                <w:szCs w:val="21"/>
              </w:rPr>
              <w:t>个月份</w:t>
            </w:r>
            <w:r>
              <w:rPr>
                <w:rFonts w:hint="eastAsia" w:ascii="宋体" w:hAnsi="宋体" w:cs="宋体"/>
                <w:color w:val="000000"/>
                <w:szCs w:val="21"/>
              </w:rPr>
              <w:t>的税收缴费凭据或免税书面声明及社会保障资金缴纳专用收据或社会保险缴纳清单或社会保障资金免缴纳书面声明</w:t>
            </w:r>
            <w:r>
              <w:rPr>
                <w:rFonts w:hint="eastAsia" w:ascii="宋体" w:hAnsi="宋体" w:cs="宋体"/>
                <w:szCs w:val="21"/>
              </w:rPr>
              <w:t>）；</w:t>
            </w:r>
          </w:p>
          <w:p>
            <w:pPr>
              <w:widowControl/>
              <w:shd w:val="clear" w:color="auto" w:fill="FFFFFF"/>
              <w:spacing w:line="460" w:lineRule="exact"/>
              <w:ind w:firstLine="480"/>
              <w:jc w:val="left"/>
              <w:rPr>
                <w:rFonts w:hint="eastAsia" w:ascii="宋体" w:hAnsi="宋体" w:cs="宋体"/>
                <w:szCs w:val="21"/>
              </w:rPr>
            </w:pPr>
            <w:r>
              <w:rPr>
                <w:rFonts w:hint="eastAsia" w:ascii="宋体" w:hAnsi="宋体" w:cs="宋体"/>
                <w:szCs w:val="21"/>
              </w:rPr>
              <w:t>4、具备履行合同所必需的设备和专业技术能力（</w:t>
            </w:r>
            <w:r>
              <w:rPr>
                <w:rFonts w:hint="eastAsia" w:ascii="宋体" w:hAnsi="宋体" w:cs="宋体"/>
                <w:color w:val="000000"/>
                <w:szCs w:val="21"/>
              </w:rPr>
              <w:t>提供可充分满足履行合同所需设备和专业技术能力的承诺</w:t>
            </w:r>
            <w:r>
              <w:rPr>
                <w:rFonts w:hint="eastAsia" w:ascii="宋体" w:hAnsi="宋体" w:cs="宋体"/>
                <w:szCs w:val="21"/>
              </w:rPr>
              <w:t>）；</w:t>
            </w:r>
          </w:p>
          <w:p>
            <w:pPr>
              <w:widowControl/>
              <w:shd w:val="clear" w:color="auto" w:fill="FFFFFF"/>
              <w:spacing w:line="460" w:lineRule="exact"/>
              <w:ind w:firstLine="480"/>
              <w:jc w:val="left"/>
              <w:rPr>
                <w:rFonts w:hint="eastAsia" w:ascii="宋体" w:hAnsi="宋体" w:cs="宋体"/>
                <w:szCs w:val="21"/>
              </w:rPr>
            </w:pPr>
            <w:r>
              <w:rPr>
                <w:rFonts w:hint="eastAsia" w:ascii="宋体" w:hAnsi="宋体" w:cs="宋体"/>
                <w:szCs w:val="21"/>
              </w:rPr>
              <w:t>5、参加政府采购活动前三年内在经营活动中没有重大违法记录的书面声明；</w:t>
            </w:r>
          </w:p>
          <w:p>
            <w:pPr>
              <w:widowControl/>
              <w:shd w:val="clear" w:color="auto" w:fill="FFFFFF"/>
              <w:spacing w:line="460" w:lineRule="exact"/>
              <w:ind w:firstLine="480"/>
              <w:jc w:val="left"/>
              <w:rPr>
                <w:rFonts w:hint="eastAsia" w:ascii="宋体" w:hAnsi="宋体" w:cs="宋体"/>
                <w:szCs w:val="21"/>
              </w:rPr>
            </w:pPr>
            <w:r>
              <w:rPr>
                <w:rFonts w:hint="eastAsia" w:ascii="宋体" w:hAnsi="宋体" w:cs="宋体"/>
                <w:szCs w:val="21"/>
              </w:rPr>
              <w:t>6、政府采购法律法规相关规定的其他条件。</w:t>
            </w:r>
          </w:p>
          <w:p>
            <w:pPr>
              <w:widowControl/>
              <w:shd w:val="clear" w:color="auto" w:fill="FFFFFF"/>
              <w:spacing w:line="460" w:lineRule="exact"/>
              <w:jc w:val="left"/>
              <w:rPr>
                <w:rFonts w:hint="eastAsia" w:ascii="宋体" w:hAnsi="宋体" w:cs="宋体"/>
                <w:szCs w:val="21"/>
              </w:rPr>
            </w:pPr>
            <w:r>
              <w:rPr>
                <w:rFonts w:hint="eastAsia" w:ascii="宋体" w:hAnsi="宋体" w:cs="宋体"/>
                <w:szCs w:val="21"/>
              </w:rPr>
              <w:t>二、特定资格条件：</w:t>
            </w:r>
          </w:p>
          <w:p>
            <w:pPr>
              <w:widowControl/>
              <w:shd w:val="clear" w:color="auto" w:fill="FFFFFF"/>
              <w:spacing w:line="460" w:lineRule="exact"/>
              <w:ind w:firstLine="480"/>
              <w:jc w:val="left"/>
              <w:rPr>
                <w:rFonts w:hint="eastAsia" w:ascii="宋体" w:hAnsi="宋体" w:cs="宋体"/>
                <w:szCs w:val="21"/>
              </w:rPr>
            </w:pPr>
            <w:r>
              <w:rPr>
                <w:rFonts w:hint="eastAsia" w:ascii="宋体" w:hAnsi="宋体" w:cs="宋体"/>
                <w:szCs w:val="21"/>
              </w:rPr>
              <w:t>1、投标人须通过“信用中国”网站和“中国政府采购网”查询相关主体信用记录，对列入失信被执行人、重大税收违法案件当事人名单、政府采购严重违法失信行为记录名单及其他不符合《中华人民共和国政府采购法》第二十二条规定条件的采购代理机构将拒绝其参与本项目投标）；</w:t>
            </w:r>
          </w:p>
          <w:p>
            <w:pPr>
              <w:widowControl/>
              <w:shd w:val="clear" w:color="auto" w:fill="FFFFFF"/>
              <w:spacing w:line="460" w:lineRule="exact"/>
              <w:ind w:firstLine="480"/>
              <w:jc w:val="left"/>
              <w:rPr>
                <w:rFonts w:hint="eastAsia" w:ascii="宋体" w:hAnsi="宋体" w:cs="宋体"/>
                <w:szCs w:val="21"/>
              </w:rPr>
            </w:pPr>
            <w:r>
              <w:rPr>
                <w:rFonts w:hint="eastAsia" w:ascii="宋体" w:hAnsi="宋体" w:cs="宋体"/>
                <w:szCs w:val="21"/>
              </w:rPr>
              <w:t>2、单位负责人为同一人或者存在直接控股、管理关系的不同投标人，不得同时参加同一标项投标。</w:t>
            </w:r>
          </w:p>
          <w:p>
            <w:pPr>
              <w:widowControl/>
              <w:shd w:val="clear" w:color="auto" w:fill="FFFFFF"/>
              <w:spacing w:line="460" w:lineRule="exact"/>
              <w:ind w:firstLine="480"/>
              <w:jc w:val="left"/>
              <w:rPr>
                <w:rFonts w:hint="eastAsia" w:ascii="宋体" w:hAnsi="宋体" w:cs="宋体"/>
                <w:b/>
                <w:szCs w:val="21"/>
              </w:rPr>
            </w:pPr>
            <w:r>
              <w:rPr>
                <w:rFonts w:hint="eastAsia" w:ascii="宋体" w:hAnsi="宋体" w:cs="宋体"/>
                <w:szCs w:val="21"/>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1.4.2</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竞争性磋商</w:t>
            </w:r>
          </w:p>
          <w:p>
            <w:pPr>
              <w:spacing w:line="360" w:lineRule="auto"/>
              <w:jc w:val="center"/>
              <w:rPr>
                <w:rFonts w:hint="eastAsia" w:ascii="宋体" w:hAnsi="宋体" w:cs="宋体"/>
                <w:szCs w:val="21"/>
              </w:rPr>
            </w:pPr>
            <w:r>
              <w:rPr>
                <w:rFonts w:hint="eastAsia" w:ascii="宋体" w:hAnsi="宋体" w:cs="宋体"/>
                <w:szCs w:val="21"/>
              </w:rPr>
              <w:t>文件发售时间</w:t>
            </w:r>
          </w:p>
        </w:tc>
        <w:tc>
          <w:tcPr>
            <w:tcW w:w="6240" w:type="dxa"/>
            <w:vAlign w:val="center"/>
          </w:tcPr>
          <w:p>
            <w:pPr>
              <w:spacing w:line="520" w:lineRule="exact"/>
              <w:rPr>
                <w:rFonts w:hint="eastAsia" w:ascii="宋体" w:hAnsi="宋体" w:cs="宋体"/>
                <w:szCs w:val="21"/>
                <w:highlight w:val="none"/>
              </w:rPr>
            </w:pPr>
            <w:r>
              <w:rPr>
                <w:rFonts w:hint="eastAsia" w:ascii="宋体" w:hAnsi="宋体" w:cs="宋体"/>
                <w:szCs w:val="21"/>
                <w:highlight w:val="none"/>
              </w:rPr>
              <w:t>2021年07 月</w:t>
            </w:r>
            <w:r>
              <w:rPr>
                <w:rFonts w:hint="eastAsia" w:ascii="宋体" w:hAnsi="宋体" w:cs="宋体"/>
                <w:szCs w:val="21"/>
                <w:highlight w:val="none"/>
                <w:lang w:val="en-US" w:eastAsia="zh-CN"/>
              </w:rPr>
              <w:t>19</w:t>
            </w:r>
            <w:r>
              <w:rPr>
                <w:rFonts w:hint="eastAsia" w:ascii="宋体" w:hAnsi="宋体" w:cs="宋体"/>
                <w:szCs w:val="21"/>
                <w:highlight w:val="none"/>
              </w:rPr>
              <w:t>日至2021年07月</w:t>
            </w:r>
            <w:r>
              <w:rPr>
                <w:rFonts w:hint="eastAsia" w:ascii="宋体" w:hAnsi="宋体" w:cs="宋体"/>
                <w:szCs w:val="21"/>
                <w:highlight w:val="none"/>
                <w:lang w:val="en-US" w:eastAsia="zh-CN"/>
              </w:rPr>
              <w:t>23</w:t>
            </w:r>
            <w:r>
              <w:rPr>
                <w:rFonts w:hint="eastAsia" w:ascii="宋体" w:hAnsi="宋体" w:cs="宋体"/>
                <w:szCs w:val="21"/>
                <w:highlight w:val="none"/>
              </w:rPr>
              <w:t xml:space="preserve">日（暂定）9:00-17:00（节假日除外）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1.9</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踏勘现场</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采购代理机构不组织统一踏勘，各供应商可自行踏勘，相关费用及安全由供应商自行承担，踏勘时不得扰民，如有疑问请以书面的形式提交给采购代理机构。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1.10</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磋商答疑会</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不召开；若有疑问，均应在磋商响应文件递交截止时间3日前以书面形式向采购代理机构提出。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1.11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分包</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2.1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构成竞争性磋商文件的其他材料</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澄清、修改、答疑文件等相关材料。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2.2.1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供应商对竞争性磋商文件的疑问</w:t>
            </w:r>
          </w:p>
        </w:tc>
        <w:tc>
          <w:tcPr>
            <w:tcW w:w="6240" w:type="dxa"/>
            <w:vAlign w:val="center"/>
          </w:tcPr>
          <w:p>
            <w:pPr>
              <w:pStyle w:val="16"/>
              <w:rPr>
                <w:rFonts w:hint="eastAsia" w:ascii="宋体" w:hAnsi="宋体" w:cs="宋体"/>
                <w:szCs w:val="21"/>
              </w:rPr>
            </w:pPr>
            <w:r>
              <w:rPr>
                <w:rFonts w:hint="eastAsia" w:ascii="宋体" w:hAnsi="宋体" w:cs="宋体"/>
                <w:szCs w:val="21"/>
              </w:rPr>
              <w:t>磋商响应文件递交截止时间3日前。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2.2.2</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采购人澄清</w:t>
            </w:r>
          </w:p>
          <w:p>
            <w:pPr>
              <w:spacing w:line="360" w:lineRule="auto"/>
              <w:jc w:val="center"/>
              <w:rPr>
                <w:rFonts w:hint="eastAsia" w:ascii="宋体" w:hAnsi="宋体" w:cs="宋体"/>
                <w:szCs w:val="21"/>
              </w:rPr>
            </w:pPr>
            <w:r>
              <w:rPr>
                <w:rFonts w:hint="eastAsia" w:ascii="宋体" w:hAnsi="宋体" w:cs="宋体"/>
                <w:szCs w:val="21"/>
              </w:rPr>
              <w:t>竞争性磋商文件的截止时间</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磋商响应文件递交截止时间5日前。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3.1.1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构成竞争性磋商响应文件的其他材料</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供应商按照竞争性磋商文件的要求认为有利于磋商的材料。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3.2.4</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采购预算</w:t>
            </w:r>
          </w:p>
        </w:tc>
        <w:tc>
          <w:tcPr>
            <w:tcW w:w="6240" w:type="dxa"/>
            <w:vAlign w:val="center"/>
          </w:tcPr>
          <w:p>
            <w:pPr>
              <w:spacing w:line="360" w:lineRule="auto"/>
              <w:rPr>
                <w:rFonts w:hint="eastAsia" w:ascii="宋体" w:hAnsi="宋体" w:cs="宋体"/>
                <w:color w:val="000000"/>
                <w:szCs w:val="21"/>
              </w:rPr>
            </w:pPr>
            <w:r>
              <w:rPr>
                <w:rFonts w:hint="eastAsia" w:ascii="宋体" w:hAnsi="宋体" w:cs="宋体"/>
                <w:szCs w:val="21"/>
              </w:rPr>
              <w:t>本项目采购预算为530000 元；招标最高限价为530000元，凡磋商总报价高于招标最高限价的将被视为无效磋商处理，不再参与后续评审。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3.3.1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磋商有效期</w:t>
            </w:r>
          </w:p>
        </w:tc>
        <w:tc>
          <w:tcPr>
            <w:tcW w:w="6240" w:type="dxa"/>
            <w:vAlign w:val="center"/>
          </w:tcPr>
          <w:p>
            <w:pPr>
              <w:spacing w:line="360" w:lineRule="auto"/>
              <w:jc w:val="left"/>
              <w:rPr>
                <w:rFonts w:hint="eastAsia" w:ascii="宋体" w:hAnsi="宋体" w:cs="宋体"/>
                <w:szCs w:val="21"/>
              </w:rPr>
            </w:pPr>
            <w:r>
              <w:rPr>
                <w:rFonts w:hint="eastAsia" w:ascii="宋体" w:hAnsi="宋体" w:cs="宋体"/>
                <w:szCs w:val="21"/>
              </w:rPr>
              <w:t>90日历天（从磋商截止之日算起）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3.4.1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磋商保证金</w:t>
            </w:r>
          </w:p>
        </w:tc>
        <w:tc>
          <w:tcPr>
            <w:tcW w:w="6240" w:type="dxa"/>
            <w:vAlign w:val="center"/>
          </w:tcPr>
          <w:p>
            <w:pPr>
              <w:spacing w:line="360" w:lineRule="auto"/>
              <w:rPr>
                <w:rFonts w:hint="eastAsia" w:ascii="宋体" w:hAnsi="宋体" w:cs="宋体"/>
                <w:b/>
                <w:szCs w:val="21"/>
              </w:rPr>
            </w:pPr>
            <w:r>
              <w:rPr>
                <w:rFonts w:hint="eastAsia" w:ascii="宋体" w:hAnsi="宋体" w:cs="宋体"/>
                <w:szCs w:val="21"/>
              </w:rPr>
              <w:t>本次磋商活动供应商无需交纳的磋商保证金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3.5</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是否允许递交</w:t>
            </w:r>
          </w:p>
          <w:p>
            <w:pPr>
              <w:spacing w:line="360" w:lineRule="auto"/>
              <w:jc w:val="center"/>
              <w:rPr>
                <w:rFonts w:hint="eastAsia" w:ascii="宋体" w:hAnsi="宋体" w:cs="宋体"/>
                <w:szCs w:val="21"/>
              </w:rPr>
            </w:pPr>
            <w:r>
              <w:rPr>
                <w:rFonts w:hint="eastAsia" w:ascii="宋体" w:hAnsi="宋体" w:cs="宋体"/>
                <w:szCs w:val="21"/>
              </w:rPr>
              <w:t>备选磋商方案</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3.6.3</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签字和盖章要求</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竞争性磋商响应文件封面、磋商响应函及其它有要求处必须加盖供应商公章并经法定代表人或其委托代理人签字。</w:t>
            </w:r>
            <w:bookmarkStart w:id="18" w:name="_Toc343511347"/>
          </w:p>
          <w:p>
            <w:pPr>
              <w:spacing w:line="360" w:lineRule="auto"/>
              <w:ind w:firstLine="420" w:firstLineChars="200"/>
              <w:rPr>
                <w:rFonts w:hint="eastAsia" w:ascii="宋体" w:hAnsi="宋体" w:cs="宋体"/>
                <w:szCs w:val="21"/>
              </w:rPr>
            </w:pPr>
            <w:r>
              <w:rPr>
                <w:rFonts w:hint="eastAsia" w:ascii="宋体" w:hAnsi="宋体" w:cs="宋体"/>
                <w:szCs w:val="21"/>
              </w:rPr>
              <w:t>竞争性磋商响应文件应无涂改或行间插字和增删。如确需修改，修改处必须由法定代表人或其委托代理人签字。</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3.6.4</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竞争性磋商响应文件份数</w:t>
            </w:r>
          </w:p>
        </w:tc>
        <w:tc>
          <w:tcPr>
            <w:tcW w:w="6240"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正本的份数：壹份；副本的份数：贰份；电子版：贰份（U盘2个），（需在盘面上标注供应商简称）。</w:t>
            </w:r>
          </w:p>
          <w:p>
            <w:pPr>
              <w:spacing w:line="360" w:lineRule="auto"/>
              <w:ind w:firstLine="422" w:firstLineChars="200"/>
              <w:rPr>
                <w:rFonts w:hint="eastAsia" w:ascii="宋体" w:hAnsi="宋体" w:cs="宋体"/>
                <w:b/>
                <w:szCs w:val="21"/>
              </w:rPr>
            </w:pPr>
            <w:r>
              <w:rPr>
                <w:rFonts w:hint="eastAsia" w:ascii="宋体" w:hAnsi="宋体" w:cs="宋体"/>
                <w:b/>
                <w:szCs w:val="21"/>
              </w:rPr>
              <w:t>电子版包括：</w:t>
            </w:r>
          </w:p>
          <w:p>
            <w:pPr>
              <w:numPr>
                <w:ilvl w:val="0"/>
                <w:numId w:val="3"/>
              </w:numPr>
              <w:spacing w:line="360" w:lineRule="auto"/>
              <w:ind w:firstLine="420" w:firstLineChars="200"/>
              <w:rPr>
                <w:rFonts w:hint="eastAsia" w:ascii="宋体" w:hAnsi="宋体" w:cs="宋体"/>
                <w:szCs w:val="21"/>
              </w:rPr>
            </w:pPr>
            <w:r>
              <w:rPr>
                <w:rFonts w:hint="eastAsia" w:ascii="宋体" w:hAnsi="宋体" w:cs="宋体"/>
                <w:szCs w:val="21"/>
              </w:rPr>
              <w:t>word版响应文件；</w:t>
            </w:r>
          </w:p>
          <w:p>
            <w:pPr>
              <w:numPr>
                <w:ilvl w:val="0"/>
                <w:numId w:val="3"/>
              </w:numPr>
              <w:spacing w:line="360" w:lineRule="auto"/>
              <w:ind w:firstLine="420" w:firstLineChars="200"/>
              <w:rPr>
                <w:rFonts w:hint="eastAsia" w:ascii="宋体" w:hAnsi="宋体" w:cs="宋体"/>
                <w:szCs w:val="21"/>
              </w:rPr>
            </w:pPr>
            <w:r>
              <w:rPr>
                <w:rFonts w:hint="eastAsia" w:ascii="宋体" w:hAnsi="宋体" w:cs="宋体"/>
                <w:szCs w:val="21"/>
              </w:rPr>
              <w:t>响应文件正本签字盖章后的PDF格式扫描件，与正本具有同等法律效力。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4.1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封套上写明</w:t>
            </w:r>
          </w:p>
        </w:tc>
        <w:tc>
          <w:tcPr>
            <w:tcW w:w="6240" w:type="dxa"/>
            <w:vAlign w:val="center"/>
          </w:tcPr>
          <w:p>
            <w:pPr>
              <w:numPr>
                <w:ilvl w:val="0"/>
                <w:numId w:val="4"/>
              </w:numPr>
              <w:spacing w:line="360" w:lineRule="auto"/>
              <w:rPr>
                <w:rFonts w:hint="eastAsia" w:ascii="宋体" w:hAnsi="宋体" w:cs="宋体"/>
                <w:szCs w:val="21"/>
              </w:rPr>
            </w:pPr>
            <w:r>
              <w:rPr>
                <w:rFonts w:hint="eastAsia" w:ascii="宋体" w:hAnsi="宋体" w:cs="宋体"/>
                <w:szCs w:val="21"/>
              </w:rPr>
              <w:t>采购人名称：</w:t>
            </w:r>
          </w:p>
          <w:p>
            <w:pPr>
              <w:numPr>
                <w:ilvl w:val="0"/>
                <w:numId w:val="4"/>
              </w:numPr>
              <w:spacing w:line="360" w:lineRule="auto"/>
              <w:rPr>
                <w:rFonts w:hint="eastAsia" w:ascii="宋体" w:hAnsi="宋体" w:cs="宋体"/>
                <w:szCs w:val="21"/>
              </w:rPr>
            </w:pPr>
            <w:r>
              <w:rPr>
                <w:rFonts w:hint="eastAsia" w:ascii="宋体" w:hAnsi="宋体" w:cs="宋体"/>
                <w:szCs w:val="21"/>
              </w:rPr>
              <w:t>供应商名称以及标注“正本”、“副本”、“电子版”字样，密封处应加盖供应商公章。</w:t>
            </w:r>
          </w:p>
          <w:p>
            <w:pPr>
              <w:spacing w:line="360" w:lineRule="auto"/>
              <w:rPr>
                <w:rFonts w:hint="eastAsia" w:ascii="宋体" w:hAnsi="宋体" w:cs="宋体"/>
                <w:szCs w:val="21"/>
              </w:rPr>
            </w:pPr>
            <w:r>
              <w:rPr>
                <w:rFonts w:hint="eastAsia" w:ascii="宋体" w:hAnsi="宋体" w:cs="宋体"/>
                <w:szCs w:val="21"/>
              </w:rPr>
              <w:t>3、</w:t>
            </w:r>
            <w:del w:id="14" w:author="长安大学交通系统工程研究所" w:date="2021-07-21T10:50:46Z">
              <w:r>
                <w:rPr>
                  <w:rFonts w:hint="eastAsia" w:ascii="宋体" w:hAnsi="宋体" w:cs="宋体"/>
                  <w:szCs w:val="21"/>
                </w:rPr>
                <w:delText>（</w:delText>
              </w:r>
            </w:del>
            <w:del w:id="15" w:author="长安大学交通系统工程研究所" w:date="2021-07-21T10:50:46Z">
              <w:r>
                <w:rPr>
                  <w:rFonts w:hint="eastAsia" w:ascii="宋体" w:hAnsi="宋体" w:cs="宋体"/>
                  <w:szCs w:val="21"/>
                  <w:u w:val="single"/>
                </w:rPr>
                <w:delText>项目名称）</w:delText>
              </w:r>
            </w:del>
            <w:del w:id="16" w:author="长安大学交通系统工程研究所" w:date="2021-07-21T10:50:46Z">
              <w:r>
                <w:rPr>
                  <w:rFonts w:hint="eastAsia" w:ascii="宋体" w:hAnsi="宋体" w:cs="宋体"/>
                  <w:szCs w:val="21"/>
                </w:rPr>
                <w:delText>竞争性磋商响应文件</w:delText>
              </w:r>
            </w:del>
            <w:r>
              <w:rPr>
                <w:rFonts w:hint="eastAsia" w:ascii="宋体" w:hAnsi="宋体" w:cs="宋体"/>
                <w:szCs w:val="21"/>
              </w:rPr>
              <w:t>在</w:t>
            </w:r>
            <w:ins w:id="17" w:author="长安大学交通系统工程研究所" w:date="2021-07-21T10:50:49Z">
              <w:r>
                <w:rPr>
                  <w:rFonts w:hint="eastAsia" w:ascii="宋体" w:hAnsi="宋体" w:cs="宋体"/>
                  <w:szCs w:val="21"/>
                  <w:lang w:eastAsia="zh-CN"/>
                </w:rPr>
                <w:t>“</w:t>
              </w:r>
            </w:ins>
            <w:ins w:id="18" w:author="长安大学交通系统工程研究所" w:date="2021-07-21T10:50:58Z">
              <w:r>
                <w:rPr>
                  <w:rFonts w:hint="eastAsia" w:ascii="宋体" w:hAnsi="宋体" w:cs="宋体"/>
                  <w:szCs w:val="21"/>
                  <w:highlight w:val="none"/>
                </w:rPr>
                <w:t>2</w:t>
              </w:r>
            </w:ins>
            <w:ins w:id="19" w:author="长安大学交通系统工程研究所" w:date="2021-07-21T10:50:54Z">
              <w:r>
                <w:rPr>
                  <w:rFonts w:hint="eastAsia" w:ascii="宋体" w:hAnsi="宋体" w:cs="宋体"/>
                  <w:szCs w:val="21"/>
                  <w:highlight w:val="none"/>
                </w:rPr>
                <w:t>021年07月</w:t>
              </w:r>
            </w:ins>
            <w:ins w:id="20" w:author="长安大学交通系统工程研究所" w:date="2021-07-21T10:50:54Z">
              <w:r>
                <w:rPr>
                  <w:rFonts w:hint="eastAsia" w:ascii="宋体" w:hAnsi="宋体" w:cs="宋体"/>
                  <w:szCs w:val="21"/>
                  <w:highlight w:val="none"/>
                  <w:lang w:val="en-US" w:eastAsia="zh-CN"/>
                </w:rPr>
                <w:t>29</w:t>
              </w:r>
            </w:ins>
            <w:ins w:id="21" w:author="长安大学交通系统工程研究所" w:date="2021-07-21T10:50:54Z">
              <w:r>
                <w:rPr>
                  <w:rFonts w:hint="eastAsia" w:ascii="宋体" w:hAnsi="宋体" w:cs="宋体"/>
                  <w:szCs w:val="21"/>
                  <w:highlight w:val="none"/>
                </w:rPr>
                <w:t>日</w:t>
              </w:r>
            </w:ins>
            <w:ins w:id="22" w:author="长安大学交通系统工程研究所" w:date="2021-07-21T10:50:54Z">
              <w:r>
                <w:rPr>
                  <w:rFonts w:hint="eastAsia" w:ascii="宋体" w:hAnsi="宋体" w:cs="宋体"/>
                  <w:szCs w:val="21"/>
                  <w:highlight w:val="none"/>
                  <w:lang w:val="en-US" w:eastAsia="zh-CN"/>
                </w:rPr>
                <w:t>14</w:t>
              </w:r>
            </w:ins>
            <w:ins w:id="23" w:author="长安大学交通系统工程研究所" w:date="2021-07-21T10:50:54Z">
              <w:r>
                <w:rPr>
                  <w:rFonts w:hint="eastAsia" w:ascii="宋体" w:hAnsi="宋体" w:cs="宋体"/>
                  <w:szCs w:val="21"/>
                  <w:highlight w:val="none"/>
                </w:rPr>
                <w:t xml:space="preserve"> 时30分前不得开启</w:t>
              </w:r>
            </w:ins>
            <w:ins w:id="24" w:author="长安大学交通系统工程研究所" w:date="2021-07-21T10:50:49Z">
              <w:r>
                <w:rPr>
                  <w:rFonts w:hint="eastAsia" w:ascii="宋体" w:hAnsi="宋体" w:cs="宋体"/>
                  <w:szCs w:val="21"/>
                  <w:lang w:eastAsia="zh-CN"/>
                </w:rPr>
                <w:t>”</w:t>
              </w:r>
            </w:ins>
            <w:ins w:id="25" w:author="长安大学交通系统工程研究所" w:date="2021-07-21T10:51:17Z">
              <w:r>
                <w:rPr>
                  <w:rFonts w:hint="eastAsia" w:ascii="宋体" w:hAnsi="宋体" w:cs="宋体"/>
                  <w:szCs w:val="21"/>
                  <w:lang w:val="en-US" w:eastAsia="zh-CN"/>
                </w:rPr>
                <w:t>的</w:t>
              </w:r>
            </w:ins>
            <w:ins w:id="26" w:author="长安大学交通系统工程研究所" w:date="2021-07-21T10:51:06Z">
              <w:r>
                <w:rPr>
                  <w:rFonts w:hint="eastAsia" w:ascii="宋体" w:hAnsi="宋体" w:cs="宋体"/>
                  <w:szCs w:val="21"/>
                  <w:lang w:val="en-US" w:eastAsia="zh-CN"/>
                </w:rPr>
                <w:t>字样</w:t>
              </w:r>
            </w:ins>
            <w:del w:id="27" w:author="长安大学交通系统工程研究所" w:date="2021-07-21T10:50:58Z">
              <w:r>
                <w:rPr>
                  <w:rFonts w:hint="eastAsia" w:ascii="宋体" w:hAnsi="宋体" w:cs="宋体"/>
                  <w:szCs w:val="21"/>
                  <w:highlight w:val="none"/>
                </w:rPr>
                <w:delText>2</w:delText>
              </w:r>
            </w:del>
            <w:del w:id="28" w:author="长安大学交通系统工程研究所" w:date="2021-07-21T10:50:54Z">
              <w:r>
                <w:rPr>
                  <w:rFonts w:hint="eastAsia" w:ascii="宋体" w:hAnsi="宋体" w:cs="宋体"/>
                  <w:szCs w:val="21"/>
                  <w:highlight w:val="none"/>
                </w:rPr>
                <w:delText>021年07月</w:delText>
              </w:r>
            </w:del>
            <w:del w:id="29" w:author="长安大学交通系统工程研究所" w:date="2021-07-21T10:50:54Z">
              <w:r>
                <w:rPr>
                  <w:rFonts w:hint="eastAsia" w:ascii="宋体" w:hAnsi="宋体" w:cs="宋体"/>
                  <w:szCs w:val="21"/>
                  <w:highlight w:val="none"/>
                  <w:lang w:val="en-US" w:eastAsia="zh-CN"/>
                </w:rPr>
                <w:delText>29</w:delText>
              </w:r>
            </w:del>
            <w:del w:id="30" w:author="长安大学交通系统工程研究所" w:date="2021-07-21T10:50:54Z">
              <w:r>
                <w:rPr>
                  <w:rFonts w:hint="eastAsia" w:ascii="宋体" w:hAnsi="宋体" w:cs="宋体"/>
                  <w:szCs w:val="21"/>
                  <w:highlight w:val="none"/>
                </w:rPr>
                <w:delText>日</w:delText>
              </w:r>
            </w:del>
            <w:del w:id="31" w:author="长安大学交通系统工程研究所" w:date="2021-07-21T10:50:54Z">
              <w:r>
                <w:rPr>
                  <w:rFonts w:hint="eastAsia" w:ascii="宋体" w:hAnsi="宋体" w:cs="宋体"/>
                  <w:szCs w:val="21"/>
                  <w:highlight w:val="none"/>
                  <w:lang w:val="en-US" w:eastAsia="zh-CN"/>
                </w:rPr>
                <w:delText>14</w:delText>
              </w:r>
            </w:del>
            <w:del w:id="32" w:author="长安大学交通系统工程研究所" w:date="2021-07-21T10:50:54Z">
              <w:r>
                <w:rPr>
                  <w:rFonts w:hint="eastAsia" w:ascii="宋体" w:hAnsi="宋体" w:cs="宋体"/>
                  <w:szCs w:val="21"/>
                  <w:highlight w:val="none"/>
                </w:rPr>
                <w:delText xml:space="preserve"> 时30分前不得开启</w:delText>
              </w:r>
            </w:del>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4.2.2</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递交竞争性磋商响应文件截止时间、地点</w:t>
            </w:r>
          </w:p>
        </w:tc>
        <w:tc>
          <w:tcPr>
            <w:tcW w:w="6240" w:type="dxa"/>
            <w:vAlign w:val="center"/>
          </w:tcPr>
          <w:p>
            <w:pPr>
              <w:spacing w:line="360" w:lineRule="auto"/>
              <w:rPr>
                <w:rFonts w:hint="eastAsia" w:ascii="宋体" w:hAnsi="宋体" w:cs="宋体"/>
                <w:szCs w:val="21"/>
                <w:highlight w:val="none"/>
              </w:rPr>
            </w:pPr>
            <w:r>
              <w:rPr>
                <w:rFonts w:hint="eastAsia" w:ascii="宋体" w:hAnsi="宋体" w:cs="宋体"/>
                <w:szCs w:val="21"/>
              </w:rPr>
              <w:t>时间：2021</w:t>
            </w:r>
            <w:r>
              <w:rPr>
                <w:rFonts w:hint="eastAsia" w:ascii="宋体" w:hAnsi="宋体" w:cs="宋体"/>
                <w:szCs w:val="21"/>
                <w:highlight w:val="none"/>
              </w:rPr>
              <w:t>年07 月</w:t>
            </w:r>
            <w:r>
              <w:rPr>
                <w:rFonts w:hint="eastAsia" w:ascii="宋体" w:hAnsi="宋体" w:cs="宋体"/>
                <w:szCs w:val="21"/>
                <w:highlight w:val="none"/>
                <w:lang w:val="en-US" w:eastAsia="zh-CN"/>
              </w:rPr>
              <w:t>29</w:t>
            </w:r>
            <w:r>
              <w:rPr>
                <w:rFonts w:hint="eastAsia" w:ascii="宋体" w:hAnsi="宋体" w:cs="宋体"/>
                <w:szCs w:val="21"/>
                <w:highlight w:val="none"/>
              </w:rPr>
              <w:t>日</w:t>
            </w:r>
            <w:r>
              <w:rPr>
                <w:rFonts w:hint="eastAsia" w:ascii="宋体" w:hAnsi="宋体" w:cs="宋体"/>
                <w:szCs w:val="21"/>
                <w:highlight w:val="none"/>
                <w:lang w:val="en-US" w:eastAsia="zh-CN"/>
              </w:rPr>
              <w:t xml:space="preserve"> 14</w:t>
            </w:r>
            <w:r>
              <w:rPr>
                <w:rFonts w:hint="eastAsia" w:ascii="宋体" w:hAnsi="宋体" w:cs="宋体"/>
                <w:szCs w:val="21"/>
                <w:highlight w:val="none"/>
              </w:rPr>
              <w:t xml:space="preserve"> 时30分</w:t>
            </w:r>
          </w:p>
          <w:p>
            <w:pPr>
              <w:spacing w:line="360" w:lineRule="auto"/>
              <w:rPr>
                <w:rFonts w:hint="eastAsia" w:ascii="宋体" w:hAnsi="宋体" w:cs="宋体"/>
                <w:szCs w:val="21"/>
              </w:rPr>
            </w:pPr>
            <w:r>
              <w:rPr>
                <w:rFonts w:hint="eastAsia" w:ascii="宋体" w:hAnsi="宋体" w:cs="宋体"/>
                <w:szCs w:val="21"/>
              </w:rPr>
              <w:t>地点：西安市明光路166号凯瑞E座803室（腾德工程咨询有限公司会议室）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4.2.3</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是否退还竞争性磋商响应文件</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5.1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磋商时间和地点</w:t>
            </w:r>
          </w:p>
        </w:tc>
        <w:tc>
          <w:tcPr>
            <w:tcW w:w="6240" w:type="dxa"/>
            <w:vAlign w:val="center"/>
          </w:tcPr>
          <w:p>
            <w:pPr>
              <w:spacing w:line="360" w:lineRule="auto"/>
              <w:rPr>
                <w:rFonts w:hint="eastAsia" w:ascii="宋体" w:hAnsi="宋体" w:cs="宋体"/>
                <w:szCs w:val="21"/>
                <w:highlight w:val="yellow"/>
              </w:rPr>
            </w:pPr>
            <w:r>
              <w:rPr>
                <w:rFonts w:hint="eastAsia" w:ascii="宋体" w:hAnsi="宋体" w:cs="宋体"/>
                <w:szCs w:val="21"/>
              </w:rPr>
              <w:t>时间：</w:t>
            </w:r>
            <w:r>
              <w:rPr>
                <w:rFonts w:hint="eastAsia" w:ascii="宋体" w:hAnsi="宋体" w:cs="宋体"/>
                <w:szCs w:val="21"/>
                <w:highlight w:val="none"/>
              </w:rPr>
              <w:t>2021年07月</w:t>
            </w:r>
            <w:r>
              <w:rPr>
                <w:rFonts w:hint="eastAsia" w:ascii="宋体" w:hAnsi="宋体" w:cs="宋体"/>
                <w:szCs w:val="21"/>
                <w:highlight w:val="none"/>
                <w:lang w:val="en-US" w:eastAsia="zh-CN"/>
              </w:rPr>
              <w:t>29</w:t>
            </w:r>
            <w:r>
              <w:rPr>
                <w:rFonts w:hint="eastAsia" w:ascii="宋体" w:hAnsi="宋体" w:cs="宋体"/>
                <w:szCs w:val="21"/>
                <w:highlight w:val="none"/>
              </w:rPr>
              <w:t>日</w:t>
            </w:r>
            <w:r>
              <w:rPr>
                <w:rFonts w:hint="eastAsia" w:ascii="宋体" w:hAnsi="宋体" w:cs="宋体"/>
                <w:szCs w:val="21"/>
                <w:highlight w:val="none"/>
                <w:lang w:val="en-US" w:eastAsia="zh-CN"/>
              </w:rPr>
              <w:t xml:space="preserve"> 14</w:t>
            </w:r>
            <w:r>
              <w:rPr>
                <w:rFonts w:hint="eastAsia" w:ascii="宋体" w:hAnsi="宋体" w:cs="宋体"/>
                <w:szCs w:val="21"/>
                <w:highlight w:val="none"/>
              </w:rPr>
              <w:t>时30分</w:t>
            </w:r>
          </w:p>
          <w:p>
            <w:pPr>
              <w:spacing w:line="360" w:lineRule="auto"/>
              <w:rPr>
                <w:rFonts w:hint="eastAsia" w:ascii="宋体" w:hAnsi="宋体" w:cs="宋体"/>
                <w:szCs w:val="21"/>
              </w:rPr>
            </w:pPr>
            <w:r>
              <w:rPr>
                <w:rFonts w:hint="eastAsia" w:ascii="宋体" w:hAnsi="宋体" w:cs="宋体"/>
                <w:szCs w:val="21"/>
              </w:rPr>
              <w:t>地点：西安市明光路166号凯瑞E座803室（腾德工程咨询有限公司会议室）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6.1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2"/>
              </w:rPr>
              <w:t>磋商小组的组建</w:t>
            </w:r>
          </w:p>
        </w:tc>
        <w:tc>
          <w:tcPr>
            <w:tcW w:w="6240" w:type="dxa"/>
            <w:vAlign w:val="center"/>
          </w:tcPr>
          <w:p>
            <w:pPr>
              <w:spacing w:line="360" w:lineRule="auto"/>
              <w:rPr>
                <w:rFonts w:hint="eastAsia" w:ascii="宋体" w:hAnsi="宋体" w:cs="宋体"/>
                <w:szCs w:val="21"/>
              </w:rPr>
            </w:pPr>
            <w:r>
              <w:rPr>
                <w:rFonts w:hint="eastAsia" w:ascii="宋体" w:hAnsi="宋体" w:cs="宋体"/>
                <w:szCs w:val="22"/>
              </w:rPr>
              <w:t>磋商小组</w:t>
            </w:r>
            <w:r>
              <w:rPr>
                <w:rFonts w:hint="eastAsia" w:ascii="宋体" w:hAnsi="宋体" w:cs="宋体"/>
                <w:szCs w:val="21"/>
              </w:rPr>
              <w:t xml:space="preserve">构成：3人，其中：采购人代表1人；专家2人。 </w:t>
            </w:r>
          </w:p>
          <w:p>
            <w:pPr>
              <w:spacing w:line="360" w:lineRule="auto"/>
              <w:rPr>
                <w:rFonts w:hint="eastAsia" w:ascii="宋体" w:hAnsi="宋体" w:cs="宋体"/>
                <w:szCs w:val="21"/>
              </w:rPr>
            </w:pPr>
            <w:r>
              <w:rPr>
                <w:rFonts w:hint="eastAsia" w:ascii="宋体" w:hAnsi="宋体" w:cs="宋体"/>
                <w:szCs w:val="21"/>
              </w:rPr>
              <w:t>专家确定方式：开标前在陕西省政府采购评审专家库中随机抽取。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7.1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是否授权磋商小组</w:t>
            </w:r>
          </w:p>
          <w:p>
            <w:pPr>
              <w:spacing w:line="360" w:lineRule="auto"/>
              <w:jc w:val="center"/>
              <w:rPr>
                <w:rFonts w:hint="eastAsia" w:ascii="宋体" w:hAnsi="宋体" w:cs="宋体"/>
                <w:szCs w:val="21"/>
              </w:rPr>
            </w:pPr>
            <w:r>
              <w:rPr>
                <w:rFonts w:hint="eastAsia" w:ascii="宋体" w:hAnsi="宋体" w:cs="宋体"/>
                <w:szCs w:val="21"/>
              </w:rPr>
              <w:t>确定成交人</w:t>
            </w:r>
          </w:p>
        </w:tc>
        <w:tc>
          <w:tcPr>
            <w:tcW w:w="6240" w:type="dxa"/>
            <w:vAlign w:val="center"/>
          </w:tcPr>
          <w:p>
            <w:pPr>
              <w:spacing w:line="360" w:lineRule="auto"/>
              <w:rPr>
                <w:rFonts w:hint="eastAsia" w:ascii="宋体" w:hAnsi="宋体" w:cs="宋体"/>
                <w:szCs w:val="21"/>
              </w:rPr>
            </w:pPr>
            <w:r>
              <w:rPr>
                <w:rFonts w:hint="eastAsia" w:ascii="宋体" w:hAnsi="宋体" w:cs="宋体"/>
                <w:szCs w:val="21"/>
              </w:rPr>
              <w:t>否,</w:t>
            </w:r>
            <w:bookmarkStart w:id="19" w:name="OLE_LINK6"/>
            <w:r>
              <w:rPr>
                <w:rFonts w:hint="eastAsia" w:ascii="宋体" w:hAnsi="宋体" w:cs="宋体"/>
                <w:szCs w:val="21"/>
              </w:rPr>
              <w:t>推荐3名成交候选人</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3" w:type="dxa"/>
            <w:vAlign w:val="center"/>
          </w:tcPr>
          <w:p>
            <w:pPr>
              <w:spacing w:line="360" w:lineRule="auto"/>
              <w:jc w:val="center"/>
              <w:rPr>
                <w:rFonts w:hint="eastAsia" w:ascii="宋体" w:hAnsi="宋体" w:cs="宋体"/>
                <w:szCs w:val="21"/>
              </w:rPr>
            </w:pPr>
            <w:r>
              <w:rPr>
                <w:rFonts w:hint="eastAsia" w:ascii="宋体" w:hAnsi="宋体" w:cs="宋体"/>
                <w:szCs w:val="21"/>
              </w:rPr>
              <w:t>7.3.1</w:t>
            </w:r>
          </w:p>
        </w:tc>
        <w:tc>
          <w:tcPr>
            <w:tcW w:w="2493" w:type="dxa"/>
            <w:vAlign w:val="center"/>
          </w:tcPr>
          <w:p>
            <w:pPr>
              <w:spacing w:line="360" w:lineRule="auto"/>
              <w:jc w:val="center"/>
              <w:rPr>
                <w:rFonts w:hint="eastAsia" w:ascii="宋体" w:hAnsi="宋体" w:cs="宋体"/>
                <w:szCs w:val="21"/>
              </w:rPr>
            </w:pPr>
            <w:r>
              <w:rPr>
                <w:rFonts w:hint="eastAsia" w:ascii="宋体" w:hAnsi="宋体" w:cs="宋体"/>
                <w:szCs w:val="21"/>
              </w:rPr>
              <w:t>履约担保</w:t>
            </w:r>
          </w:p>
        </w:tc>
        <w:tc>
          <w:tcPr>
            <w:tcW w:w="6240" w:type="dxa"/>
            <w:vAlign w:val="center"/>
          </w:tcPr>
          <w:p>
            <w:pPr>
              <w:spacing w:line="360" w:lineRule="auto"/>
              <w:rPr>
                <w:rFonts w:hint="eastAsia" w:ascii="宋体" w:hAnsi="宋体" w:cs="宋体"/>
                <w:color w:val="FF0000"/>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06" w:type="dxa"/>
            <w:gridSpan w:val="3"/>
            <w:vAlign w:val="center"/>
          </w:tcPr>
          <w:p>
            <w:pPr>
              <w:spacing w:line="360" w:lineRule="auto"/>
              <w:rPr>
                <w:rFonts w:hint="eastAsia" w:ascii="宋体" w:hAnsi="宋体" w:cs="宋体"/>
                <w:szCs w:val="21"/>
              </w:rPr>
            </w:pPr>
            <w:r>
              <w:rPr>
                <w:rFonts w:hint="eastAsia" w:ascii="宋体" w:hAnsi="宋体" w:cs="宋体"/>
                <w:szCs w:val="21"/>
              </w:rPr>
              <w:t>11.需要补充的其他内容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06" w:type="dxa"/>
            <w:gridSpan w:val="3"/>
            <w:vAlign w:val="center"/>
          </w:tcPr>
          <w:p>
            <w:pPr>
              <w:spacing w:line="360" w:lineRule="auto"/>
              <w:rPr>
                <w:rFonts w:hint="eastAsia" w:ascii="宋体" w:hAnsi="宋体" w:cs="宋体"/>
                <w:b/>
                <w:bCs/>
                <w:szCs w:val="21"/>
              </w:rPr>
            </w:pPr>
            <w:r>
              <w:rPr>
                <w:rFonts w:hint="eastAsia" w:ascii="宋体" w:hAnsi="宋体" w:cs="宋体"/>
                <w:b/>
                <w:bCs/>
                <w:szCs w:val="21"/>
              </w:rPr>
              <w:t>11.1供应商磋商现场须携带原件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706" w:type="dxa"/>
            <w:gridSpan w:val="3"/>
            <w:vAlign w:val="center"/>
          </w:tcPr>
          <w:p>
            <w:pPr>
              <w:rPr>
                <w:rFonts w:hint="eastAsia" w:ascii="宋体" w:hAnsi="宋体" w:cs="宋体"/>
                <w:b/>
                <w:bCs/>
              </w:rPr>
            </w:pPr>
            <w:r>
              <w:rPr>
                <w:rFonts w:hint="eastAsia" w:ascii="宋体" w:hAnsi="宋体" w:cs="宋体"/>
                <w:b/>
                <w:bCs/>
              </w:rPr>
              <w:t>现场手持（无需密封）：合法有效的法人授权委托书原件（含法定代表人及被授权人身份证复印件）、被授权人身份证原件（法人参与磋商的需携带法人身份证原件及加盖公章的复印件一份）</w:t>
            </w:r>
          </w:p>
          <w:p>
            <w:pPr>
              <w:pStyle w:val="89"/>
              <w:ind w:firstLine="0" w:firstLineChars="0"/>
              <w:rPr>
                <w:rFonts w:hint="eastAsia" w:ascii="宋体" w:hAnsi="宋体" w:cs="宋体"/>
                <w:b/>
                <w:bCs/>
              </w:rPr>
            </w:pPr>
            <w:r>
              <w:rPr>
                <w:rFonts w:hint="eastAsia" w:ascii="宋体" w:hAnsi="宋体" w:cs="宋体"/>
                <w:b/>
                <w:bCs/>
                <w:color w:val="000000"/>
                <w:shd w:val="clear" w:color="auto" w:fill="FFFFFF"/>
              </w:rPr>
              <w:t>备注：以上证书证件由监标人在竞争性磋商会议现场审核，未按要求提供者，将按无效磋商处理。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06" w:type="dxa"/>
            <w:gridSpan w:val="3"/>
            <w:vAlign w:val="center"/>
          </w:tcPr>
          <w:p>
            <w:pPr>
              <w:spacing w:line="360" w:lineRule="auto"/>
              <w:rPr>
                <w:rFonts w:hint="eastAsia" w:ascii="宋体" w:hAnsi="宋体" w:cs="宋体"/>
                <w:szCs w:val="21"/>
              </w:rPr>
            </w:pPr>
            <w:r>
              <w:rPr>
                <w:rFonts w:hint="eastAsia" w:ascii="宋体" w:hAnsi="宋体" w:cs="宋体"/>
                <w:color w:val="000000"/>
                <w:kern w:val="0"/>
                <w:szCs w:val="21"/>
              </w:rPr>
              <w:t>11.2招标代理服务费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06" w:type="dxa"/>
            <w:gridSpan w:val="3"/>
            <w:vAlign w:val="center"/>
          </w:tcPr>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成交供应商在领取成交通知书时须向采购代理机构支付采购代理服务费；按计价格[2002]1980号文件（工程类）收费标准以成交金额为基数计取，可用现金、支票、汇票等付款方式一次向采购代理机构交纳。</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招标代理服务费银行及账号：</w:t>
            </w:r>
          </w:p>
          <w:p>
            <w:pPr>
              <w:spacing w:line="360" w:lineRule="auto"/>
              <w:ind w:firstLine="420" w:firstLineChars="200"/>
              <w:rPr>
                <w:rFonts w:hint="eastAsia" w:ascii="宋体" w:hAnsi="宋体" w:cs="宋体"/>
              </w:rPr>
            </w:pPr>
            <w:r>
              <w:rPr>
                <w:rFonts w:hint="eastAsia" w:ascii="宋体" w:hAnsi="宋体" w:cs="宋体"/>
              </w:rPr>
              <w:t>开户名称：腾德工程咨询有限公司</w:t>
            </w:r>
          </w:p>
          <w:p>
            <w:pPr>
              <w:spacing w:line="360" w:lineRule="auto"/>
              <w:ind w:firstLine="420" w:firstLineChars="200"/>
              <w:rPr>
                <w:rFonts w:hint="eastAsia" w:ascii="宋体" w:hAnsi="宋体" w:cs="宋体"/>
              </w:rPr>
            </w:pPr>
            <w:r>
              <w:rPr>
                <w:rFonts w:hint="eastAsia" w:ascii="宋体" w:hAnsi="宋体" w:cs="宋体"/>
              </w:rPr>
              <w:t>开 户 行：中国光大银行股份有限公司西安凤城九路支行</w:t>
            </w:r>
          </w:p>
          <w:p>
            <w:pPr>
              <w:spacing w:line="360" w:lineRule="auto"/>
              <w:ind w:firstLine="420" w:firstLineChars="200"/>
              <w:rPr>
                <w:rFonts w:hint="eastAsia" w:ascii="宋体" w:hAnsi="宋体" w:cs="宋体"/>
              </w:rPr>
            </w:pPr>
            <w:r>
              <w:rPr>
                <w:rFonts w:hint="eastAsia" w:ascii="宋体" w:hAnsi="宋体" w:cs="宋体"/>
              </w:rPr>
              <w:t>账    号：79260188000034793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6" w:type="dxa"/>
            <w:gridSpan w:val="3"/>
            <w:vAlign w:val="center"/>
          </w:tcPr>
          <w:p>
            <w:pPr>
              <w:spacing w:line="360" w:lineRule="auto"/>
              <w:rPr>
                <w:rFonts w:hint="eastAsia" w:ascii="宋体" w:hAnsi="宋体" w:cs="宋体"/>
                <w:szCs w:val="21"/>
              </w:rPr>
            </w:pPr>
            <w:r>
              <w:rPr>
                <w:rFonts w:hint="eastAsia" w:ascii="宋体" w:hAnsi="宋体" w:cs="宋体"/>
                <w:szCs w:val="21"/>
              </w:rPr>
              <w:t>11.3知识产权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9706" w:type="dxa"/>
            <w:gridSpan w:val="3"/>
            <w:vAlign w:val="center"/>
          </w:tcPr>
          <w:p>
            <w:pPr>
              <w:spacing w:line="360" w:lineRule="auto"/>
              <w:ind w:left="110" w:leftChars="52" w:hanging="1"/>
              <w:rPr>
                <w:rFonts w:hint="eastAsia" w:ascii="宋体" w:hAnsi="宋体" w:cs="宋体"/>
                <w:szCs w:val="21"/>
              </w:rPr>
            </w:pPr>
            <w:r>
              <w:rPr>
                <w:rFonts w:hint="eastAsia" w:ascii="宋体" w:hAnsi="宋体" w:cs="宋体"/>
                <w:szCs w:val="21"/>
              </w:rPr>
              <w:t>构成本竞争性磋商文件各个组成部分的文件，未经采购人书面同意，供应商不得擅自复印和用于非本招标项目所需的其他目的。采购人全部或者部分使用未成交人竞争性磋商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06" w:type="dxa"/>
            <w:gridSpan w:val="3"/>
            <w:vAlign w:val="center"/>
          </w:tcPr>
          <w:p>
            <w:pPr>
              <w:spacing w:line="360" w:lineRule="auto"/>
              <w:rPr>
                <w:rFonts w:hint="eastAsia" w:ascii="宋体" w:hAnsi="宋体" w:cs="宋体"/>
                <w:szCs w:val="21"/>
              </w:rPr>
            </w:pPr>
            <w:r>
              <w:rPr>
                <w:rFonts w:hint="eastAsia" w:ascii="宋体" w:hAnsi="宋体" w:cs="宋体"/>
                <w:szCs w:val="21"/>
              </w:rPr>
              <w:t xml:space="preserve"> 11.4同义词语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9706" w:type="dxa"/>
            <w:gridSpan w:val="3"/>
            <w:vAlign w:val="center"/>
          </w:tcPr>
          <w:p>
            <w:pPr>
              <w:spacing w:line="360" w:lineRule="auto"/>
              <w:ind w:left="110" w:leftChars="52" w:hanging="1"/>
              <w:rPr>
                <w:rFonts w:hint="eastAsia" w:ascii="宋体" w:hAnsi="宋体" w:cs="宋体"/>
                <w:szCs w:val="21"/>
              </w:rPr>
            </w:pPr>
            <w:r>
              <w:rPr>
                <w:rFonts w:hint="eastAsia" w:ascii="宋体" w:hAnsi="宋体" w:cs="宋体"/>
                <w:szCs w:val="21"/>
              </w:rPr>
              <w:t>构成竞争性磋商文件组成部分的“通用合同条款”、“专用合同条款”、“技术标准和要求”和“工程量清单”等章节中出现的措辞“发包人”和“承包人”，在磋商阶段应当分别按“采购人”和“供应商”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706" w:type="dxa"/>
            <w:gridSpan w:val="3"/>
            <w:vAlign w:val="center"/>
          </w:tcPr>
          <w:p>
            <w:pPr>
              <w:spacing w:line="360" w:lineRule="auto"/>
              <w:rPr>
                <w:rFonts w:hint="eastAsia" w:ascii="宋体" w:hAnsi="宋体" w:cs="宋体"/>
                <w:szCs w:val="21"/>
              </w:rPr>
            </w:pPr>
            <w:r>
              <w:rPr>
                <w:rFonts w:hint="eastAsia" w:ascii="宋体" w:hAnsi="宋体" w:cs="宋体"/>
                <w:szCs w:val="21"/>
              </w:rPr>
              <w:t>11.5解释权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9706" w:type="dxa"/>
            <w:gridSpan w:val="3"/>
            <w:vAlign w:val="center"/>
          </w:tcPr>
          <w:p>
            <w:pPr>
              <w:spacing w:line="360" w:lineRule="auto"/>
              <w:ind w:left="59" w:leftChars="-2" w:hanging="63" w:hangingChars="30"/>
              <w:rPr>
                <w:rFonts w:hint="eastAsia" w:ascii="宋体" w:hAnsi="宋体" w:cs="宋体"/>
                <w:szCs w:val="21"/>
              </w:rPr>
            </w:pPr>
            <w:r>
              <w:rPr>
                <w:rFonts w:hint="eastAsia" w:ascii="宋体" w:hAnsi="宋体" w:cs="宋体"/>
                <w:szCs w:val="21"/>
              </w:rPr>
              <w:t>本竞争性磋商文件由采购人和采购代理机构负责解释。</w:t>
            </w:r>
          </w:p>
        </w:tc>
      </w:tr>
    </w:tbl>
    <w:p>
      <w:pPr>
        <w:spacing w:line="360" w:lineRule="auto"/>
        <w:jc w:val="left"/>
        <w:rPr>
          <w:rFonts w:hint="eastAsia" w:ascii="宋体" w:hAnsi="宋体" w:cs="宋体"/>
        </w:rPr>
        <w:sectPr>
          <w:headerReference r:id="rId11" w:type="default"/>
          <w:footerReference r:id="rId12" w:type="default"/>
          <w:pgSz w:w="11906" w:h="16838"/>
          <w:pgMar w:top="1418" w:right="1418" w:bottom="1418" w:left="1418" w:header="680" w:footer="680" w:gutter="0"/>
          <w:pgNumType w:start="1"/>
          <w:cols w:space="720" w:num="1"/>
          <w:docGrid w:type="lines" w:linePitch="312" w:charSpace="0"/>
        </w:sectPr>
      </w:pPr>
    </w:p>
    <w:p>
      <w:pPr>
        <w:spacing w:beforeLines="50" w:afterLines="50"/>
        <w:jc w:val="center"/>
        <w:rPr>
          <w:rFonts w:hint="eastAsia" w:ascii="宋体" w:hAnsi="宋体" w:cs="宋体"/>
          <w:b/>
          <w:kern w:val="0"/>
          <w:sz w:val="32"/>
          <w:szCs w:val="32"/>
        </w:rPr>
      </w:pPr>
      <w:bookmarkStart w:id="20" w:name="_Toc421778365"/>
      <w:bookmarkStart w:id="21" w:name="_Toc420591643"/>
      <w:bookmarkStart w:id="22" w:name="_Toc425240464"/>
      <w:r>
        <w:rPr>
          <w:rFonts w:hint="eastAsia" w:ascii="宋体" w:hAnsi="宋体" w:cs="宋体"/>
          <w:b/>
          <w:sz w:val="32"/>
          <w:szCs w:val="32"/>
        </w:rPr>
        <w:t>1</w:t>
      </w:r>
      <w:r>
        <w:rPr>
          <w:rFonts w:hint="eastAsia" w:ascii="宋体" w:hAnsi="宋体" w:cs="宋体"/>
          <w:b/>
          <w:kern w:val="0"/>
          <w:sz w:val="32"/>
          <w:szCs w:val="32"/>
        </w:rPr>
        <w:t>．总则</w:t>
      </w:r>
      <w:bookmarkEnd w:id="20"/>
      <w:bookmarkEnd w:id="21"/>
      <w:bookmarkEnd w:id="22"/>
    </w:p>
    <w:p>
      <w:pPr>
        <w:spacing w:line="360" w:lineRule="auto"/>
        <w:ind w:firstLine="482" w:firstLineChars="200"/>
        <w:rPr>
          <w:rFonts w:hint="eastAsia" w:ascii="宋体" w:hAnsi="宋体" w:cs="宋体"/>
          <w:b/>
          <w:bCs/>
          <w:sz w:val="24"/>
        </w:rPr>
      </w:pPr>
      <w:r>
        <w:rPr>
          <w:rFonts w:hint="eastAsia" w:ascii="宋体" w:hAnsi="宋体" w:cs="宋体"/>
          <w:b/>
          <w:bCs/>
          <w:sz w:val="24"/>
        </w:rPr>
        <w:t>1.1 项目概况</w:t>
      </w:r>
    </w:p>
    <w:p>
      <w:pPr>
        <w:spacing w:line="360" w:lineRule="auto"/>
        <w:ind w:firstLine="480" w:firstLineChars="200"/>
        <w:rPr>
          <w:rFonts w:hint="eastAsia" w:ascii="宋体" w:hAnsi="宋体" w:cs="宋体"/>
          <w:sz w:val="24"/>
        </w:rPr>
      </w:pPr>
      <w:r>
        <w:rPr>
          <w:rFonts w:hint="eastAsia" w:ascii="宋体" w:hAnsi="宋体" w:cs="宋体"/>
          <w:sz w:val="24"/>
        </w:rPr>
        <w:t>1.1.1 根据《中华人民共和国政府采购法》及实施条例和关于印发《政府采购竞争性磋商采购方式管理暂行办法》的通知（财库【2014】214号）的规定，本项目已具备磋商条件，现对本项目施工进行竞争性磋商。</w:t>
      </w:r>
    </w:p>
    <w:p>
      <w:pPr>
        <w:spacing w:line="360" w:lineRule="auto"/>
        <w:ind w:firstLine="480" w:firstLineChars="200"/>
        <w:rPr>
          <w:rFonts w:hint="eastAsia" w:ascii="宋体" w:hAnsi="宋体" w:cs="宋体"/>
          <w:sz w:val="24"/>
        </w:rPr>
      </w:pPr>
      <w:r>
        <w:rPr>
          <w:rFonts w:hint="eastAsia" w:ascii="宋体" w:hAnsi="宋体" w:cs="宋体"/>
          <w:sz w:val="24"/>
        </w:rPr>
        <w:t>1.1.2 本磋商采购项目采购人：见响应供应商须知前附表。</w:t>
      </w:r>
    </w:p>
    <w:p>
      <w:pPr>
        <w:spacing w:line="360" w:lineRule="auto"/>
        <w:ind w:firstLine="480" w:firstLineChars="200"/>
        <w:rPr>
          <w:rFonts w:hint="eastAsia" w:ascii="宋体" w:hAnsi="宋体" w:cs="宋体"/>
          <w:sz w:val="24"/>
        </w:rPr>
      </w:pPr>
      <w:r>
        <w:rPr>
          <w:rFonts w:hint="eastAsia" w:ascii="宋体" w:hAnsi="宋体" w:cs="宋体"/>
          <w:sz w:val="24"/>
        </w:rPr>
        <w:t>1.1.3本标段采购代理机构：见响应供应商须知前附表。</w:t>
      </w:r>
    </w:p>
    <w:p>
      <w:pPr>
        <w:spacing w:line="360" w:lineRule="auto"/>
        <w:ind w:firstLine="480" w:firstLineChars="200"/>
        <w:rPr>
          <w:rFonts w:hint="eastAsia" w:ascii="宋体" w:hAnsi="宋体" w:cs="宋体"/>
          <w:sz w:val="24"/>
        </w:rPr>
      </w:pPr>
      <w:r>
        <w:rPr>
          <w:rFonts w:hint="eastAsia" w:ascii="宋体" w:hAnsi="宋体" w:cs="宋体"/>
          <w:sz w:val="24"/>
        </w:rPr>
        <w:t>1.1.4 本项目项目名称：见响应供应商须知前附表。</w:t>
      </w:r>
    </w:p>
    <w:p>
      <w:pPr>
        <w:spacing w:line="360" w:lineRule="auto"/>
        <w:ind w:firstLine="480" w:firstLineChars="200"/>
        <w:rPr>
          <w:rFonts w:hint="eastAsia" w:ascii="宋体" w:hAnsi="宋体" w:cs="宋体"/>
          <w:sz w:val="24"/>
        </w:rPr>
      </w:pPr>
      <w:r>
        <w:rPr>
          <w:rFonts w:hint="eastAsia" w:ascii="宋体" w:hAnsi="宋体" w:cs="宋体"/>
          <w:sz w:val="24"/>
        </w:rPr>
        <w:t>1.1.5本项目采购地点：见供应商须知前附表。</w:t>
      </w:r>
    </w:p>
    <w:p>
      <w:pPr>
        <w:spacing w:line="360" w:lineRule="auto"/>
        <w:ind w:firstLine="482" w:firstLineChars="200"/>
        <w:rPr>
          <w:rFonts w:hint="eastAsia" w:ascii="宋体" w:hAnsi="宋体" w:cs="宋体"/>
          <w:b/>
          <w:bCs/>
          <w:sz w:val="24"/>
        </w:rPr>
      </w:pPr>
      <w:r>
        <w:rPr>
          <w:rFonts w:hint="eastAsia" w:ascii="宋体" w:hAnsi="宋体" w:cs="宋体"/>
          <w:b/>
          <w:bCs/>
          <w:sz w:val="24"/>
        </w:rPr>
        <w:t>1.2 资金来源和落实情况</w:t>
      </w:r>
    </w:p>
    <w:p>
      <w:pPr>
        <w:spacing w:line="360" w:lineRule="auto"/>
        <w:ind w:firstLine="480" w:firstLineChars="200"/>
        <w:rPr>
          <w:rFonts w:hint="eastAsia" w:ascii="宋体" w:hAnsi="宋体" w:cs="宋体"/>
          <w:sz w:val="24"/>
        </w:rPr>
      </w:pPr>
      <w:r>
        <w:rPr>
          <w:rFonts w:hint="eastAsia" w:ascii="宋体" w:hAnsi="宋体" w:cs="宋体"/>
          <w:sz w:val="24"/>
        </w:rPr>
        <w:t>1.2.1 本项目的资金来源：见供应商须知前附表。</w:t>
      </w:r>
    </w:p>
    <w:p>
      <w:pPr>
        <w:spacing w:line="360" w:lineRule="auto"/>
        <w:ind w:firstLine="480" w:firstLineChars="200"/>
        <w:rPr>
          <w:rFonts w:hint="eastAsia" w:ascii="宋体" w:hAnsi="宋体" w:cs="宋体"/>
          <w:sz w:val="24"/>
        </w:rPr>
      </w:pPr>
      <w:r>
        <w:rPr>
          <w:rFonts w:hint="eastAsia" w:ascii="宋体" w:hAnsi="宋体" w:cs="宋体"/>
          <w:sz w:val="24"/>
        </w:rPr>
        <w:t>1.2.2 本项目的资金落实情况：见供应商须知前附表。</w:t>
      </w:r>
    </w:p>
    <w:p>
      <w:pPr>
        <w:spacing w:line="360" w:lineRule="auto"/>
        <w:ind w:firstLine="482" w:firstLineChars="200"/>
        <w:rPr>
          <w:rFonts w:hint="eastAsia" w:ascii="宋体" w:hAnsi="宋体" w:cs="宋体"/>
          <w:b/>
          <w:bCs/>
          <w:sz w:val="24"/>
        </w:rPr>
      </w:pPr>
      <w:r>
        <w:rPr>
          <w:rFonts w:hint="eastAsia" w:ascii="宋体" w:hAnsi="宋体" w:cs="宋体"/>
          <w:b/>
          <w:bCs/>
          <w:sz w:val="24"/>
        </w:rPr>
        <w:t>1.3 招标范围、计划工期和质量要求</w:t>
      </w:r>
    </w:p>
    <w:p>
      <w:pPr>
        <w:spacing w:line="360" w:lineRule="auto"/>
        <w:ind w:firstLine="480" w:firstLineChars="200"/>
        <w:rPr>
          <w:rFonts w:hint="eastAsia" w:ascii="宋体" w:hAnsi="宋体" w:cs="宋体"/>
          <w:sz w:val="24"/>
        </w:rPr>
      </w:pPr>
      <w:r>
        <w:rPr>
          <w:rFonts w:hint="eastAsia" w:ascii="宋体" w:hAnsi="宋体" w:cs="宋体"/>
          <w:sz w:val="24"/>
        </w:rPr>
        <w:t>1.3.1 本次磋商范围：见供应商须知前附表。</w:t>
      </w:r>
    </w:p>
    <w:p>
      <w:pPr>
        <w:spacing w:line="360" w:lineRule="auto"/>
        <w:ind w:firstLine="480" w:firstLineChars="200"/>
        <w:rPr>
          <w:rFonts w:hint="eastAsia" w:ascii="宋体" w:hAnsi="宋体" w:cs="宋体"/>
          <w:sz w:val="24"/>
        </w:rPr>
      </w:pPr>
      <w:r>
        <w:rPr>
          <w:rFonts w:hint="eastAsia" w:ascii="宋体" w:hAnsi="宋体" w:cs="宋体"/>
          <w:sz w:val="24"/>
        </w:rPr>
        <w:t>1.3.2 本项目的服务期：</w:t>
      </w:r>
      <w:bookmarkStart w:id="23" w:name="OLE_LINK8"/>
      <w:r>
        <w:rPr>
          <w:rFonts w:hint="eastAsia" w:ascii="宋体" w:hAnsi="宋体" w:cs="宋体"/>
          <w:sz w:val="24"/>
        </w:rPr>
        <w:t>见供应商须知前附表。</w:t>
      </w:r>
      <w:bookmarkEnd w:id="23"/>
    </w:p>
    <w:p>
      <w:pPr>
        <w:spacing w:line="360" w:lineRule="auto"/>
        <w:ind w:firstLine="482" w:firstLineChars="200"/>
        <w:rPr>
          <w:rFonts w:hint="eastAsia" w:ascii="宋体" w:hAnsi="宋体" w:cs="宋体"/>
          <w:b/>
          <w:bCs/>
          <w:sz w:val="24"/>
        </w:rPr>
      </w:pPr>
      <w:r>
        <w:rPr>
          <w:rFonts w:hint="eastAsia" w:ascii="宋体" w:hAnsi="宋体" w:cs="宋体"/>
          <w:b/>
          <w:bCs/>
          <w:sz w:val="24"/>
        </w:rPr>
        <w:t>1.4 供应商资格要求及竞争性磋商文件发售时间</w:t>
      </w:r>
    </w:p>
    <w:p>
      <w:pPr>
        <w:spacing w:line="360" w:lineRule="auto"/>
        <w:ind w:firstLine="480" w:firstLineChars="200"/>
        <w:rPr>
          <w:rFonts w:hint="eastAsia" w:ascii="宋体" w:hAnsi="宋体" w:cs="宋体"/>
          <w:sz w:val="24"/>
        </w:rPr>
      </w:pPr>
      <w:r>
        <w:rPr>
          <w:rFonts w:hint="eastAsia" w:ascii="宋体" w:hAnsi="宋体" w:cs="宋体"/>
          <w:sz w:val="24"/>
        </w:rPr>
        <w:t>1.4.1资格审查条件：见供应商须知前附表。</w:t>
      </w:r>
    </w:p>
    <w:p>
      <w:pPr>
        <w:spacing w:line="360" w:lineRule="auto"/>
        <w:ind w:firstLine="480" w:firstLineChars="200"/>
        <w:rPr>
          <w:rFonts w:hint="eastAsia" w:ascii="宋体" w:hAnsi="宋体" w:cs="宋体"/>
          <w:sz w:val="24"/>
        </w:rPr>
      </w:pPr>
      <w:r>
        <w:rPr>
          <w:rFonts w:hint="eastAsia" w:ascii="宋体" w:hAnsi="宋体" w:cs="宋体"/>
          <w:sz w:val="24"/>
        </w:rPr>
        <w:t>1.4.2竞争性磋商文件发售时间：见供应商须知前附表。</w:t>
      </w:r>
    </w:p>
    <w:p>
      <w:pPr>
        <w:spacing w:line="360" w:lineRule="auto"/>
        <w:ind w:firstLine="482" w:firstLineChars="200"/>
        <w:rPr>
          <w:rFonts w:hint="eastAsia" w:ascii="宋体" w:hAnsi="宋体" w:cs="宋体"/>
          <w:b/>
          <w:bCs/>
          <w:sz w:val="24"/>
        </w:rPr>
      </w:pPr>
      <w:r>
        <w:rPr>
          <w:rFonts w:hint="eastAsia" w:ascii="宋体" w:hAnsi="宋体" w:cs="宋体"/>
          <w:b/>
          <w:bCs/>
          <w:sz w:val="24"/>
        </w:rPr>
        <w:t>1.5 费用承担</w:t>
      </w:r>
    </w:p>
    <w:p>
      <w:pPr>
        <w:spacing w:line="360" w:lineRule="auto"/>
        <w:ind w:firstLine="480" w:firstLineChars="200"/>
        <w:rPr>
          <w:rFonts w:hint="eastAsia" w:ascii="宋体" w:hAnsi="宋体" w:cs="宋体"/>
          <w:sz w:val="24"/>
        </w:rPr>
      </w:pPr>
      <w:r>
        <w:rPr>
          <w:rFonts w:hint="eastAsia" w:ascii="宋体" w:hAnsi="宋体" w:cs="宋体"/>
          <w:sz w:val="24"/>
        </w:rPr>
        <w:t>供应商准备和参加磋商活动所发生的一切费用自理。</w:t>
      </w:r>
    </w:p>
    <w:p>
      <w:pPr>
        <w:spacing w:line="360" w:lineRule="auto"/>
        <w:ind w:firstLine="482" w:firstLineChars="200"/>
        <w:rPr>
          <w:rFonts w:hint="eastAsia" w:ascii="宋体" w:hAnsi="宋体" w:cs="宋体"/>
          <w:b/>
          <w:bCs/>
          <w:sz w:val="24"/>
        </w:rPr>
      </w:pPr>
      <w:r>
        <w:rPr>
          <w:rFonts w:hint="eastAsia" w:ascii="宋体" w:hAnsi="宋体" w:cs="宋体"/>
          <w:b/>
          <w:bCs/>
          <w:sz w:val="24"/>
        </w:rPr>
        <w:t>1.6 保密</w:t>
      </w:r>
    </w:p>
    <w:p>
      <w:pPr>
        <w:spacing w:line="360" w:lineRule="auto"/>
        <w:ind w:firstLine="480" w:firstLineChars="200"/>
        <w:rPr>
          <w:rFonts w:hint="eastAsia" w:ascii="宋体" w:hAnsi="宋体" w:cs="宋体"/>
          <w:sz w:val="24"/>
        </w:rPr>
      </w:pPr>
      <w:r>
        <w:rPr>
          <w:rFonts w:hint="eastAsia" w:ascii="宋体" w:hAnsi="宋体" w:cs="宋体"/>
          <w:sz w:val="24"/>
        </w:rPr>
        <w:t>参与磋商活动的各方应对竞争性磋商文件和竞争性磋商响应文件中的商业和技术等秘密保密，违者应对由此造成的后果承担法律责任。</w:t>
      </w:r>
    </w:p>
    <w:p>
      <w:pPr>
        <w:spacing w:line="360" w:lineRule="auto"/>
        <w:ind w:firstLine="482" w:firstLineChars="200"/>
        <w:rPr>
          <w:rFonts w:hint="eastAsia" w:ascii="宋体" w:hAnsi="宋体" w:cs="宋体"/>
          <w:b/>
          <w:bCs/>
          <w:sz w:val="24"/>
        </w:rPr>
      </w:pPr>
      <w:r>
        <w:rPr>
          <w:rFonts w:hint="eastAsia" w:ascii="宋体" w:hAnsi="宋体" w:cs="宋体"/>
          <w:b/>
          <w:bCs/>
          <w:sz w:val="24"/>
        </w:rPr>
        <w:t>1.7 语言文字</w:t>
      </w:r>
    </w:p>
    <w:p>
      <w:pPr>
        <w:spacing w:line="360" w:lineRule="auto"/>
        <w:ind w:firstLine="480" w:firstLineChars="200"/>
        <w:rPr>
          <w:rFonts w:hint="eastAsia" w:ascii="宋体" w:hAnsi="宋体" w:cs="宋体"/>
          <w:sz w:val="24"/>
        </w:rPr>
      </w:pPr>
      <w:r>
        <w:rPr>
          <w:rFonts w:hint="eastAsia" w:ascii="宋体" w:hAnsi="宋体" w:cs="宋体"/>
          <w:sz w:val="24"/>
        </w:rPr>
        <w:t>除专用术语外，与磋商有关的语言均使用中文。必要时专用术语应附有中文注释。</w:t>
      </w:r>
    </w:p>
    <w:p>
      <w:pPr>
        <w:spacing w:line="360" w:lineRule="auto"/>
        <w:ind w:firstLine="482" w:firstLineChars="200"/>
        <w:rPr>
          <w:rFonts w:hint="eastAsia" w:ascii="宋体" w:hAnsi="宋体" w:cs="宋体"/>
          <w:b/>
          <w:bCs/>
          <w:sz w:val="24"/>
        </w:rPr>
      </w:pPr>
      <w:r>
        <w:rPr>
          <w:rFonts w:hint="eastAsia" w:ascii="宋体" w:hAnsi="宋体" w:cs="宋体"/>
          <w:b/>
          <w:bCs/>
          <w:sz w:val="24"/>
        </w:rPr>
        <w:t>1.8 计量单位</w:t>
      </w:r>
    </w:p>
    <w:p>
      <w:pPr>
        <w:spacing w:line="360" w:lineRule="auto"/>
        <w:ind w:firstLine="480" w:firstLineChars="200"/>
        <w:rPr>
          <w:rFonts w:hint="eastAsia" w:ascii="宋体" w:hAnsi="宋体" w:cs="宋体"/>
          <w:sz w:val="24"/>
        </w:rPr>
      </w:pPr>
      <w:r>
        <w:rPr>
          <w:rFonts w:hint="eastAsia" w:ascii="宋体" w:hAnsi="宋体" w:cs="宋体"/>
          <w:sz w:val="24"/>
        </w:rPr>
        <w:t>所有计量均采用中华人民共和国法定计量单位。</w:t>
      </w:r>
    </w:p>
    <w:p>
      <w:pPr>
        <w:spacing w:line="360" w:lineRule="auto"/>
        <w:ind w:firstLine="482" w:firstLineChars="200"/>
        <w:rPr>
          <w:rFonts w:hint="eastAsia" w:ascii="宋体" w:hAnsi="宋体" w:cs="宋体"/>
          <w:b/>
          <w:bCs/>
          <w:sz w:val="24"/>
        </w:rPr>
      </w:pPr>
      <w:r>
        <w:rPr>
          <w:rFonts w:hint="eastAsia" w:ascii="宋体" w:hAnsi="宋体" w:cs="宋体"/>
          <w:b/>
          <w:bCs/>
          <w:sz w:val="24"/>
        </w:rPr>
        <w:t>1.9 踏勘现场</w:t>
      </w:r>
    </w:p>
    <w:p>
      <w:pPr>
        <w:spacing w:line="360" w:lineRule="auto"/>
        <w:ind w:firstLine="480" w:firstLineChars="200"/>
        <w:rPr>
          <w:rFonts w:hint="eastAsia" w:ascii="宋体" w:hAnsi="宋体" w:cs="宋体"/>
          <w:sz w:val="24"/>
        </w:rPr>
      </w:pPr>
      <w:r>
        <w:rPr>
          <w:rFonts w:hint="eastAsia" w:ascii="宋体" w:hAnsi="宋体" w:cs="宋体"/>
          <w:sz w:val="24"/>
        </w:rPr>
        <w:t>1.9.1采购代理机构不组织统一踏勘现场，由供应商自行安排。</w:t>
      </w:r>
    </w:p>
    <w:p>
      <w:pPr>
        <w:spacing w:line="360" w:lineRule="auto"/>
        <w:ind w:firstLine="480" w:firstLineChars="200"/>
        <w:rPr>
          <w:rFonts w:hint="eastAsia" w:ascii="宋体" w:hAnsi="宋体" w:cs="宋体"/>
          <w:sz w:val="24"/>
        </w:rPr>
      </w:pPr>
      <w:r>
        <w:rPr>
          <w:rFonts w:hint="eastAsia" w:ascii="宋体" w:hAnsi="宋体" w:cs="宋体"/>
          <w:sz w:val="24"/>
        </w:rPr>
        <w:t>1.9.2 供应商踏勘现场发生的一切费用自理，并自行负责在踏勘现场中所发生的人员伤亡和财产损失。</w:t>
      </w:r>
    </w:p>
    <w:p>
      <w:pPr>
        <w:spacing w:line="360" w:lineRule="auto"/>
        <w:ind w:firstLine="482" w:firstLineChars="200"/>
        <w:rPr>
          <w:rFonts w:hint="eastAsia" w:ascii="宋体" w:hAnsi="宋体" w:cs="宋体"/>
          <w:b/>
          <w:bCs/>
          <w:sz w:val="24"/>
        </w:rPr>
      </w:pPr>
      <w:r>
        <w:rPr>
          <w:rFonts w:hint="eastAsia" w:ascii="宋体" w:hAnsi="宋体" w:cs="宋体"/>
          <w:b/>
          <w:bCs/>
          <w:sz w:val="24"/>
        </w:rPr>
        <w:t>1.10 竞争性磋商答疑会</w:t>
      </w:r>
    </w:p>
    <w:p>
      <w:pPr>
        <w:spacing w:line="360" w:lineRule="auto"/>
        <w:ind w:firstLine="480" w:firstLineChars="200"/>
        <w:rPr>
          <w:rFonts w:hint="eastAsia" w:ascii="宋体" w:hAnsi="宋体" w:cs="宋体"/>
          <w:sz w:val="24"/>
        </w:rPr>
      </w:pPr>
      <w:r>
        <w:rPr>
          <w:rFonts w:hint="eastAsia" w:ascii="宋体" w:hAnsi="宋体" w:cs="宋体"/>
          <w:sz w:val="24"/>
        </w:rPr>
        <w:t>本项目不召开答疑会。</w:t>
      </w:r>
    </w:p>
    <w:p>
      <w:pPr>
        <w:spacing w:line="360" w:lineRule="auto"/>
        <w:ind w:firstLine="482" w:firstLineChars="200"/>
        <w:rPr>
          <w:rFonts w:hint="eastAsia" w:ascii="宋体" w:hAnsi="宋体" w:cs="宋体"/>
          <w:b/>
          <w:bCs/>
          <w:sz w:val="24"/>
        </w:rPr>
      </w:pPr>
      <w:r>
        <w:rPr>
          <w:rFonts w:hint="eastAsia" w:ascii="宋体" w:hAnsi="宋体" w:cs="宋体"/>
          <w:b/>
          <w:bCs/>
          <w:sz w:val="24"/>
        </w:rPr>
        <w:t>1.11 分包</w:t>
      </w:r>
    </w:p>
    <w:p>
      <w:pPr>
        <w:spacing w:line="360" w:lineRule="auto"/>
        <w:ind w:firstLine="480" w:firstLineChars="200"/>
        <w:rPr>
          <w:rFonts w:hint="eastAsia" w:ascii="宋体" w:hAnsi="宋体" w:cs="宋体"/>
          <w:sz w:val="24"/>
        </w:rPr>
      </w:pPr>
      <w:r>
        <w:rPr>
          <w:rFonts w:hint="eastAsia" w:ascii="宋体" w:hAnsi="宋体" w:cs="宋体"/>
          <w:sz w:val="24"/>
        </w:rPr>
        <w:t>不允许。</w:t>
      </w:r>
    </w:p>
    <w:p>
      <w:pPr>
        <w:spacing w:line="360" w:lineRule="auto"/>
        <w:ind w:firstLine="482" w:firstLineChars="200"/>
        <w:rPr>
          <w:rFonts w:hint="eastAsia" w:ascii="宋体" w:hAnsi="宋体" w:cs="宋体"/>
          <w:b/>
          <w:bCs/>
          <w:sz w:val="24"/>
        </w:rPr>
      </w:pPr>
      <w:r>
        <w:rPr>
          <w:rFonts w:hint="eastAsia" w:ascii="宋体" w:hAnsi="宋体" w:cs="宋体"/>
          <w:b/>
          <w:bCs/>
          <w:sz w:val="24"/>
        </w:rPr>
        <w:t>1.12 偏离</w:t>
      </w:r>
    </w:p>
    <w:p>
      <w:pPr>
        <w:spacing w:beforeLines="50" w:afterLines="50" w:line="360" w:lineRule="auto"/>
        <w:ind w:firstLine="480" w:firstLineChars="200"/>
        <w:rPr>
          <w:rFonts w:hint="eastAsia" w:ascii="宋体" w:hAnsi="宋体" w:cs="宋体"/>
          <w:sz w:val="24"/>
        </w:rPr>
      </w:pPr>
      <w:bookmarkStart w:id="24" w:name="_Toc420591644"/>
      <w:bookmarkStart w:id="25" w:name="_Toc421778366"/>
      <w:bookmarkStart w:id="26" w:name="_Toc425240465"/>
      <w:r>
        <w:rPr>
          <w:rFonts w:hint="eastAsia" w:ascii="宋体" w:hAnsi="宋体" w:cs="宋体"/>
          <w:sz w:val="24"/>
        </w:rPr>
        <w:t>不满足评审方法中初步评审标准的，视为发生重大偏离，其磋商被否决。其余偏离视为细微偏离，磋商小组将通过澄清方式对细微偏离进行澄清或修改。</w:t>
      </w:r>
    </w:p>
    <w:p>
      <w:pPr>
        <w:spacing w:beforeLines="50" w:afterLines="50" w:line="360" w:lineRule="auto"/>
        <w:rPr>
          <w:rFonts w:hint="eastAsia" w:ascii="宋体" w:hAnsi="宋体" w:cs="宋体"/>
          <w:b/>
          <w:bCs/>
          <w:sz w:val="24"/>
        </w:rPr>
      </w:pPr>
      <w:r>
        <w:rPr>
          <w:rFonts w:hint="eastAsia" w:ascii="宋体" w:hAnsi="宋体" w:cs="宋体"/>
          <w:b/>
          <w:bCs/>
          <w:sz w:val="24"/>
        </w:rPr>
        <w:t>2．</w:t>
      </w:r>
      <w:bookmarkEnd w:id="24"/>
      <w:bookmarkEnd w:id="25"/>
      <w:bookmarkEnd w:id="26"/>
      <w:r>
        <w:rPr>
          <w:rFonts w:hint="eastAsia" w:ascii="宋体" w:hAnsi="宋体" w:cs="宋体"/>
          <w:b/>
          <w:bCs/>
          <w:sz w:val="24"/>
        </w:rPr>
        <w:t>竞争性磋商文件</w:t>
      </w:r>
    </w:p>
    <w:p>
      <w:pPr>
        <w:spacing w:line="360" w:lineRule="auto"/>
        <w:ind w:firstLine="482" w:firstLineChars="200"/>
        <w:rPr>
          <w:rFonts w:hint="eastAsia" w:ascii="宋体" w:hAnsi="宋体" w:cs="宋体"/>
          <w:b/>
          <w:bCs/>
          <w:sz w:val="24"/>
        </w:rPr>
      </w:pPr>
      <w:r>
        <w:rPr>
          <w:rFonts w:hint="eastAsia" w:ascii="宋体" w:hAnsi="宋体" w:cs="宋体"/>
          <w:b/>
          <w:bCs/>
          <w:sz w:val="24"/>
        </w:rPr>
        <w:t>2.1 竞争性磋商文件的组成</w:t>
      </w:r>
    </w:p>
    <w:p>
      <w:pPr>
        <w:spacing w:line="360" w:lineRule="auto"/>
        <w:ind w:firstLine="480" w:firstLineChars="200"/>
        <w:rPr>
          <w:rFonts w:hint="eastAsia" w:ascii="宋体" w:hAnsi="宋体" w:cs="宋体"/>
          <w:sz w:val="24"/>
        </w:rPr>
      </w:pPr>
      <w:r>
        <w:rPr>
          <w:rFonts w:hint="eastAsia" w:ascii="宋体" w:hAnsi="宋体" w:cs="宋体"/>
          <w:sz w:val="24"/>
        </w:rPr>
        <w:t>本竞争性磋商文件包括：</w:t>
      </w:r>
    </w:p>
    <w:p>
      <w:pPr>
        <w:spacing w:line="360" w:lineRule="auto"/>
        <w:ind w:firstLine="480" w:firstLineChars="200"/>
        <w:rPr>
          <w:rFonts w:hint="eastAsia" w:ascii="宋体" w:hAnsi="宋体" w:cs="宋体"/>
          <w:sz w:val="24"/>
        </w:rPr>
      </w:pPr>
      <w:r>
        <w:rPr>
          <w:rFonts w:hint="eastAsia" w:ascii="宋体" w:hAnsi="宋体" w:cs="宋体"/>
          <w:sz w:val="24"/>
        </w:rPr>
        <w:t>(1）竞争性磋商公告；</w:t>
      </w:r>
    </w:p>
    <w:p>
      <w:pPr>
        <w:spacing w:line="360" w:lineRule="auto"/>
        <w:ind w:firstLine="480" w:firstLineChars="200"/>
        <w:rPr>
          <w:rFonts w:hint="eastAsia" w:ascii="宋体" w:hAnsi="宋体" w:cs="宋体"/>
          <w:sz w:val="24"/>
        </w:rPr>
      </w:pPr>
      <w:r>
        <w:rPr>
          <w:rFonts w:hint="eastAsia" w:ascii="宋体" w:hAnsi="宋体" w:cs="宋体"/>
          <w:sz w:val="24"/>
        </w:rPr>
        <w:t>(2）供应商须知</w:t>
      </w:r>
    </w:p>
    <w:p>
      <w:pPr>
        <w:spacing w:line="360" w:lineRule="auto"/>
        <w:ind w:firstLine="480" w:firstLineChars="200"/>
        <w:rPr>
          <w:rFonts w:hint="eastAsia" w:ascii="宋体" w:hAnsi="宋体" w:cs="宋体"/>
          <w:sz w:val="24"/>
        </w:rPr>
      </w:pPr>
      <w:r>
        <w:rPr>
          <w:rFonts w:hint="eastAsia" w:ascii="宋体" w:hAnsi="宋体" w:cs="宋体"/>
          <w:sz w:val="24"/>
        </w:rPr>
        <w:t>(3）评审方法；</w:t>
      </w:r>
    </w:p>
    <w:p>
      <w:pPr>
        <w:spacing w:line="360" w:lineRule="auto"/>
        <w:ind w:firstLine="480" w:firstLineChars="200"/>
        <w:rPr>
          <w:ins w:id="33" w:author="Administrator" w:date="2019-08-29T19:27:00Z"/>
          <w:rFonts w:hint="eastAsia" w:ascii="宋体" w:hAnsi="宋体" w:cs="宋体"/>
          <w:sz w:val="24"/>
        </w:rPr>
      </w:pPr>
      <w:r>
        <w:rPr>
          <w:rFonts w:hint="eastAsia" w:ascii="宋体" w:hAnsi="宋体" w:cs="宋体"/>
          <w:sz w:val="24"/>
        </w:rPr>
        <w:t>(4）技术标准和要求；</w:t>
      </w:r>
    </w:p>
    <w:p>
      <w:pPr>
        <w:spacing w:line="360" w:lineRule="auto"/>
        <w:ind w:firstLine="480" w:firstLineChars="200"/>
        <w:rPr>
          <w:rFonts w:hint="eastAsia" w:ascii="宋体" w:hAnsi="宋体" w:cs="宋体"/>
          <w:sz w:val="24"/>
        </w:rPr>
      </w:pPr>
      <w:r>
        <w:rPr>
          <w:rFonts w:hint="eastAsia" w:ascii="宋体" w:hAnsi="宋体" w:cs="宋体"/>
          <w:sz w:val="24"/>
        </w:rPr>
        <w:t>(5）竞争性磋商响应文件格式。</w:t>
      </w:r>
    </w:p>
    <w:p>
      <w:pPr>
        <w:spacing w:line="360" w:lineRule="auto"/>
        <w:ind w:firstLine="480" w:firstLineChars="200"/>
        <w:rPr>
          <w:rFonts w:hint="eastAsia" w:ascii="宋体" w:hAnsi="宋体" w:cs="宋体"/>
          <w:sz w:val="24"/>
        </w:rPr>
      </w:pPr>
      <w:r>
        <w:rPr>
          <w:rFonts w:hint="eastAsia" w:ascii="宋体" w:hAnsi="宋体" w:cs="宋体"/>
          <w:sz w:val="24"/>
        </w:rPr>
        <w:t>根据本章第1.10 款和第2.2 款对竞争性磋商文件所作的澄清、修改，构成竞争性磋商文件的组成部分。</w:t>
      </w:r>
    </w:p>
    <w:p>
      <w:pPr>
        <w:spacing w:line="360" w:lineRule="auto"/>
        <w:ind w:firstLine="482" w:firstLineChars="200"/>
        <w:rPr>
          <w:rFonts w:hint="eastAsia" w:ascii="宋体" w:hAnsi="宋体" w:cs="宋体"/>
          <w:b/>
          <w:bCs/>
          <w:sz w:val="24"/>
        </w:rPr>
      </w:pPr>
      <w:r>
        <w:rPr>
          <w:rFonts w:hint="eastAsia" w:ascii="宋体" w:hAnsi="宋体" w:cs="宋体"/>
          <w:b/>
          <w:bCs/>
          <w:sz w:val="24"/>
        </w:rPr>
        <w:t>2.2 竞争性磋商文件的澄清及修改</w:t>
      </w:r>
    </w:p>
    <w:p>
      <w:pPr>
        <w:spacing w:beforeLines="50" w:afterLines="50" w:line="360" w:lineRule="auto"/>
        <w:ind w:firstLine="480" w:firstLineChars="200"/>
        <w:rPr>
          <w:rFonts w:hint="eastAsia" w:ascii="宋体" w:hAnsi="宋体" w:cs="宋体"/>
          <w:sz w:val="24"/>
        </w:rPr>
      </w:pPr>
      <w:bookmarkStart w:id="27" w:name="_Toc425240466"/>
      <w:bookmarkStart w:id="28" w:name="_Toc421778367"/>
      <w:bookmarkStart w:id="29" w:name="_Toc420591645"/>
      <w:r>
        <w:rPr>
          <w:rFonts w:hint="eastAsia" w:ascii="宋体" w:hAnsi="宋体" w:cs="宋体"/>
          <w:sz w:val="24"/>
        </w:rPr>
        <w:t>2.2.1在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pPr>
        <w:spacing w:beforeLines="50" w:afterLines="50" w:line="360" w:lineRule="auto"/>
        <w:ind w:firstLine="480" w:firstLineChars="200"/>
        <w:rPr>
          <w:rFonts w:hint="eastAsia" w:ascii="宋体" w:hAnsi="宋体" w:cs="宋体"/>
          <w:sz w:val="24"/>
        </w:rPr>
      </w:pPr>
      <w:r>
        <w:rPr>
          <w:rFonts w:hint="eastAsia" w:ascii="宋体" w:hAnsi="宋体" w:cs="宋体"/>
          <w:sz w:val="24"/>
        </w:rPr>
        <w:t>2.2.2采购代理机构如果对已发出的竞争性磋商文件进行必要的澄清或者修改，将在竞争性磋商文件要求提交竞争性磋商响应文件截止时间5日前，以书面形式通知所有获取竞争性磋商文件的供应商。不足5日的，应当顺延提交响应文件截止时间。该澄清或者修改的内容为竞争性磋商文件的组成部分。</w:t>
      </w:r>
    </w:p>
    <w:p>
      <w:pPr>
        <w:spacing w:beforeLines="50" w:afterLines="50" w:line="360" w:lineRule="auto"/>
        <w:ind w:firstLine="480" w:firstLineChars="200"/>
        <w:rPr>
          <w:rFonts w:hint="eastAsia" w:ascii="宋体" w:hAnsi="宋体" w:cs="宋体"/>
          <w:sz w:val="24"/>
        </w:rPr>
      </w:pPr>
      <w:r>
        <w:rPr>
          <w:rFonts w:hint="eastAsia" w:ascii="宋体" w:hAnsi="宋体" w:cs="宋体"/>
          <w:sz w:val="24"/>
        </w:rPr>
        <w:t>2.2.3已经购买竞争性磋商文件的供应商对竞争性磋商文件有疑问的，均应在磋商截止日期3日前以书面形式向采购代理机构提出。采购代理机构视情况必要时将书面答复传送给所有获取竞争性磋商文件的供应商。</w:t>
      </w:r>
    </w:p>
    <w:p>
      <w:pPr>
        <w:spacing w:beforeLines="50" w:afterLines="50" w:line="360" w:lineRule="auto"/>
        <w:ind w:firstLine="480" w:firstLineChars="200"/>
        <w:rPr>
          <w:rFonts w:hint="eastAsia" w:ascii="宋体" w:hAnsi="宋体" w:cs="宋体"/>
          <w:sz w:val="24"/>
        </w:rPr>
      </w:pPr>
      <w:r>
        <w:rPr>
          <w:rFonts w:hint="eastAsia" w:ascii="宋体" w:hAnsi="宋体" w:cs="宋体"/>
          <w:sz w:val="24"/>
        </w:rPr>
        <w:t>2.2.4供应商在收到上述通知后，应立即向采购代理机构回函确认。</w:t>
      </w:r>
    </w:p>
    <w:bookmarkEnd w:id="27"/>
    <w:bookmarkEnd w:id="28"/>
    <w:bookmarkEnd w:id="29"/>
    <w:p>
      <w:pPr>
        <w:numPr>
          <w:ilvl w:val="0"/>
          <w:numId w:val="5"/>
        </w:numPr>
        <w:spacing w:beforeLines="50" w:afterLines="50" w:line="360" w:lineRule="auto"/>
        <w:rPr>
          <w:rFonts w:hint="eastAsia" w:ascii="宋体" w:hAnsi="宋体" w:cs="宋体"/>
          <w:b/>
          <w:bCs/>
          <w:sz w:val="24"/>
        </w:rPr>
      </w:pPr>
      <w:r>
        <w:rPr>
          <w:rFonts w:hint="eastAsia" w:ascii="宋体" w:hAnsi="宋体" w:cs="宋体"/>
          <w:b/>
          <w:bCs/>
          <w:sz w:val="24"/>
        </w:rPr>
        <w:t>竞争性磋商响应文件</w:t>
      </w:r>
    </w:p>
    <w:p>
      <w:pPr>
        <w:spacing w:line="360" w:lineRule="auto"/>
        <w:ind w:firstLine="482" w:firstLineChars="200"/>
        <w:rPr>
          <w:rFonts w:hint="eastAsia" w:ascii="宋体" w:hAnsi="宋体" w:cs="宋体"/>
          <w:b/>
          <w:sz w:val="24"/>
        </w:rPr>
      </w:pPr>
      <w:r>
        <w:rPr>
          <w:rFonts w:hint="eastAsia" w:ascii="宋体" w:hAnsi="宋体" w:cs="宋体"/>
          <w:b/>
          <w:sz w:val="24"/>
        </w:rPr>
        <w:t>3.1 磋商响应文件的组成</w:t>
      </w:r>
    </w:p>
    <w:p>
      <w:pPr>
        <w:spacing w:line="360" w:lineRule="auto"/>
        <w:ind w:firstLine="480" w:firstLineChars="200"/>
        <w:jc w:val="left"/>
        <w:rPr>
          <w:rFonts w:hint="eastAsia" w:hAnsi="宋体" w:cs="宋体"/>
          <w:sz w:val="24"/>
        </w:rPr>
      </w:pPr>
      <w:r>
        <w:rPr>
          <w:rFonts w:hint="eastAsia" w:hAnsi="宋体" w:cs="宋体"/>
          <w:sz w:val="24"/>
        </w:rPr>
        <w:t>（1）磋商响应函</w:t>
      </w:r>
    </w:p>
    <w:p>
      <w:pPr>
        <w:spacing w:line="360" w:lineRule="auto"/>
        <w:ind w:firstLine="480" w:firstLineChars="200"/>
        <w:jc w:val="left"/>
        <w:rPr>
          <w:rFonts w:hint="eastAsia" w:hAnsi="宋体" w:cs="宋体"/>
          <w:sz w:val="24"/>
        </w:rPr>
      </w:pPr>
      <w:r>
        <w:rPr>
          <w:rFonts w:hint="eastAsia" w:hAnsi="宋体" w:cs="宋体"/>
          <w:sz w:val="24"/>
        </w:rPr>
        <w:t>（2）磋商一览表</w:t>
      </w:r>
    </w:p>
    <w:p>
      <w:pPr>
        <w:spacing w:line="360" w:lineRule="auto"/>
        <w:ind w:firstLine="480" w:firstLineChars="200"/>
        <w:jc w:val="left"/>
        <w:rPr>
          <w:rFonts w:hint="eastAsia" w:hAnsi="宋体" w:cs="宋体"/>
          <w:sz w:val="24"/>
        </w:rPr>
      </w:pPr>
      <w:r>
        <w:rPr>
          <w:rFonts w:hint="eastAsia" w:hAnsi="宋体" w:cs="宋体"/>
          <w:sz w:val="24"/>
        </w:rPr>
        <w:t>（3）法定代表人（单位负责人）身份证明</w:t>
      </w:r>
    </w:p>
    <w:p>
      <w:pPr>
        <w:spacing w:line="360" w:lineRule="auto"/>
        <w:ind w:firstLine="480" w:firstLineChars="200"/>
        <w:jc w:val="left"/>
        <w:rPr>
          <w:rFonts w:hint="eastAsia" w:hAnsi="宋体" w:cs="宋体"/>
          <w:sz w:val="24"/>
        </w:rPr>
      </w:pPr>
      <w:r>
        <w:rPr>
          <w:rFonts w:hint="eastAsia" w:hAnsi="宋体" w:cs="宋体"/>
          <w:sz w:val="24"/>
        </w:rPr>
        <w:t>（4）法定代表人（单位负责人）授权委托书</w:t>
      </w:r>
    </w:p>
    <w:p>
      <w:pPr>
        <w:spacing w:line="360" w:lineRule="auto"/>
        <w:ind w:firstLine="480" w:firstLineChars="200"/>
        <w:jc w:val="left"/>
        <w:rPr>
          <w:rFonts w:hint="eastAsia" w:hAnsi="宋体" w:cs="宋体"/>
          <w:sz w:val="24"/>
        </w:rPr>
      </w:pPr>
      <w:r>
        <w:rPr>
          <w:rFonts w:hint="eastAsia" w:hAnsi="宋体" w:cs="宋体"/>
          <w:sz w:val="24"/>
        </w:rPr>
        <w:t>（5）磋商保证金</w:t>
      </w:r>
    </w:p>
    <w:p>
      <w:pPr>
        <w:spacing w:line="360" w:lineRule="auto"/>
        <w:ind w:firstLine="480" w:firstLineChars="200"/>
        <w:jc w:val="left"/>
        <w:rPr>
          <w:rFonts w:hint="eastAsia" w:hAnsi="宋体" w:cs="宋体"/>
          <w:sz w:val="24"/>
        </w:rPr>
      </w:pPr>
      <w:r>
        <w:rPr>
          <w:rFonts w:hint="eastAsia" w:hAnsi="宋体" w:cs="宋体"/>
          <w:sz w:val="24"/>
        </w:rPr>
        <w:t>（6）资格证明文件</w:t>
      </w:r>
    </w:p>
    <w:p>
      <w:pPr>
        <w:spacing w:line="360" w:lineRule="auto"/>
        <w:ind w:firstLine="480" w:firstLineChars="200"/>
        <w:jc w:val="left"/>
        <w:rPr>
          <w:rFonts w:hint="eastAsia" w:hAnsi="宋体" w:cs="宋体"/>
          <w:sz w:val="24"/>
        </w:rPr>
      </w:pPr>
      <w:r>
        <w:rPr>
          <w:rFonts w:hint="eastAsia" w:hAnsi="宋体" w:cs="宋体"/>
          <w:sz w:val="24"/>
        </w:rPr>
        <w:t>（7）商务响应说明书</w:t>
      </w:r>
    </w:p>
    <w:p>
      <w:pPr>
        <w:spacing w:line="360" w:lineRule="auto"/>
        <w:ind w:firstLine="480" w:firstLineChars="200"/>
        <w:jc w:val="left"/>
        <w:rPr>
          <w:rFonts w:hint="eastAsia" w:hAnsi="宋体" w:cs="宋体"/>
          <w:sz w:val="24"/>
        </w:rPr>
      </w:pPr>
      <w:r>
        <w:rPr>
          <w:rFonts w:hint="eastAsia" w:hAnsi="宋体" w:cs="宋体"/>
          <w:sz w:val="24"/>
        </w:rPr>
        <w:t>（8）技术响应说明书</w:t>
      </w:r>
    </w:p>
    <w:p>
      <w:pPr>
        <w:spacing w:line="360" w:lineRule="auto"/>
        <w:ind w:firstLine="480" w:firstLineChars="200"/>
        <w:jc w:val="left"/>
        <w:rPr>
          <w:rFonts w:hint="eastAsia" w:hAnsi="宋体" w:cs="宋体"/>
          <w:sz w:val="24"/>
        </w:rPr>
      </w:pPr>
      <w:r>
        <w:rPr>
          <w:rFonts w:hint="eastAsia" w:hAnsi="宋体" w:cs="宋体"/>
          <w:sz w:val="24"/>
        </w:rPr>
        <w:t>（9）售后服务方案承诺及应急措施方案</w:t>
      </w:r>
    </w:p>
    <w:p>
      <w:pPr>
        <w:spacing w:line="360" w:lineRule="auto"/>
        <w:ind w:firstLine="480" w:firstLineChars="200"/>
        <w:rPr>
          <w:rFonts w:hint="eastAsia" w:hAnsi="宋体" w:cs="宋体"/>
          <w:sz w:val="24"/>
        </w:rPr>
      </w:pPr>
      <w:r>
        <w:rPr>
          <w:rFonts w:hint="eastAsia" w:hAnsi="宋体" w:cs="宋体"/>
          <w:sz w:val="24"/>
        </w:rPr>
        <w:t>（10）陕西省政府采购供应商拒绝政府采购领域商业贿赂承诺书</w:t>
      </w:r>
    </w:p>
    <w:p>
      <w:pPr>
        <w:spacing w:line="360" w:lineRule="auto"/>
        <w:ind w:firstLine="482" w:firstLineChars="200"/>
        <w:rPr>
          <w:rFonts w:hint="eastAsia" w:ascii="宋体" w:hAnsi="宋体" w:cs="宋体"/>
          <w:b/>
          <w:bCs/>
          <w:sz w:val="24"/>
        </w:rPr>
      </w:pPr>
      <w:r>
        <w:rPr>
          <w:rFonts w:hint="eastAsia" w:ascii="宋体" w:hAnsi="宋体" w:cs="宋体"/>
          <w:b/>
          <w:bCs/>
          <w:sz w:val="24"/>
        </w:rPr>
        <w:t>3.2 磋商报价</w:t>
      </w:r>
    </w:p>
    <w:p>
      <w:pPr>
        <w:spacing w:line="360" w:lineRule="auto"/>
        <w:ind w:firstLine="480" w:firstLineChars="200"/>
        <w:jc w:val="left"/>
        <w:rPr>
          <w:rFonts w:hint="eastAsia" w:hAnsi="宋体" w:cs="宋体"/>
          <w:sz w:val="24"/>
        </w:rPr>
      </w:pPr>
      <w:r>
        <w:rPr>
          <w:rFonts w:hint="eastAsia" w:hAnsi="宋体" w:cs="宋体"/>
          <w:sz w:val="24"/>
        </w:rPr>
        <w:t xml:space="preserve">3.2.1磋商报价应包括国家规定的增值税税金，除供应商须知前附表另有规定外，增值税税金按一般计税方法计算。供应商应按第六章“磋商响应文件格式”的要求在磋商响应函中进行报价并填写分项报价表。 </w:t>
      </w:r>
    </w:p>
    <w:p>
      <w:pPr>
        <w:spacing w:line="360" w:lineRule="auto"/>
        <w:ind w:firstLine="480" w:firstLineChars="200"/>
        <w:jc w:val="left"/>
        <w:rPr>
          <w:rFonts w:hint="eastAsia" w:hAnsi="宋体" w:cs="宋体"/>
          <w:sz w:val="24"/>
        </w:rPr>
      </w:pPr>
      <w:r>
        <w:rPr>
          <w:rFonts w:hint="eastAsia" w:hAnsi="宋体" w:cs="宋体"/>
          <w:sz w:val="24"/>
        </w:rPr>
        <w:t xml:space="preserve">3.2.2 供应商应充分了解该项目的总体情况以及影响磋商报价的其他要素。 </w:t>
      </w:r>
    </w:p>
    <w:p>
      <w:pPr>
        <w:spacing w:line="360" w:lineRule="auto"/>
        <w:ind w:firstLine="480" w:firstLineChars="200"/>
        <w:jc w:val="left"/>
        <w:rPr>
          <w:rFonts w:hint="eastAsia" w:hAnsi="宋体" w:cs="宋体"/>
          <w:sz w:val="24"/>
        </w:rPr>
      </w:pPr>
      <w:r>
        <w:rPr>
          <w:rFonts w:hint="eastAsia" w:hAnsi="宋体" w:cs="宋体"/>
          <w:sz w:val="24"/>
        </w:rPr>
        <w:t xml:space="preserve">3.2.3 磋商报价为各分项报价金额之和，磋商报价与分项报价的合价不一致的，应以各分项合价累计数为准，修正磋商报价；如分项报价中存在缺漏项，则视为缺漏项价格已包含在其他分项报价之中。供应商在投标截止时间前修改磋商响应函中的磋商报价总额，应同时修改磋商响应文件“分项报价表”中的相应报价。此修改须符合本章第4.3款的有关要求。 </w:t>
      </w:r>
    </w:p>
    <w:p>
      <w:pPr>
        <w:spacing w:line="360" w:lineRule="auto"/>
        <w:ind w:firstLine="480" w:firstLineChars="200"/>
        <w:jc w:val="left"/>
        <w:rPr>
          <w:rFonts w:hint="eastAsia" w:hAnsi="宋体" w:cs="宋体"/>
          <w:sz w:val="24"/>
        </w:rPr>
      </w:pPr>
      <w:r>
        <w:rPr>
          <w:rFonts w:hint="eastAsia" w:hAnsi="宋体" w:cs="宋体"/>
          <w:sz w:val="24"/>
        </w:rPr>
        <w:t xml:space="preserve">3.2.4 采购人设有最高限价的，供应商的磋商报价不得大于最高限价，否则按无效磋商处理，最高限价在供应商须知前附表中载明。 </w:t>
      </w:r>
    </w:p>
    <w:p>
      <w:pPr>
        <w:spacing w:line="360" w:lineRule="auto"/>
        <w:ind w:firstLine="480" w:firstLineChars="200"/>
        <w:jc w:val="left"/>
        <w:rPr>
          <w:rFonts w:hint="eastAsia" w:hAnsi="宋体" w:cs="宋体"/>
          <w:sz w:val="24"/>
        </w:rPr>
      </w:pPr>
      <w:r>
        <w:rPr>
          <w:rFonts w:hint="eastAsia" w:hAnsi="宋体" w:cs="宋体"/>
          <w:sz w:val="24"/>
        </w:rPr>
        <w:t xml:space="preserve">3.2.5 磋商报价的其他要求见供应商须知前附表。 </w:t>
      </w:r>
    </w:p>
    <w:p>
      <w:pPr>
        <w:spacing w:line="360" w:lineRule="auto"/>
        <w:ind w:firstLine="482" w:firstLineChars="200"/>
        <w:rPr>
          <w:rFonts w:hint="eastAsia" w:ascii="宋体" w:hAnsi="宋体" w:cs="宋体"/>
          <w:b/>
          <w:bCs/>
          <w:sz w:val="24"/>
        </w:rPr>
      </w:pPr>
      <w:r>
        <w:rPr>
          <w:rFonts w:hint="eastAsia" w:ascii="宋体" w:hAnsi="宋体" w:cs="宋体"/>
          <w:b/>
          <w:bCs/>
          <w:sz w:val="24"/>
        </w:rPr>
        <w:t>3.3 磋商有效期</w:t>
      </w:r>
    </w:p>
    <w:p>
      <w:pPr>
        <w:spacing w:line="360" w:lineRule="auto"/>
        <w:ind w:firstLine="480" w:firstLineChars="200"/>
        <w:rPr>
          <w:rFonts w:hint="eastAsia" w:ascii="宋体" w:hAnsi="宋体" w:cs="宋体"/>
          <w:sz w:val="24"/>
        </w:rPr>
      </w:pPr>
      <w:bookmarkStart w:id="30" w:name="OLE_LINK4"/>
      <w:r>
        <w:rPr>
          <w:rFonts w:hint="eastAsia" w:ascii="宋体" w:hAnsi="宋体" w:cs="宋体"/>
          <w:sz w:val="24"/>
        </w:rPr>
        <w:t>3.3.1磋商响应文件应在“供应商须知前附表”中规定的期限内保持有效。磋商有效期不满足规定有效期的磋商响应文件将被视为非响应性磋商而予以拒绝。</w:t>
      </w:r>
      <w:bookmarkEnd w:id="30"/>
    </w:p>
    <w:p>
      <w:pPr>
        <w:spacing w:line="360" w:lineRule="auto"/>
        <w:ind w:firstLine="480" w:firstLineChars="200"/>
        <w:rPr>
          <w:rFonts w:hint="eastAsia" w:ascii="宋体" w:hAnsi="宋体" w:cs="宋体"/>
          <w:sz w:val="24"/>
        </w:rPr>
      </w:pPr>
      <w:r>
        <w:rPr>
          <w:rFonts w:hint="eastAsia" w:ascii="宋体" w:hAnsi="宋体" w:cs="宋体"/>
          <w:sz w:val="24"/>
        </w:rPr>
        <w:t>3.3.2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3.4 条有关磋商保证金的退还和没收的规定将在延长了的有效期内继续有效。</w:t>
      </w:r>
    </w:p>
    <w:p>
      <w:pPr>
        <w:spacing w:line="360" w:lineRule="auto"/>
        <w:ind w:firstLine="482" w:firstLineChars="200"/>
        <w:rPr>
          <w:rFonts w:hint="eastAsia" w:ascii="宋体" w:hAnsi="宋体" w:cs="宋体"/>
          <w:b/>
          <w:bCs/>
          <w:sz w:val="24"/>
        </w:rPr>
      </w:pPr>
      <w:r>
        <w:rPr>
          <w:rFonts w:hint="eastAsia" w:ascii="宋体" w:hAnsi="宋体" w:cs="宋体"/>
          <w:b/>
          <w:bCs/>
          <w:sz w:val="24"/>
        </w:rPr>
        <w:t>3.4 磋商保证金</w:t>
      </w:r>
    </w:p>
    <w:p>
      <w:pPr>
        <w:spacing w:line="360" w:lineRule="auto"/>
        <w:ind w:firstLine="482" w:firstLineChars="200"/>
        <w:outlineLvl w:val="0"/>
        <w:rPr>
          <w:rFonts w:hint="eastAsia" w:ascii="宋体" w:hAnsi="宋体" w:cs="宋体"/>
          <w:b/>
          <w:kern w:val="0"/>
          <w:sz w:val="24"/>
        </w:rPr>
      </w:pPr>
      <w:bookmarkStart w:id="31" w:name="_Toc27244"/>
      <w:r>
        <w:rPr>
          <w:rFonts w:hint="eastAsia" w:ascii="宋体" w:hAnsi="宋体" w:cs="宋体"/>
          <w:b/>
          <w:kern w:val="0"/>
          <w:sz w:val="24"/>
        </w:rPr>
        <w:t>无需缴纳</w:t>
      </w:r>
      <w:r>
        <w:rPr>
          <w:rFonts w:hint="eastAsia" w:ascii="宋体" w:hAnsi="宋体" w:cs="宋体"/>
          <w:b/>
          <w:bCs/>
          <w:sz w:val="24"/>
        </w:rPr>
        <w:t>磋商</w:t>
      </w:r>
      <w:r>
        <w:rPr>
          <w:rFonts w:hint="eastAsia" w:ascii="宋体" w:hAnsi="宋体" w:cs="宋体"/>
          <w:b/>
          <w:kern w:val="0"/>
          <w:sz w:val="24"/>
        </w:rPr>
        <w:t>保证金</w:t>
      </w:r>
      <w:bookmarkEnd w:id="31"/>
    </w:p>
    <w:p>
      <w:pPr>
        <w:spacing w:line="360" w:lineRule="auto"/>
        <w:ind w:firstLine="482" w:firstLineChars="200"/>
        <w:rPr>
          <w:rFonts w:hint="eastAsia" w:ascii="宋体" w:hAnsi="宋体" w:cs="宋体"/>
          <w:b/>
          <w:bCs/>
          <w:sz w:val="24"/>
        </w:rPr>
      </w:pPr>
      <w:r>
        <w:rPr>
          <w:rFonts w:hint="eastAsia" w:ascii="宋体" w:hAnsi="宋体" w:cs="宋体"/>
          <w:b/>
          <w:bCs/>
          <w:sz w:val="24"/>
        </w:rPr>
        <w:t>3.5备选磋商方案</w:t>
      </w:r>
    </w:p>
    <w:p>
      <w:pPr>
        <w:spacing w:line="360" w:lineRule="auto"/>
        <w:ind w:firstLine="480" w:firstLineChars="200"/>
        <w:rPr>
          <w:rFonts w:hint="eastAsia" w:ascii="宋体" w:hAnsi="宋体" w:cs="宋体"/>
          <w:sz w:val="24"/>
        </w:rPr>
      </w:pPr>
      <w:r>
        <w:rPr>
          <w:rFonts w:hint="eastAsia" w:ascii="宋体" w:hAnsi="宋体" w:cs="宋体"/>
          <w:sz w:val="24"/>
        </w:rPr>
        <w:t>除供应商须知前附表另有规定外，供应商不得递交备选磋商方案。</w:t>
      </w:r>
    </w:p>
    <w:p>
      <w:pPr>
        <w:spacing w:line="360" w:lineRule="auto"/>
        <w:ind w:firstLine="482" w:firstLineChars="200"/>
        <w:rPr>
          <w:rFonts w:hint="eastAsia" w:ascii="宋体" w:hAnsi="宋体" w:cs="宋体"/>
          <w:b/>
          <w:bCs/>
          <w:sz w:val="24"/>
        </w:rPr>
      </w:pPr>
      <w:r>
        <w:rPr>
          <w:rFonts w:hint="eastAsia" w:ascii="宋体" w:hAnsi="宋体" w:cs="宋体"/>
          <w:b/>
          <w:bCs/>
          <w:sz w:val="24"/>
        </w:rPr>
        <w:t>3.6竞争性磋商响应文件的编制</w:t>
      </w:r>
    </w:p>
    <w:p>
      <w:pPr>
        <w:spacing w:line="360" w:lineRule="auto"/>
        <w:ind w:firstLine="480" w:firstLineChars="200"/>
        <w:rPr>
          <w:rFonts w:hint="eastAsia" w:ascii="宋体" w:hAnsi="宋体" w:cs="宋体"/>
          <w:sz w:val="24"/>
        </w:rPr>
      </w:pPr>
      <w:r>
        <w:rPr>
          <w:rFonts w:hint="eastAsia" w:ascii="宋体" w:hAnsi="宋体" w:cs="宋体"/>
          <w:sz w:val="24"/>
        </w:rPr>
        <w:t>3.6.1 竞争性磋商响应文件应按“竞争性磋商响应文件格式”进行编写，如有必要，可以增加附页，作为竞争性磋商响应文件的组成部分。</w:t>
      </w:r>
    </w:p>
    <w:p>
      <w:pPr>
        <w:spacing w:line="360" w:lineRule="auto"/>
        <w:ind w:firstLine="480" w:firstLineChars="200"/>
        <w:rPr>
          <w:rFonts w:hint="eastAsia" w:ascii="宋体" w:hAnsi="宋体" w:cs="宋体"/>
          <w:sz w:val="24"/>
        </w:rPr>
      </w:pPr>
      <w:r>
        <w:rPr>
          <w:rFonts w:hint="eastAsia" w:ascii="宋体" w:hAnsi="宋体" w:cs="宋体"/>
          <w:sz w:val="24"/>
        </w:rPr>
        <w:t>3.6.2 竞争性磋商响应文件应当对竞争性磋商文件有关工期、磋商有效期、质量要求、技术标准和要求、招标范围等实质性内容作出响应。</w:t>
      </w:r>
    </w:p>
    <w:p>
      <w:pPr>
        <w:spacing w:line="500" w:lineRule="exact"/>
        <w:ind w:firstLine="480" w:firstLineChars="200"/>
        <w:rPr>
          <w:rFonts w:hint="eastAsia" w:ascii="宋体" w:hAnsi="宋体" w:cs="宋体"/>
          <w:sz w:val="24"/>
        </w:rPr>
      </w:pPr>
      <w:r>
        <w:rPr>
          <w:rFonts w:hint="eastAsia" w:ascii="宋体" w:hAnsi="宋体" w:cs="宋体"/>
          <w:sz w:val="24"/>
        </w:rPr>
        <w:t>3.6.3 竞争性磋商响应文件应用不褪色的材料书写或打印，并由供应商的法定代表人或其委托代理人签字。委托代理人签字的，竞争性磋商响应文件应附法定代表人签署的授权委托书。竞争性磋商响应文件应尽量避免涂改、行间插字或删除。如果出现上述情况，改动之处必须由供应商的法定代表人或其授权代表签字。所有要求签字（名）处，均须由签字（名）者本人用不褪色的蓝(黑)色墨水(汁)书写，不得用任何形式的图章代替。</w:t>
      </w:r>
    </w:p>
    <w:p>
      <w:pPr>
        <w:spacing w:line="360" w:lineRule="auto"/>
        <w:ind w:firstLine="480" w:firstLineChars="200"/>
        <w:rPr>
          <w:rFonts w:hint="eastAsia" w:ascii="宋体" w:hAnsi="宋体" w:cs="宋体"/>
          <w:szCs w:val="21"/>
        </w:rPr>
      </w:pPr>
      <w:r>
        <w:rPr>
          <w:rFonts w:hint="eastAsia" w:ascii="宋体" w:hAnsi="宋体" w:cs="宋体"/>
          <w:sz w:val="24"/>
        </w:rPr>
        <w:t>3.6.4 竞争性磋商响应文件正本、副本份数见供应商须知前附表。正本和副本的封面上应清楚地标记“正本”或“副本”的字样。当副本和正本不一致时，以正本为准。竞争性磋商响应文件电子版包括：</w:t>
      </w:r>
      <w:bookmarkStart w:id="32" w:name="_Toc420591646"/>
      <w:bookmarkStart w:id="33" w:name="_Toc425240467"/>
      <w:bookmarkStart w:id="34" w:name="_Toc421778368"/>
      <w:r>
        <w:rPr>
          <w:rFonts w:hint="eastAsia" w:ascii="宋体" w:hAnsi="宋体" w:cs="宋体"/>
          <w:sz w:val="24"/>
        </w:rPr>
        <w:t>（1）word版响应文件；（2）响应文件正本签字盖章后的PDF格式扫描件，与正本具有同等法律效力</w:t>
      </w:r>
      <w:r>
        <w:rPr>
          <w:rFonts w:hint="eastAsia" w:ascii="宋体" w:hAnsi="宋体" w:cs="宋体"/>
          <w:szCs w:val="21"/>
        </w:rPr>
        <w:t>。</w:t>
      </w:r>
    </w:p>
    <w:p>
      <w:pPr>
        <w:spacing w:line="360" w:lineRule="auto"/>
        <w:ind w:firstLine="482" w:firstLineChars="200"/>
        <w:rPr>
          <w:rFonts w:hint="eastAsia" w:ascii="宋体" w:hAnsi="宋体" w:cs="宋体"/>
          <w:sz w:val="24"/>
        </w:rPr>
      </w:pPr>
      <w:r>
        <w:rPr>
          <w:rFonts w:hint="eastAsia" w:ascii="宋体" w:hAnsi="宋体" w:cs="宋体"/>
          <w:b/>
          <w:bCs/>
          <w:color w:val="000000"/>
          <w:sz w:val="24"/>
        </w:rPr>
        <w:t>4．</w:t>
      </w:r>
      <w:bookmarkEnd w:id="32"/>
      <w:bookmarkEnd w:id="33"/>
      <w:bookmarkEnd w:id="34"/>
      <w:r>
        <w:rPr>
          <w:rFonts w:hint="eastAsia" w:ascii="宋体" w:hAnsi="宋体" w:cs="宋体"/>
          <w:b/>
          <w:bCs/>
          <w:color w:val="000000"/>
          <w:sz w:val="24"/>
        </w:rPr>
        <w:t xml:space="preserve"> 磋商响应</w:t>
      </w:r>
    </w:p>
    <w:p>
      <w:pPr>
        <w:spacing w:line="360" w:lineRule="auto"/>
        <w:ind w:firstLine="482" w:firstLineChars="200"/>
        <w:rPr>
          <w:rFonts w:hint="eastAsia" w:ascii="宋体" w:hAnsi="宋体" w:cs="宋体"/>
          <w:b/>
          <w:bCs/>
          <w:sz w:val="24"/>
        </w:rPr>
      </w:pPr>
      <w:r>
        <w:rPr>
          <w:rFonts w:hint="eastAsia" w:ascii="宋体" w:hAnsi="宋体" w:cs="宋体"/>
          <w:b/>
          <w:bCs/>
          <w:sz w:val="24"/>
        </w:rPr>
        <w:t>4.1 竞争性磋商响应文件的密封和标记</w:t>
      </w:r>
    </w:p>
    <w:p>
      <w:pPr>
        <w:spacing w:line="360" w:lineRule="auto"/>
        <w:ind w:firstLine="482" w:firstLineChars="200"/>
        <w:rPr>
          <w:rFonts w:hint="eastAsia" w:ascii="宋体" w:hAnsi="宋体" w:cs="宋体"/>
          <w:b/>
          <w:spacing w:val="4"/>
          <w:sz w:val="24"/>
        </w:rPr>
      </w:pPr>
      <w:r>
        <w:rPr>
          <w:rFonts w:hint="eastAsia" w:ascii="宋体" w:hAnsi="宋体" w:cs="宋体"/>
          <w:b/>
          <w:sz w:val="24"/>
        </w:rPr>
        <w:t>4.1.1供应商应按照本章供应商须知的要求, 提交壹份磋商响应文件正本和“供应商须知前附表”中规定数量的副本，每份磋商响应文件封面须清楚地标明“正本”或“副本”。</w:t>
      </w:r>
      <w:r>
        <w:rPr>
          <w:rFonts w:hint="eastAsia" w:ascii="宋体" w:hAnsi="宋体" w:cs="宋体"/>
          <w:b/>
          <w:spacing w:val="4"/>
          <w:sz w:val="24"/>
        </w:rPr>
        <w:t>同时提供与磋商响应文件正本内容一致的电子版（U盘贰个）和磋商响应文件同时递交。</w:t>
      </w:r>
    </w:p>
    <w:p>
      <w:pPr>
        <w:pStyle w:val="19"/>
        <w:spacing w:after="0" w:line="360" w:lineRule="auto"/>
        <w:ind w:left="0" w:leftChars="0" w:right="0" w:rightChars="0" w:firstLine="498" w:firstLineChars="200"/>
        <w:jc w:val="left"/>
        <w:rPr>
          <w:rFonts w:hint="eastAsia" w:ascii="宋体" w:hAnsi="宋体" w:cs="宋体"/>
          <w:b/>
          <w:spacing w:val="4"/>
          <w:sz w:val="24"/>
          <w:szCs w:val="24"/>
        </w:rPr>
      </w:pPr>
      <w:r>
        <w:rPr>
          <w:rFonts w:hint="eastAsia" w:ascii="宋体" w:hAnsi="宋体" w:cs="宋体"/>
          <w:b/>
          <w:spacing w:val="4"/>
          <w:sz w:val="24"/>
          <w:szCs w:val="24"/>
        </w:rPr>
        <w:t>供应商应将磋商响应文件正本、副本、磋商响应文件电子版分别分开密封装在单独的封袋中（封袋不得有破损），且在封袋正面标明“</w:t>
      </w:r>
      <w:del w:id="34" w:author="长安大学交通系统工程研究所" w:date="2021-07-21T11:16:14Z">
        <w:r>
          <w:rPr>
            <w:rFonts w:hint="eastAsia" w:ascii="宋体" w:hAnsi="宋体" w:cs="宋体"/>
            <w:b/>
            <w:spacing w:val="4"/>
            <w:sz w:val="24"/>
            <w:szCs w:val="24"/>
          </w:rPr>
          <w:delText>磋商响应文件</w:delText>
        </w:r>
      </w:del>
      <w:r>
        <w:rPr>
          <w:rFonts w:hint="eastAsia" w:ascii="宋体" w:hAnsi="宋体" w:cs="宋体"/>
          <w:b/>
          <w:spacing w:val="4"/>
          <w:sz w:val="24"/>
          <w:szCs w:val="24"/>
        </w:rPr>
        <w:t>正本”“</w:t>
      </w:r>
      <w:del w:id="35" w:author="长安大学交通系统工程研究所" w:date="2021-07-21T11:16:16Z">
        <w:r>
          <w:rPr>
            <w:rFonts w:hint="eastAsia" w:ascii="宋体" w:hAnsi="宋体" w:cs="宋体"/>
            <w:b/>
            <w:spacing w:val="4"/>
            <w:sz w:val="24"/>
            <w:szCs w:val="24"/>
          </w:rPr>
          <w:delText>磋商响应文件</w:delText>
        </w:r>
      </w:del>
      <w:r>
        <w:rPr>
          <w:rFonts w:hint="eastAsia" w:ascii="宋体" w:hAnsi="宋体" w:cs="宋体"/>
          <w:b/>
          <w:spacing w:val="4"/>
          <w:sz w:val="24"/>
          <w:szCs w:val="24"/>
        </w:rPr>
        <w:t>副本” “电子版”等字样。封袋应加贴封条，并在封线处加盖供应商公章。</w:t>
      </w:r>
    </w:p>
    <w:p>
      <w:pPr>
        <w:pStyle w:val="19"/>
        <w:spacing w:after="0" w:line="360" w:lineRule="auto"/>
        <w:ind w:left="0" w:leftChars="0" w:right="0" w:rightChars="0" w:firstLine="498" w:firstLineChars="200"/>
        <w:jc w:val="left"/>
        <w:rPr>
          <w:rFonts w:hint="eastAsia" w:ascii="宋体" w:hAnsi="宋体" w:cs="宋体"/>
          <w:b/>
          <w:spacing w:val="4"/>
          <w:sz w:val="24"/>
          <w:szCs w:val="24"/>
        </w:rPr>
      </w:pPr>
      <w:r>
        <w:rPr>
          <w:rFonts w:hint="eastAsia" w:ascii="宋体" w:hAnsi="宋体" w:cs="宋体"/>
          <w:b/>
          <w:spacing w:val="4"/>
          <w:sz w:val="24"/>
          <w:szCs w:val="24"/>
        </w:rPr>
        <w:t>供应商在提交</w:t>
      </w:r>
      <w:r>
        <w:rPr>
          <w:rFonts w:hint="eastAsia" w:ascii="宋体" w:hAnsi="宋体" w:cs="宋体"/>
          <w:b/>
          <w:sz w:val="24"/>
          <w:szCs w:val="24"/>
        </w:rPr>
        <w:t>磋商响应</w:t>
      </w:r>
      <w:r>
        <w:rPr>
          <w:rFonts w:hint="eastAsia" w:ascii="宋体" w:hAnsi="宋体" w:cs="宋体"/>
          <w:b/>
          <w:spacing w:val="4"/>
          <w:sz w:val="24"/>
          <w:szCs w:val="24"/>
        </w:rPr>
        <w:t>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19"/>
        <w:spacing w:after="0" w:line="360" w:lineRule="auto"/>
        <w:ind w:left="0" w:leftChars="0" w:right="0" w:rightChars="0" w:firstLine="498" w:firstLineChars="200"/>
        <w:jc w:val="left"/>
        <w:rPr>
          <w:rFonts w:hint="eastAsia" w:ascii="宋体" w:hAnsi="宋体" w:cs="宋体"/>
          <w:b/>
          <w:spacing w:val="4"/>
          <w:sz w:val="24"/>
          <w:szCs w:val="24"/>
        </w:rPr>
      </w:pPr>
      <w:r>
        <w:rPr>
          <w:rFonts w:hint="eastAsia" w:ascii="宋体" w:hAnsi="宋体" w:cs="宋体"/>
          <w:b/>
          <w:spacing w:val="4"/>
          <w:sz w:val="24"/>
          <w:szCs w:val="24"/>
        </w:rPr>
        <w:t>4.1.2磋商响应文件的正本和副本均需打印或用不褪色、不变质的墨水书写，并由供应商的法定代表人或其授权代表在规定处签字（磋商文件要求磋商响应文件中法定代表人签字处由法定代表人签署，要求授权代表签字处由授权代表签署）。磋商响应文件副本可采用正本的复印件。</w:t>
      </w:r>
    </w:p>
    <w:p>
      <w:pPr>
        <w:pStyle w:val="19"/>
        <w:spacing w:after="0" w:line="360" w:lineRule="auto"/>
        <w:ind w:left="0" w:leftChars="0" w:right="0" w:rightChars="0" w:firstLine="498" w:firstLineChars="200"/>
        <w:jc w:val="left"/>
        <w:rPr>
          <w:rFonts w:hint="eastAsia" w:ascii="宋体" w:hAnsi="宋体" w:cs="宋体"/>
          <w:b/>
          <w:spacing w:val="4"/>
          <w:sz w:val="24"/>
          <w:szCs w:val="24"/>
        </w:rPr>
      </w:pPr>
      <w:r>
        <w:rPr>
          <w:rFonts w:hint="eastAsia" w:ascii="宋体" w:hAnsi="宋体" w:cs="宋体"/>
          <w:b/>
          <w:spacing w:val="4"/>
          <w:sz w:val="24"/>
          <w:szCs w:val="24"/>
        </w:rPr>
        <w:t>4.1.3任何行间插字、涂改和增删，必须由供应商的法定代表人或其授权代表签字。</w:t>
      </w:r>
    </w:p>
    <w:p>
      <w:pPr>
        <w:pStyle w:val="19"/>
        <w:spacing w:after="0" w:line="360" w:lineRule="auto"/>
        <w:ind w:left="0" w:leftChars="0" w:right="0" w:rightChars="0" w:firstLine="498" w:firstLineChars="200"/>
        <w:jc w:val="left"/>
        <w:rPr>
          <w:rFonts w:hint="eastAsia" w:ascii="宋体" w:hAnsi="宋体" w:cs="宋体"/>
          <w:b/>
          <w:spacing w:val="4"/>
          <w:sz w:val="24"/>
          <w:szCs w:val="24"/>
        </w:rPr>
      </w:pPr>
      <w:r>
        <w:rPr>
          <w:rFonts w:hint="eastAsia" w:ascii="宋体" w:hAnsi="宋体" w:cs="宋体"/>
          <w:b/>
          <w:spacing w:val="4"/>
          <w:sz w:val="24"/>
          <w:szCs w:val="24"/>
        </w:rPr>
        <w:t>4.1.4供应商名称应填写全称。</w:t>
      </w:r>
    </w:p>
    <w:p>
      <w:pPr>
        <w:pStyle w:val="19"/>
        <w:spacing w:after="0" w:line="360" w:lineRule="auto"/>
        <w:ind w:left="0" w:leftChars="0" w:right="0" w:rightChars="0" w:firstLine="498" w:firstLineChars="200"/>
        <w:jc w:val="left"/>
        <w:rPr>
          <w:rFonts w:hint="eastAsia" w:ascii="宋体" w:hAnsi="宋体" w:cs="宋体"/>
          <w:b/>
          <w:spacing w:val="4"/>
          <w:sz w:val="24"/>
          <w:szCs w:val="24"/>
        </w:rPr>
      </w:pPr>
      <w:r>
        <w:rPr>
          <w:rFonts w:hint="eastAsia" w:ascii="宋体" w:hAnsi="宋体" w:cs="宋体"/>
          <w:b/>
          <w:spacing w:val="4"/>
          <w:sz w:val="24"/>
          <w:szCs w:val="24"/>
        </w:rPr>
        <w:t>4.2 竞争性磋商响应文件的递交。</w:t>
      </w:r>
    </w:p>
    <w:p>
      <w:pPr>
        <w:spacing w:line="360" w:lineRule="auto"/>
        <w:ind w:firstLine="480" w:firstLineChars="200"/>
        <w:rPr>
          <w:rFonts w:hint="eastAsia" w:ascii="宋体" w:hAnsi="宋体" w:cs="宋体"/>
          <w:sz w:val="24"/>
        </w:rPr>
      </w:pPr>
      <w:r>
        <w:rPr>
          <w:rFonts w:hint="eastAsia" w:ascii="宋体" w:hAnsi="宋体" w:cs="宋体"/>
          <w:sz w:val="24"/>
        </w:rPr>
        <w:t>4.2.1 供应商应在供应商须知前附表第4.2.2 项规定的磋商截止时间前递交竞争性磋商响应文件。</w:t>
      </w:r>
    </w:p>
    <w:p>
      <w:pPr>
        <w:spacing w:line="360" w:lineRule="auto"/>
        <w:ind w:firstLine="480" w:firstLineChars="200"/>
        <w:rPr>
          <w:rFonts w:hint="eastAsia" w:ascii="宋体" w:hAnsi="宋体" w:cs="宋体"/>
          <w:sz w:val="24"/>
        </w:rPr>
      </w:pPr>
      <w:r>
        <w:rPr>
          <w:rFonts w:hint="eastAsia" w:ascii="宋体" w:hAnsi="宋体" w:cs="宋体"/>
          <w:sz w:val="24"/>
        </w:rPr>
        <w:t>4.2.2 供应商递交竞争性磋商响应文件的地点：见供应商须知前附表。</w:t>
      </w:r>
    </w:p>
    <w:p>
      <w:pPr>
        <w:spacing w:line="360" w:lineRule="auto"/>
        <w:ind w:firstLine="480" w:firstLineChars="200"/>
        <w:rPr>
          <w:rFonts w:hint="eastAsia" w:ascii="宋体" w:hAnsi="宋体" w:cs="宋体"/>
          <w:sz w:val="24"/>
        </w:rPr>
      </w:pPr>
      <w:r>
        <w:rPr>
          <w:rFonts w:hint="eastAsia" w:ascii="宋体" w:hAnsi="宋体" w:cs="宋体"/>
          <w:sz w:val="24"/>
        </w:rPr>
        <w:t>4.2.3 供应商所递交的竞争性磋商响应文件不予退还。</w:t>
      </w:r>
    </w:p>
    <w:p>
      <w:pPr>
        <w:spacing w:line="360" w:lineRule="auto"/>
        <w:ind w:firstLine="480" w:firstLineChars="200"/>
        <w:rPr>
          <w:rFonts w:hint="eastAsia" w:ascii="宋体" w:hAnsi="宋体" w:cs="宋体"/>
          <w:sz w:val="24"/>
        </w:rPr>
      </w:pPr>
      <w:r>
        <w:rPr>
          <w:rFonts w:hint="eastAsia" w:ascii="宋体" w:hAnsi="宋体" w:cs="宋体"/>
          <w:sz w:val="24"/>
        </w:rPr>
        <w:t>4.2.4逾期送达的或者未送达指定地点的竞争性磋商响应文件，采购代理机构不予受理。</w:t>
      </w:r>
    </w:p>
    <w:p>
      <w:pPr>
        <w:spacing w:line="360" w:lineRule="auto"/>
        <w:ind w:firstLine="482" w:firstLineChars="200"/>
        <w:rPr>
          <w:rFonts w:hint="eastAsia" w:ascii="宋体" w:hAnsi="宋体" w:cs="宋体"/>
          <w:b/>
          <w:bCs/>
          <w:sz w:val="24"/>
        </w:rPr>
      </w:pPr>
      <w:r>
        <w:rPr>
          <w:rFonts w:hint="eastAsia" w:ascii="宋体" w:hAnsi="宋体" w:cs="宋体"/>
          <w:b/>
          <w:bCs/>
          <w:sz w:val="24"/>
        </w:rPr>
        <w:t>4.3 竞争性磋商响应文件的修改与撤回</w:t>
      </w:r>
    </w:p>
    <w:p>
      <w:pPr>
        <w:spacing w:line="360" w:lineRule="auto"/>
        <w:ind w:firstLine="480" w:firstLineChars="200"/>
        <w:rPr>
          <w:rFonts w:hint="eastAsia" w:ascii="宋体" w:hAnsi="宋体" w:cs="宋体"/>
          <w:sz w:val="24"/>
        </w:rPr>
      </w:pPr>
      <w:bookmarkStart w:id="35" w:name="_Toc420591647"/>
      <w:bookmarkStart w:id="36" w:name="_Toc425240468"/>
      <w:bookmarkStart w:id="37" w:name="_Toc421778369"/>
      <w:r>
        <w:rPr>
          <w:rFonts w:hint="eastAsia" w:ascii="宋体" w:hAnsi="宋体" w:cs="宋体"/>
          <w:sz w:val="24"/>
        </w:rPr>
        <w:t>4.3.1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pPr>
        <w:spacing w:line="360" w:lineRule="auto"/>
        <w:ind w:firstLine="480" w:firstLineChars="200"/>
        <w:rPr>
          <w:rFonts w:hint="eastAsia" w:ascii="宋体" w:hAnsi="宋体" w:cs="宋体"/>
          <w:sz w:val="24"/>
        </w:rPr>
      </w:pPr>
      <w:r>
        <w:rPr>
          <w:rFonts w:hint="eastAsia" w:ascii="宋体" w:hAnsi="宋体" w:cs="宋体"/>
          <w:sz w:val="24"/>
        </w:rPr>
        <w:t>4.3.2 供应商的修改或撤回或变动价格的通知应按本须知的规定编制、密封、标记和递交。</w:t>
      </w:r>
    </w:p>
    <w:p>
      <w:pPr>
        <w:spacing w:line="360" w:lineRule="auto"/>
        <w:ind w:firstLine="480" w:firstLineChars="200"/>
        <w:rPr>
          <w:rFonts w:hint="eastAsia" w:ascii="宋体" w:hAnsi="宋体" w:cs="宋体"/>
          <w:sz w:val="24"/>
        </w:rPr>
      </w:pPr>
      <w:r>
        <w:rPr>
          <w:rFonts w:hint="eastAsia" w:ascii="宋体" w:hAnsi="宋体" w:cs="宋体"/>
          <w:sz w:val="24"/>
        </w:rPr>
        <w:t>4.3.3 在磋商截止时间之后，供应商不得对其竞争性磋商响应文件做任何修改或撤回。</w:t>
      </w:r>
    </w:p>
    <w:p>
      <w:pPr>
        <w:spacing w:beforeLines="50" w:afterLines="50" w:line="360" w:lineRule="auto"/>
        <w:rPr>
          <w:rFonts w:hint="eastAsia" w:ascii="宋体" w:hAnsi="宋体" w:cs="宋体"/>
          <w:b/>
          <w:bCs/>
          <w:sz w:val="24"/>
        </w:rPr>
      </w:pPr>
      <w:r>
        <w:rPr>
          <w:rFonts w:hint="eastAsia" w:ascii="宋体" w:hAnsi="宋体" w:cs="宋体"/>
          <w:b/>
          <w:bCs/>
          <w:sz w:val="24"/>
        </w:rPr>
        <w:t>5．</w:t>
      </w:r>
      <w:bookmarkEnd w:id="35"/>
      <w:bookmarkEnd w:id="36"/>
      <w:bookmarkEnd w:id="37"/>
      <w:r>
        <w:rPr>
          <w:rFonts w:hint="eastAsia" w:ascii="宋体" w:hAnsi="宋体" w:cs="宋体"/>
          <w:b/>
          <w:bCs/>
          <w:sz w:val="24"/>
        </w:rPr>
        <w:t>磋商</w:t>
      </w:r>
    </w:p>
    <w:p>
      <w:pPr>
        <w:spacing w:line="360" w:lineRule="auto"/>
        <w:ind w:firstLine="482" w:firstLineChars="200"/>
        <w:rPr>
          <w:rFonts w:hint="eastAsia" w:ascii="宋体" w:hAnsi="宋体" w:cs="宋体"/>
          <w:b/>
          <w:bCs/>
          <w:sz w:val="24"/>
        </w:rPr>
      </w:pPr>
      <w:r>
        <w:rPr>
          <w:rFonts w:hint="eastAsia" w:ascii="宋体" w:hAnsi="宋体" w:cs="宋体"/>
          <w:b/>
          <w:bCs/>
          <w:sz w:val="24"/>
        </w:rPr>
        <w:t>5.1 磋商时间和地点</w:t>
      </w:r>
    </w:p>
    <w:p>
      <w:pPr>
        <w:spacing w:line="360" w:lineRule="auto"/>
        <w:ind w:firstLine="480" w:firstLineChars="200"/>
        <w:rPr>
          <w:rFonts w:hint="eastAsia" w:ascii="宋体" w:hAnsi="宋体" w:cs="宋体"/>
          <w:sz w:val="24"/>
        </w:rPr>
      </w:pPr>
      <w:r>
        <w:rPr>
          <w:rFonts w:hint="eastAsia" w:ascii="宋体" w:hAnsi="宋体" w:cs="宋体"/>
          <w:sz w:val="24"/>
        </w:rPr>
        <w:t>见供应商须知前附表。</w:t>
      </w:r>
    </w:p>
    <w:p>
      <w:pPr>
        <w:spacing w:line="360" w:lineRule="auto"/>
        <w:ind w:firstLine="482" w:firstLineChars="200"/>
        <w:rPr>
          <w:rFonts w:hint="eastAsia" w:ascii="宋体" w:hAnsi="宋体" w:cs="宋体"/>
          <w:b/>
          <w:bCs/>
          <w:sz w:val="24"/>
        </w:rPr>
      </w:pPr>
      <w:r>
        <w:rPr>
          <w:rFonts w:hint="eastAsia" w:ascii="宋体" w:hAnsi="宋体" w:cs="宋体"/>
          <w:b/>
          <w:bCs/>
          <w:sz w:val="24"/>
        </w:rPr>
        <w:t>5.2磋商程序</w:t>
      </w:r>
    </w:p>
    <w:p>
      <w:pPr>
        <w:spacing w:line="360" w:lineRule="auto"/>
        <w:ind w:firstLine="480" w:firstLineChars="200"/>
        <w:rPr>
          <w:rFonts w:hint="eastAsia" w:ascii="宋体" w:hAnsi="宋体" w:cs="宋体"/>
          <w:sz w:val="24"/>
        </w:rPr>
      </w:pPr>
      <w:r>
        <w:rPr>
          <w:rFonts w:hint="eastAsia" w:ascii="宋体" w:hAnsi="宋体" w:cs="宋体"/>
          <w:sz w:val="24"/>
        </w:rPr>
        <w:t>主持人按下列程序进行磋商：</w:t>
      </w:r>
    </w:p>
    <w:p>
      <w:pPr>
        <w:spacing w:line="360" w:lineRule="auto"/>
        <w:ind w:firstLine="480" w:firstLineChars="200"/>
        <w:rPr>
          <w:rFonts w:hint="eastAsia" w:ascii="宋体" w:hAnsi="宋体" w:cs="宋体"/>
          <w:sz w:val="24"/>
        </w:rPr>
      </w:pPr>
      <w:r>
        <w:rPr>
          <w:rFonts w:hint="eastAsia" w:ascii="宋体" w:hAnsi="宋体" w:cs="宋体"/>
          <w:sz w:val="24"/>
        </w:rPr>
        <w:t>（1）宣布磋商项目名称及竞争性磋商响应文件接收截止时间，终止一切竞争性磋商响应文件的接收工作，并宣布磋商会议开始；</w:t>
      </w:r>
    </w:p>
    <w:p>
      <w:pPr>
        <w:spacing w:line="360" w:lineRule="auto"/>
        <w:ind w:firstLine="480" w:firstLineChars="200"/>
        <w:rPr>
          <w:rFonts w:hint="eastAsia" w:ascii="宋体" w:hAnsi="宋体" w:cs="宋体"/>
          <w:sz w:val="24"/>
        </w:rPr>
      </w:pPr>
      <w:r>
        <w:rPr>
          <w:rFonts w:hint="eastAsia" w:ascii="宋体" w:hAnsi="宋体" w:cs="宋体"/>
          <w:sz w:val="24"/>
        </w:rPr>
        <w:t>（2）介绍采购人、采购代理机构、采购监督管理部门和采购工作人员；</w:t>
      </w:r>
    </w:p>
    <w:p>
      <w:pPr>
        <w:spacing w:line="360" w:lineRule="auto"/>
        <w:ind w:firstLine="480" w:firstLineChars="200"/>
        <w:rPr>
          <w:rFonts w:hint="eastAsia" w:ascii="宋体" w:hAnsi="宋体" w:cs="宋体"/>
          <w:sz w:val="24"/>
        </w:rPr>
      </w:pPr>
      <w:r>
        <w:rPr>
          <w:rFonts w:hint="eastAsia" w:ascii="宋体" w:hAnsi="宋体" w:cs="宋体"/>
          <w:sz w:val="24"/>
        </w:rPr>
        <w:t>（3）宣布本项目供应商签到名单；</w:t>
      </w:r>
    </w:p>
    <w:p>
      <w:pPr>
        <w:spacing w:line="360" w:lineRule="auto"/>
        <w:ind w:firstLine="480" w:firstLineChars="200"/>
        <w:rPr>
          <w:rFonts w:hint="eastAsia" w:ascii="宋体" w:hAnsi="宋体" w:cs="宋体"/>
          <w:sz w:val="24"/>
        </w:rPr>
      </w:pPr>
      <w:r>
        <w:rPr>
          <w:rFonts w:hint="eastAsia" w:ascii="宋体" w:hAnsi="宋体" w:cs="宋体"/>
          <w:sz w:val="24"/>
        </w:rPr>
        <w:t>（4）宣布磋商会议纪律；</w:t>
      </w:r>
    </w:p>
    <w:p>
      <w:pPr>
        <w:spacing w:line="360" w:lineRule="auto"/>
        <w:ind w:firstLine="480" w:firstLineChars="200"/>
        <w:rPr>
          <w:rFonts w:hint="eastAsia" w:ascii="宋体" w:hAnsi="宋体" w:cs="宋体"/>
          <w:b/>
          <w:bCs/>
          <w:sz w:val="24"/>
        </w:rPr>
      </w:pPr>
      <w:r>
        <w:rPr>
          <w:rFonts w:hint="eastAsia" w:ascii="宋体" w:hAnsi="宋体" w:cs="宋体"/>
          <w:sz w:val="24"/>
        </w:rPr>
        <w:t>（5）监标人查验有关证书证件，</w:t>
      </w:r>
      <w:r>
        <w:rPr>
          <w:rFonts w:hint="eastAsia" w:ascii="宋体" w:hAnsi="宋体" w:cs="宋体"/>
          <w:b/>
          <w:bCs/>
          <w:sz w:val="24"/>
        </w:rPr>
        <w:t>证书证件原件为：合法有效的法人授权委托书原件（含法定代表人及被授权人身份证复印件）、被授权人身份证原件（法人参与磋商的需携带法人身份证原件及复印件一份并加盖公章）备注：以上证书证件由监标人在竞争性磋商会议现场审核，未按要求提供者，将按无效磋商处理。</w:t>
      </w:r>
    </w:p>
    <w:p>
      <w:pPr>
        <w:spacing w:line="360" w:lineRule="auto"/>
        <w:ind w:firstLine="480" w:firstLineChars="200"/>
        <w:rPr>
          <w:rFonts w:hint="eastAsia" w:ascii="宋体" w:hAnsi="宋体" w:cs="宋体"/>
          <w:sz w:val="24"/>
        </w:rPr>
      </w:pPr>
      <w:r>
        <w:rPr>
          <w:rFonts w:hint="eastAsia" w:ascii="宋体" w:hAnsi="宋体" w:cs="宋体"/>
          <w:sz w:val="24"/>
        </w:rPr>
        <w:t>（6）按照供应商须知前附表规定检查竞争性磋商响应文件的密封情况；</w:t>
      </w:r>
    </w:p>
    <w:p>
      <w:pPr>
        <w:spacing w:line="360" w:lineRule="auto"/>
        <w:ind w:firstLine="480" w:firstLineChars="200"/>
        <w:rPr>
          <w:rFonts w:hint="eastAsia" w:ascii="宋体" w:hAnsi="宋体" w:cs="宋体"/>
          <w:sz w:val="24"/>
        </w:rPr>
      </w:pPr>
      <w:r>
        <w:rPr>
          <w:rFonts w:hint="eastAsia" w:ascii="宋体" w:hAnsi="宋体" w:cs="宋体"/>
          <w:sz w:val="24"/>
        </w:rPr>
        <w:t>（7）在采购人（监标人）的监督下，将竞争性磋商响应文件送交磋商小组评审；</w:t>
      </w:r>
    </w:p>
    <w:p>
      <w:pPr>
        <w:spacing w:line="360" w:lineRule="auto"/>
        <w:ind w:firstLine="480" w:firstLineChars="200"/>
        <w:rPr>
          <w:rFonts w:hint="eastAsia" w:ascii="宋体" w:hAnsi="宋体" w:cs="宋体"/>
          <w:sz w:val="24"/>
        </w:rPr>
      </w:pPr>
      <w:r>
        <w:rPr>
          <w:rFonts w:hint="eastAsia" w:ascii="宋体" w:hAnsi="宋体" w:cs="宋体"/>
          <w:sz w:val="24"/>
        </w:rPr>
        <w:t>（8）磋商会议结束。</w:t>
      </w:r>
    </w:p>
    <w:p>
      <w:pPr>
        <w:spacing w:beforeLines="50" w:afterLines="50" w:line="360" w:lineRule="auto"/>
        <w:rPr>
          <w:rFonts w:hint="eastAsia" w:ascii="宋体" w:hAnsi="宋体" w:cs="宋体"/>
          <w:b/>
          <w:bCs/>
          <w:sz w:val="24"/>
        </w:rPr>
      </w:pPr>
      <w:bookmarkStart w:id="38" w:name="_Toc425240469"/>
      <w:bookmarkStart w:id="39" w:name="_Toc420591648"/>
      <w:bookmarkStart w:id="40" w:name="_Toc421778370"/>
      <w:r>
        <w:rPr>
          <w:rFonts w:hint="eastAsia" w:ascii="宋体" w:hAnsi="宋体" w:cs="宋体"/>
          <w:b/>
          <w:bCs/>
          <w:sz w:val="24"/>
        </w:rPr>
        <w:t>6．</w:t>
      </w:r>
      <w:bookmarkEnd w:id="38"/>
      <w:bookmarkEnd w:id="39"/>
      <w:bookmarkEnd w:id="40"/>
      <w:r>
        <w:rPr>
          <w:rFonts w:hint="eastAsia" w:ascii="宋体" w:hAnsi="宋体" w:cs="宋体"/>
          <w:b/>
          <w:bCs/>
          <w:sz w:val="24"/>
        </w:rPr>
        <w:t>评审</w:t>
      </w:r>
    </w:p>
    <w:p>
      <w:pPr>
        <w:spacing w:line="360" w:lineRule="auto"/>
        <w:ind w:firstLine="482" w:firstLineChars="200"/>
        <w:rPr>
          <w:rFonts w:hint="eastAsia" w:ascii="宋体" w:hAnsi="宋体" w:cs="宋体"/>
          <w:sz w:val="24"/>
        </w:rPr>
      </w:pPr>
      <w:r>
        <w:rPr>
          <w:rFonts w:hint="eastAsia" w:ascii="宋体" w:hAnsi="宋体" w:cs="宋体"/>
          <w:b/>
          <w:bCs/>
          <w:sz w:val="24"/>
        </w:rPr>
        <w:t>6.1 磋商小组</w:t>
      </w:r>
    </w:p>
    <w:p>
      <w:pPr>
        <w:spacing w:line="500" w:lineRule="exact"/>
        <w:ind w:firstLine="480" w:firstLineChars="200"/>
        <w:rPr>
          <w:rFonts w:hint="eastAsia" w:ascii="宋体" w:hAnsi="宋体" w:cs="宋体"/>
          <w:sz w:val="24"/>
        </w:rPr>
      </w:pPr>
      <w:r>
        <w:rPr>
          <w:rFonts w:hint="eastAsia" w:ascii="宋体" w:hAnsi="宋体" w:cs="宋体"/>
          <w:sz w:val="24"/>
        </w:rPr>
        <w:t xml:space="preserve"> 评审由采购人依法组建的磋商小组负责。磋商小组由采购人代表和具备相关专业的专家成员组成，人数应当为3人以上单数，其中采购人代表须持有授权书。磋商小组按照竞争性磋商文件规定的评审方法独立进行评审工作。</w:t>
      </w:r>
    </w:p>
    <w:p>
      <w:pPr>
        <w:spacing w:line="360" w:lineRule="auto"/>
        <w:ind w:firstLine="482" w:firstLineChars="200"/>
        <w:rPr>
          <w:rFonts w:hint="eastAsia" w:ascii="宋体" w:hAnsi="宋体" w:cs="宋体"/>
          <w:b/>
          <w:bCs/>
          <w:sz w:val="24"/>
        </w:rPr>
      </w:pPr>
      <w:r>
        <w:rPr>
          <w:rFonts w:hint="eastAsia" w:ascii="宋体" w:hAnsi="宋体" w:cs="宋体"/>
          <w:b/>
          <w:bCs/>
          <w:sz w:val="24"/>
        </w:rPr>
        <w:t>6.2 评审原则</w:t>
      </w:r>
    </w:p>
    <w:p>
      <w:pPr>
        <w:spacing w:line="360" w:lineRule="auto"/>
        <w:ind w:firstLine="480" w:firstLineChars="200"/>
        <w:rPr>
          <w:rFonts w:hint="eastAsia" w:ascii="宋体" w:hAnsi="宋体" w:cs="宋体"/>
          <w:sz w:val="24"/>
        </w:rPr>
      </w:pPr>
      <w:r>
        <w:rPr>
          <w:rFonts w:hint="eastAsia" w:ascii="宋体" w:hAnsi="宋体" w:cs="宋体"/>
          <w:sz w:val="24"/>
        </w:rPr>
        <w:t>评审活动遵循公平、公正、科学和择优的原则。</w:t>
      </w:r>
    </w:p>
    <w:p>
      <w:pPr>
        <w:spacing w:line="360" w:lineRule="auto"/>
        <w:ind w:firstLine="482" w:firstLineChars="200"/>
        <w:rPr>
          <w:rFonts w:hint="eastAsia" w:ascii="宋体" w:hAnsi="宋体" w:cs="宋体"/>
          <w:b/>
          <w:bCs/>
          <w:sz w:val="24"/>
        </w:rPr>
      </w:pPr>
      <w:r>
        <w:rPr>
          <w:rFonts w:hint="eastAsia" w:ascii="宋体" w:hAnsi="宋体" w:cs="宋体"/>
          <w:b/>
          <w:bCs/>
          <w:sz w:val="24"/>
        </w:rPr>
        <w:t>6.3 评审</w:t>
      </w:r>
    </w:p>
    <w:p>
      <w:pPr>
        <w:spacing w:line="360" w:lineRule="auto"/>
        <w:ind w:firstLine="480" w:firstLineChars="200"/>
        <w:rPr>
          <w:rFonts w:hint="eastAsia" w:ascii="宋体" w:hAnsi="宋体" w:cs="宋体"/>
          <w:sz w:val="24"/>
        </w:rPr>
      </w:pPr>
      <w:r>
        <w:rPr>
          <w:rFonts w:hint="eastAsia" w:ascii="宋体" w:hAnsi="宋体" w:cs="宋体"/>
          <w:sz w:val="24"/>
        </w:rPr>
        <w:t>6.3.1竞争性磋商文件和竞争性磋商响应文件是评审的依据。在评审中，不得改变竞争性磋商文件中规定的评审标准、方法和成交条件。</w:t>
      </w:r>
    </w:p>
    <w:p>
      <w:pPr>
        <w:spacing w:line="360" w:lineRule="auto"/>
        <w:ind w:firstLine="480" w:firstLineChars="200"/>
        <w:rPr>
          <w:rFonts w:hint="eastAsia" w:ascii="宋体" w:hAnsi="宋体" w:cs="宋体"/>
          <w:sz w:val="24"/>
        </w:rPr>
      </w:pPr>
      <w:r>
        <w:rPr>
          <w:rFonts w:hint="eastAsia" w:ascii="宋体" w:hAnsi="宋体" w:cs="宋体"/>
          <w:sz w:val="24"/>
        </w:rPr>
        <w:t>6.3.2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pacing w:line="360" w:lineRule="auto"/>
        <w:ind w:firstLine="480" w:firstLineChars="200"/>
        <w:rPr>
          <w:rFonts w:hint="eastAsia" w:ascii="宋体" w:hAnsi="宋体" w:cs="宋体"/>
          <w:sz w:val="24"/>
        </w:rPr>
      </w:pPr>
      <w:r>
        <w:rPr>
          <w:rFonts w:hint="eastAsia" w:ascii="宋体" w:hAnsi="宋体" w:cs="宋体"/>
          <w:sz w:val="24"/>
        </w:rPr>
        <w:t>6.3.3如果供应商在澄清规定期限内，未能答复或拒绝答复磋商小组提出的澄清要求，将由磋商小组根据其竞争性磋商响应文件按最大风险进行评审。</w:t>
      </w:r>
    </w:p>
    <w:p>
      <w:pPr>
        <w:spacing w:line="360" w:lineRule="auto"/>
        <w:ind w:firstLine="480" w:firstLineChars="200"/>
        <w:rPr>
          <w:rFonts w:hint="eastAsia" w:ascii="宋体" w:hAnsi="宋体" w:cs="宋体"/>
          <w:sz w:val="24"/>
        </w:rPr>
      </w:pPr>
      <w:r>
        <w:rPr>
          <w:rFonts w:hint="eastAsia" w:ascii="宋体" w:hAnsi="宋体" w:cs="宋体"/>
          <w:sz w:val="24"/>
        </w:rPr>
        <w:t>6.3.4磋商过程中的实质性变动：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6.3.4.1在磋商过程中，磋商小组可以根据竞争性磋商文件和磋商情况在最终报价之前实质性变动采购需求中的技术、服务要求以及合同草案条款，但不得变动竞争性磋商文件中的其他内容。实质性变动的内容，须经采购人代表确认。</w:t>
      </w:r>
    </w:p>
    <w:p>
      <w:pPr>
        <w:spacing w:line="360" w:lineRule="auto"/>
        <w:ind w:firstLine="480" w:firstLineChars="200"/>
        <w:rPr>
          <w:rFonts w:hint="eastAsia" w:ascii="宋体" w:hAnsi="宋体" w:cs="宋体"/>
          <w:sz w:val="24"/>
        </w:rPr>
      </w:pPr>
      <w:r>
        <w:rPr>
          <w:rFonts w:hint="eastAsia" w:ascii="宋体" w:hAnsi="宋体" w:cs="宋体"/>
          <w:sz w:val="24"/>
        </w:rPr>
        <w:t>6.3.4.2对竞争性磋商文件做出的实质性变动是竞争性磋商文件的有效组成部分，磋商小组应当及时以书面形式通知所有参加磋商的供应商。</w:t>
      </w:r>
    </w:p>
    <w:p>
      <w:pPr>
        <w:spacing w:line="360" w:lineRule="auto"/>
        <w:ind w:firstLine="480" w:firstLineChars="200"/>
        <w:rPr>
          <w:rFonts w:hint="eastAsia" w:ascii="宋体" w:hAnsi="宋体" w:cs="宋体"/>
          <w:sz w:val="24"/>
        </w:rPr>
      </w:pPr>
      <w:r>
        <w:rPr>
          <w:rFonts w:hint="eastAsia" w:ascii="宋体" w:hAnsi="宋体" w:cs="宋体"/>
          <w:sz w:val="24"/>
        </w:rPr>
        <w:t>6.3.5竞争性磋商响应文件的初审（含资格性审查和符合性审查）</w:t>
      </w:r>
    </w:p>
    <w:p>
      <w:pPr>
        <w:spacing w:line="360" w:lineRule="auto"/>
        <w:ind w:firstLine="480" w:firstLineChars="200"/>
        <w:rPr>
          <w:rFonts w:hint="eastAsia" w:ascii="宋体" w:hAnsi="宋体" w:cs="宋体"/>
          <w:sz w:val="24"/>
        </w:rPr>
      </w:pPr>
      <w:r>
        <w:rPr>
          <w:rFonts w:hint="eastAsia" w:ascii="宋体" w:hAnsi="宋体" w:cs="宋体"/>
          <w:sz w:val="24"/>
        </w:rPr>
        <w:t>6.3.5.1磋商小组将审查竞争性磋商响应文件是否完整、资格证明文件是否齐全，磋商保证金是否合格、有无计算上的错误等。</w:t>
      </w:r>
    </w:p>
    <w:p>
      <w:pPr>
        <w:spacing w:line="360" w:lineRule="auto"/>
        <w:ind w:firstLine="480" w:firstLineChars="200"/>
        <w:rPr>
          <w:rFonts w:hint="eastAsia" w:ascii="宋体" w:hAnsi="宋体" w:cs="宋体"/>
          <w:sz w:val="24"/>
        </w:rPr>
      </w:pPr>
      <w:r>
        <w:rPr>
          <w:rFonts w:hint="eastAsia" w:ascii="宋体" w:hAnsi="宋体" w:cs="宋体"/>
          <w:sz w:val="24"/>
        </w:rPr>
        <w:t>6.3.5.2计算错误将按以下方法更正：</w:t>
      </w:r>
    </w:p>
    <w:p>
      <w:pPr>
        <w:spacing w:line="360" w:lineRule="auto"/>
        <w:ind w:firstLine="480" w:firstLineChars="200"/>
        <w:rPr>
          <w:rFonts w:hint="eastAsia" w:ascii="宋体" w:hAnsi="宋体" w:cs="宋体"/>
          <w:sz w:val="24"/>
        </w:rPr>
      </w:pPr>
      <w:r>
        <w:rPr>
          <w:rFonts w:hint="eastAsia" w:ascii="宋体" w:hAnsi="宋体" w:cs="宋体"/>
          <w:sz w:val="24"/>
        </w:rPr>
        <w:t>（1）竞争性磋商响应文件中磋商报价表(报价表)内容与竞争性磋商响应文件中相应内容不一致的，以磋商报价表(报价表)为准；</w:t>
      </w:r>
    </w:p>
    <w:p>
      <w:pPr>
        <w:spacing w:line="360" w:lineRule="auto"/>
        <w:ind w:firstLine="480" w:firstLineChars="200"/>
        <w:rPr>
          <w:rFonts w:hint="eastAsia" w:ascii="宋体" w:hAnsi="宋体" w:cs="宋体"/>
          <w:sz w:val="24"/>
        </w:rPr>
      </w:pPr>
      <w:r>
        <w:rPr>
          <w:rFonts w:hint="eastAsia" w:ascii="宋体" w:hAnsi="宋体" w:cs="宋体"/>
          <w:sz w:val="24"/>
        </w:rPr>
        <w:t>（2）竞争性磋商响应文件的大写金额和小写金额不一致的，以大写金额为准；</w:t>
      </w:r>
    </w:p>
    <w:p>
      <w:pPr>
        <w:spacing w:line="360" w:lineRule="auto"/>
        <w:ind w:firstLine="480" w:firstLineChars="200"/>
        <w:rPr>
          <w:rFonts w:hint="eastAsia" w:ascii="宋体" w:hAnsi="宋体" w:cs="宋体"/>
          <w:sz w:val="24"/>
        </w:rPr>
      </w:pPr>
      <w:r>
        <w:rPr>
          <w:rFonts w:hint="eastAsia" w:ascii="宋体" w:hAnsi="宋体" w:cs="宋体"/>
          <w:sz w:val="24"/>
        </w:rPr>
        <w:t>（3）单价金额小数点或者百分比有明显错位的，以磋商报价表的总价为准，并修改单价；</w:t>
      </w:r>
    </w:p>
    <w:p>
      <w:pPr>
        <w:spacing w:line="360" w:lineRule="auto"/>
        <w:ind w:firstLine="480" w:firstLineChars="200"/>
        <w:rPr>
          <w:rFonts w:hint="eastAsia" w:ascii="宋体" w:hAnsi="宋体" w:cs="宋体"/>
          <w:sz w:val="24"/>
        </w:rPr>
      </w:pPr>
      <w:r>
        <w:rPr>
          <w:rFonts w:hint="eastAsia" w:ascii="宋体" w:hAnsi="宋体" w:cs="宋体"/>
          <w:sz w:val="24"/>
        </w:rPr>
        <w:t>（4）总价金额与按单价汇总金额不一致的，以单价金额计算结果为准；</w:t>
      </w:r>
    </w:p>
    <w:p>
      <w:pPr>
        <w:spacing w:line="360" w:lineRule="auto"/>
        <w:ind w:firstLine="480" w:firstLineChars="200"/>
        <w:rPr>
          <w:rFonts w:hint="eastAsia" w:ascii="宋体" w:hAnsi="宋体" w:cs="宋体"/>
          <w:sz w:val="24"/>
        </w:rPr>
      </w:pPr>
      <w:r>
        <w:rPr>
          <w:rFonts w:hint="eastAsia" w:ascii="宋体" w:hAnsi="宋体" w:cs="宋体"/>
          <w:sz w:val="24"/>
        </w:rPr>
        <w:t>按上述修正的顺序和方法调整的报价应对供应商具有约束力。如果供应商不接受修正后的价格，其响应文件将按无效响应处理。</w:t>
      </w:r>
    </w:p>
    <w:p>
      <w:pPr>
        <w:spacing w:line="360" w:lineRule="auto"/>
        <w:ind w:firstLine="480" w:firstLineChars="200"/>
        <w:rPr>
          <w:rFonts w:hint="eastAsia" w:ascii="宋体" w:hAnsi="宋体" w:cs="宋体"/>
          <w:sz w:val="24"/>
        </w:rPr>
      </w:pPr>
      <w:r>
        <w:rPr>
          <w:rFonts w:hint="eastAsia" w:ascii="宋体" w:hAnsi="宋体" w:cs="宋体"/>
          <w:sz w:val="24"/>
        </w:rPr>
        <w:t>6.3.5.3对于竞争性磋商响应文件中明显的标点符号错误或不构成实质性偏差的不正规、不一致或不规则，采购人可以接受。</w:t>
      </w:r>
    </w:p>
    <w:p>
      <w:pPr>
        <w:spacing w:line="360" w:lineRule="auto"/>
        <w:ind w:firstLine="480" w:firstLineChars="200"/>
        <w:rPr>
          <w:rFonts w:hint="eastAsia" w:ascii="宋体" w:hAnsi="宋体" w:cs="宋体"/>
          <w:sz w:val="24"/>
        </w:rPr>
      </w:pPr>
      <w:r>
        <w:rPr>
          <w:rFonts w:hint="eastAsia" w:ascii="宋体" w:hAnsi="宋体" w:cs="宋体"/>
          <w:sz w:val="24"/>
        </w:rPr>
        <w:t>6.3.5.4在详细评审之前，根据本须知第6.3.5.5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竞争性磋商响应文件本身的内容，而不寻求外部的证据。</w:t>
      </w:r>
    </w:p>
    <w:p>
      <w:pPr>
        <w:spacing w:line="360" w:lineRule="auto"/>
        <w:ind w:firstLine="480" w:firstLineChars="200"/>
        <w:rPr>
          <w:rFonts w:hint="eastAsia" w:ascii="宋体" w:hAnsi="宋体" w:cs="宋体"/>
          <w:sz w:val="24"/>
        </w:rPr>
      </w:pPr>
      <w:r>
        <w:rPr>
          <w:rFonts w:hint="eastAsia" w:ascii="宋体" w:hAnsi="宋体" w:cs="宋体"/>
          <w:sz w:val="24"/>
        </w:rPr>
        <w:t>6.3.5.5实质上没有响应竞争性磋商文件要求的磋商将被拒绝。供应商不得通过修正或撤销不合要求的偏离从而使其磋商成为实质性响应的磋商。如发现下列情况之一的，其磋商将构成非实质性响应，按无效磋商处理：</w:t>
      </w:r>
    </w:p>
    <w:p>
      <w:pPr>
        <w:tabs>
          <w:tab w:val="left" w:pos="1260"/>
        </w:tabs>
        <w:spacing w:line="360" w:lineRule="auto"/>
        <w:ind w:firstLine="480" w:firstLineChars="200"/>
        <w:rPr>
          <w:rFonts w:hint="eastAsia" w:ascii="宋体" w:hAnsi="宋体" w:cs="宋体"/>
          <w:sz w:val="24"/>
        </w:rPr>
      </w:pPr>
      <w:r>
        <w:rPr>
          <w:rFonts w:hint="eastAsia" w:ascii="宋体" w:hAnsi="宋体" w:cs="宋体"/>
          <w:sz w:val="24"/>
        </w:rPr>
        <w:t>1）未加盖供应商公章及法定代表人或法定代表人授权的代理人签字或盖章的；</w:t>
      </w:r>
    </w:p>
    <w:p>
      <w:pPr>
        <w:tabs>
          <w:tab w:val="left" w:pos="1260"/>
        </w:tabs>
        <w:spacing w:line="360" w:lineRule="auto"/>
        <w:ind w:firstLine="480" w:firstLineChars="200"/>
        <w:rPr>
          <w:rFonts w:hint="eastAsia" w:ascii="宋体" w:hAnsi="宋体" w:cs="宋体"/>
          <w:sz w:val="24"/>
        </w:rPr>
      </w:pPr>
      <w:r>
        <w:rPr>
          <w:rFonts w:hint="eastAsia" w:ascii="宋体" w:hAnsi="宋体" w:cs="宋体"/>
          <w:sz w:val="24"/>
        </w:rPr>
        <w:t>2）未按磋商文件规定的格式填写，或者关键内容不全或关键字迹模糊、无法辨认的；</w:t>
      </w:r>
    </w:p>
    <w:p>
      <w:pPr>
        <w:tabs>
          <w:tab w:val="left" w:pos="1260"/>
        </w:tabs>
        <w:spacing w:line="360" w:lineRule="auto"/>
        <w:ind w:firstLine="480" w:firstLineChars="200"/>
        <w:rPr>
          <w:rFonts w:hint="eastAsia" w:ascii="宋体" w:hAnsi="宋体" w:cs="宋体"/>
          <w:sz w:val="24"/>
        </w:rPr>
      </w:pPr>
      <w:r>
        <w:rPr>
          <w:rFonts w:hint="eastAsia" w:ascii="宋体" w:hAnsi="宋体" w:cs="宋体"/>
          <w:sz w:val="24"/>
        </w:rPr>
        <w:t>3）供应商递交两份或多份内容不同的磋商响应文件，或在一份磋商响应文件中对同一招标项目有两个或多个报价的；</w:t>
      </w:r>
    </w:p>
    <w:p>
      <w:pPr>
        <w:tabs>
          <w:tab w:val="left" w:pos="1260"/>
        </w:tabs>
        <w:spacing w:line="360" w:lineRule="auto"/>
        <w:ind w:firstLine="480" w:firstLineChars="200"/>
        <w:rPr>
          <w:rFonts w:hint="eastAsia" w:ascii="宋体" w:hAnsi="宋体" w:cs="宋体"/>
          <w:sz w:val="24"/>
        </w:rPr>
      </w:pPr>
      <w:r>
        <w:rPr>
          <w:rFonts w:hint="eastAsia" w:ascii="宋体" w:hAnsi="宋体" w:cs="宋体"/>
          <w:sz w:val="24"/>
        </w:rPr>
        <w:t>4）供应商名称或组织结构与备案不一致的；</w:t>
      </w:r>
    </w:p>
    <w:p>
      <w:pPr>
        <w:tabs>
          <w:tab w:val="left" w:pos="1260"/>
        </w:tabs>
        <w:spacing w:line="360" w:lineRule="auto"/>
        <w:ind w:firstLine="480" w:firstLineChars="200"/>
        <w:rPr>
          <w:rFonts w:hint="eastAsia" w:ascii="宋体" w:hAnsi="宋体" w:cs="宋体"/>
          <w:sz w:val="24"/>
        </w:rPr>
      </w:pPr>
      <w:r>
        <w:rPr>
          <w:rFonts w:hint="eastAsia" w:ascii="宋体" w:hAnsi="宋体" w:cs="宋体"/>
          <w:sz w:val="24"/>
        </w:rPr>
        <w:t>5）磋商总报价超过竞争性磋商文件公布的采购预算（或最高限价）；</w:t>
      </w:r>
    </w:p>
    <w:p>
      <w:pPr>
        <w:tabs>
          <w:tab w:val="left" w:pos="1260"/>
        </w:tabs>
        <w:spacing w:line="360" w:lineRule="auto"/>
        <w:ind w:firstLine="480" w:firstLineChars="200"/>
        <w:rPr>
          <w:rFonts w:hint="eastAsia" w:ascii="宋体" w:hAnsi="宋体" w:cs="宋体"/>
          <w:sz w:val="24"/>
        </w:rPr>
      </w:pPr>
      <w:r>
        <w:rPr>
          <w:rFonts w:hint="eastAsia" w:ascii="宋体" w:hAnsi="宋体" w:cs="宋体"/>
          <w:sz w:val="24"/>
        </w:rPr>
        <w:t>6）未实质性响应磋商文件要求的；</w:t>
      </w:r>
    </w:p>
    <w:p>
      <w:pPr>
        <w:tabs>
          <w:tab w:val="left" w:pos="1260"/>
        </w:tabs>
        <w:spacing w:line="360" w:lineRule="auto"/>
        <w:ind w:firstLine="480" w:firstLineChars="200"/>
        <w:rPr>
          <w:rFonts w:hint="eastAsia" w:ascii="宋体" w:hAnsi="宋体" w:cs="宋体"/>
          <w:sz w:val="24"/>
        </w:rPr>
      </w:pPr>
      <w:r>
        <w:rPr>
          <w:rFonts w:hint="eastAsia" w:ascii="宋体" w:hAnsi="宋体" w:cs="宋体"/>
          <w:sz w:val="24"/>
        </w:rPr>
        <w:t>7）串通投标或弄虚作假或其他违法行为的；</w:t>
      </w:r>
    </w:p>
    <w:p>
      <w:pPr>
        <w:tabs>
          <w:tab w:val="left" w:pos="1260"/>
        </w:tabs>
        <w:spacing w:line="360" w:lineRule="auto"/>
        <w:ind w:firstLine="480" w:firstLineChars="200"/>
        <w:rPr>
          <w:rFonts w:hint="eastAsia" w:ascii="宋体" w:hAnsi="宋体" w:cs="宋体"/>
          <w:sz w:val="24"/>
        </w:rPr>
      </w:pPr>
      <w:r>
        <w:rPr>
          <w:rFonts w:hint="eastAsia" w:ascii="宋体" w:hAnsi="宋体" w:cs="宋体"/>
          <w:sz w:val="24"/>
        </w:rPr>
        <w:t>8）法律、法规及行业有规定的其他情形；</w:t>
      </w:r>
    </w:p>
    <w:p>
      <w:pPr>
        <w:spacing w:line="360" w:lineRule="auto"/>
        <w:ind w:firstLine="480" w:firstLineChars="200"/>
        <w:rPr>
          <w:rFonts w:hint="eastAsia" w:ascii="宋体" w:hAnsi="宋体" w:cs="宋体"/>
          <w:sz w:val="24"/>
        </w:rPr>
      </w:pPr>
      <w:r>
        <w:rPr>
          <w:rFonts w:hint="eastAsia" w:ascii="宋体" w:hAnsi="宋体" w:cs="宋体"/>
          <w:sz w:val="24"/>
        </w:rPr>
        <w:t>6.3.6竞争性磋商响应文件的详细评审</w:t>
      </w:r>
    </w:p>
    <w:p>
      <w:pPr>
        <w:spacing w:line="360" w:lineRule="auto"/>
        <w:ind w:firstLine="480" w:firstLineChars="200"/>
        <w:rPr>
          <w:rFonts w:hint="eastAsia" w:ascii="宋体" w:hAnsi="宋体" w:cs="宋体"/>
          <w:sz w:val="24"/>
        </w:rPr>
      </w:pPr>
      <w:r>
        <w:rPr>
          <w:rFonts w:hint="eastAsia" w:ascii="宋体" w:hAnsi="宋体" w:cs="宋体"/>
          <w:sz w:val="24"/>
        </w:rPr>
        <w:t>6.3.6.1磋商小组将按照本须知第6.3.5.5条规定，只对确定为实质性响应竞争性磋商文件要求的竞争性磋商响应文件进行详细评审。</w:t>
      </w:r>
    </w:p>
    <w:p>
      <w:pPr>
        <w:spacing w:line="360" w:lineRule="auto"/>
        <w:ind w:firstLine="480" w:firstLineChars="200"/>
        <w:rPr>
          <w:rFonts w:hint="eastAsia" w:ascii="宋体" w:hAnsi="宋体" w:cs="宋体"/>
          <w:sz w:val="24"/>
        </w:rPr>
      </w:pPr>
      <w:r>
        <w:rPr>
          <w:rFonts w:hint="eastAsia" w:ascii="宋体" w:hAnsi="宋体" w:cs="宋体"/>
          <w:sz w:val="24"/>
        </w:rPr>
        <w:t>6.3.6.2详细评审按照“第三章 评审方法”的要求进行。</w:t>
      </w:r>
    </w:p>
    <w:p>
      <w:pPr>
        <w:spacing w:line="360" w:lineRule="auto"/>
        <w:ind w:firstLine="480" w:firstLineChars="200"/>
        <w:rPr>
          <w:rFonts w:hint="eastAsia" w:ascii="宋体" w:hAnsi="宋体" w:cs="宋体"/>
          <w:sz w:val="24"/>
        </w:rPr>
      </w:pPr>
      <w:r>
        <w:rPr>
          <w:rFonts w:hint="eastAsia" w:ascii="宋体" w:hAnsi="宋体" w:cs="宋体"/>
          <w:sz w:val="24"/>
        </w:rPr>
        <w:t>6.3.7成交候选人的确定</w:t>
      </w:r>
    </w:p>
    <w:p>
      <w:pPr>
        <w:spacing w:line="360" w:lineRule="auto"/>
        <w:ind w:firstLine="480" w:firstLineChars="200"/>
        <w:rPr>
          <w:rFonts w:hint="eastAsia" w:ascii="宋体" w:hAnsi="宋体" w:cs="宋体"/>
          <w:sz w:val="24"/>
        </w:rPr>
      </w:pPr>
      <w:r>
        <w:rPr>
          <w:rFonts w:hint="eastAsia" w:ascii="宋体" w:hAnsi="宋体" w:cs="宋体"/>
          <w:sz w:val="24"/>
        </w:rPr>
        <w:t>磋商小组完成评审后，向采购人提出书面评审，并推荐3名成交候选人，标明排列顺序。</w:t>
      </w:r>
    </w:p>
    <w:p>
      <w:pPr>
        <w:spacing w:line="360" w:lineRule="auto"/>
        <w:ind w:firstLine="480" w:firstLineChars="200"/>
        <w:rPr>
          <w:rFonts w:hint="eastAsia" w:ascii="宋体" w:hAnsi="宋体" w:cs="宋体"/>
          <w:sz w:val="24"/>
        </w:rPr>
      </w:pPr>
      <w:r>
        <w:rPr>
          <w:rFonts w:hint="eastAsia" w:ascii="宋体" w:hAnsi="宋体" w:cs="宋体"/>
          <w:sz w:val="24"/>
        </w:rPr>
        <w:t>6.3.8评审过程的保密</w:t>
      </w:r>
    </w:p>
    <w:p>
      <w:pPr>
        <w:spacing w:line="360" w:lineRule="auto"/>
        <w:ind w:firstLine="480" w:firstLineChars="200"/>
        <w:rPr>
          <w:rFonts w:hint="eastAsia" w:ascii="宋体" w:hAnsi="宋体" w:cs="宋体"/>
          <w:sz w:val="24"/>
        </w:rPr>
      </w:pPr>
      <w:bookmarkStart w:id="41" w:name="_Toc425240470"/>
      <w:bookmarkStart w:id="42" w:name="_Toc421778371"/>
      <w:bookmarkStart w:id="43" w:name="_Toc420591649"/>
      <w:r>
        <w:rPr>
          <w:rFonts w:hint="eastAsia" w:ascii="宋体" w:hAnsi="宋体" w:cs="宋体"/>
          <w:sz w:val="24"/>
        </w:rPr>
        <w:t>磋商小组成员和与评审活动有关的工作人员不得泄露有关竞争性磋商响应文件的评审和比较、成交候选人的推荐以及与评审有关的其他情况。</w:t>
      </w:r>
    </w:p>
    <w:p>
      <w:pPr>
        <w:spacing w:line="360" w:lineRule="auto"/>
        <w:ind w:firstLine="480" w:firstLineChars="200"/>
        <w:rPr>
          <w:rFonts w:hint="eastAsia" w:ascii="宋体" w:hAnsi="宋体" w:cs="宋体"/>
          <w:sz w:val="24"/>
        </w:rPr>
      </w:pPr>
      <w:r>
        <w:rPr>
          <w:rFonts w:hint="eastAsia" w:ascii="宋体" w:hAnsi="宋体" w:cs="宋体"/>
          <w:sz w:val="24"/>
        </w:rPr>
        <w:t>6.3.9评审程序</w:t>
      </w:r>
    </w:p>
    <w:p>
      <w:pPr>
        <w:spacing w:line="360" w:lineRule="auto"/>
        <w:ind w:firstLine="480" w:firstLineChars="200"/>
        <w:rPr>
          <w:rFonts w:hint="eastAsia" w:ascii="宋体" w:hAnsi="宋体" w:cs="宋体"/>
          <w:sz w:val="24"/>
        </w:rPr>
      </w:pPr>
      <w:r>
        <w:rPr>
          <w:rFonts w:hint="eastAsia" w:ascii="宋体" w:hAnsi="宋体" w:cs="宋体"/>
          <w:sz w:val="24"/>
        </w:rPr>
        <w:t>按照竞争性磋商响应文件初审、澄清有关问题、分别磋商、最后报价、比较与评审、推荐成交候选人名单的工作程序进行评审。在上一步评审中被认定为无效磋商者，不进入下一步的评审。</w:t>
      </w:r>
    </w:p>
    <w:p>
      <w:pPr>
        <w:spacing w:beforeLines="50" w:afterLines="50" w:line="360" w:lineRule="auto"/>
        <w:rPr>
          <w:rFonts w:hint="eastAsia" w:ascii="宋体" w:hAnsi="宋体" w:cs="宋体"/>
          <w:b/>
          <w:bCs/>
          <w:sz w:val="24"/>
        </w:rPr>
      </w:pPr>
      <w:r>
        <w:rPr>
          <w:rFonts w:hint="eastAsia" w:ascii="宋体" w:hAnsi="宋体" w:cs="宋体"/>
          <w:b/>
          <w:bCs/>
          <w:sz w:val="24"/>
        </w:rPr>
        <w:t>7．合同授予</w:t>
      </w:r>
      <w:bookmarkEnd w:id="41"/>
      <w:bookmarkEnd w:id="42"/>
      <w:bookmarkEnd w:id="43"/>
    </w:p>
    <w:p>
      <w:pPr>
        <w:spacing w:line="360" w:lineRule="auto"/>
        <w:ind w:firstLine="482" w:firstLineChars="200"/>
        <w:rPr>
          <w:rFonts w:hint="eastAsia" w:ascii="宋体" w:hAnsi="宋体" w:cs="宋体"/>
          <w:b/>
          <w:bCs/>
          <w:sz w:val="24"/>
        </w:rPr>
      </w:pPr>
      <w:r>
        <w:rPr>
          <w:rFonts w:hint="eastAsia" w:ascii="宋体" w:hAnsi="宋体" w:cs="宋体"/>
          <w:b/>
          <w:bCs/>
          <w:sz w:val="24"/>
        </w:rPr>
        <w:t>7.1 定标方式</w:t>
      </w:r>
    </w:p>
    <w:p>
      <w:pPr>
        <w:spacing w:line="360" w:lineRule="auto"/>
        <w:ind w:firstLine="480" w:firstLineChars="200"/>
        <w:rPr>
          <w:rFonts w:hint="eastAsia" w:ascii="宋体" w:hAnsi="宋体" w:cs="宋体"/>
          <w:sz w:val="24"/>
        </w:rPr>
      </w:pPr>
      <w:r>
        <w:rPr>
          <w:rFonts w:hint="eastAsia" w:ascii="宋体" w:hAnsi="宋体" w:cs="宋体"/>
          <w:sz w:val="24"/>
        </w:rPr>
        <w:t>7.1.1磋商小组根据评审方法的规定对供应商进行评审排序，推荐3名成交候选人，作为评审结果。评审结果由全体磋商小组成员签字确认。</w:t>
      </w:r>
    </w:p>
    <w:p>
      <w:pPr>
        <w:spacing w:line="360" w:lineRule="auto"/>
        <w:ind w:firstLine="480" w:firstLineChars="200"/>
        <w:rPr>
          <w:rFonts w:hint="eastAsia" w:ascii="宋体" w:hAnsi="宋体" w:cs="宋体"/>
          <w:sz w:val="24"/>
        </w:rPr>
      </w:pPr>
      <w:r>
        <w:rPr>
          <w:rFonts w:hint="eastAsia" w:ascii="宋体" w:hAnsi="宋体" w:cs="宋体"/>
          <w:sz w:val="24"/>
        </w:rPr>
        <w:t>7.1.2采购人根据评审报告中推荐的成交候选人排列顺序，确定排名第一的为成交供应商。</w:t>
      </w:r>
    </w:p>
    <w:p>
      <w:pPr>
        <w:spacing w:line="360" w:lineRule="auto"/>
        <w:ind w:firstLine="480" w:firstLineChars="200"/>
        <w:rPr>
          <w:rFonts w:hint="eastAsia" w:ascii="宋体" w:hAnsi="宋体" w:cs="宋体"/>
          <w:sz w:val="24"/>
        </w:rPr>
      </w:pPr>
      <w:r>
        <w:rPr>
          <w:rFonts w:hint="eastAsia" w:ascii="宋体" w:hAnsi="宋体" w:cs="宋体"/>
          <w:sz w:val="24"/>
        </w:rPr>
        <w:t>7.1.3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spacing w:line="360" w:lineRule="auto"/>
        <w:ind w:firstLine="480" w:firstLineChars="200"/>
        <w:rPr>
          <w:rFonts w:hint="eastAsia" w:ascii="宋体" w:hAnsi="宋体" w:cs="宋体"/>
          <w:sz w:val="24"/>
        </w:rPr>
      </w:pPr>
      <w:r>
        <w:rPr>
          <w:rFonts w:hint="eastAsia" w:ascii="宋体" w:hAnsi="宋体" w:cs="宋体"/>
          <w:sz w:val="24"/>
        </w:rPr>
        <w:t>7.1.4采购人也可以授权磋商小组评审后直接确定成交供应商。</w:t>
      </w:r>
    </w:p>
    <w:p>
      <w:pPr>
        <w:spacing w:line="360" w:lineRule="auto"/>
        <w:ind w:firstLine="480" w:firstLineChars="200"/>
        <w:rPr>
          <w:rFonts w:hint="eastAsia" w:ascii="宋体" w:hAnsi="宋体" w:cs="宋体"/>
          <w:sz w:val="24"/>
        </w:rPr>
      </w:pPr>
      <w:r>
        <w:rPr>
          <w:rFonts w:hint="eastAsia" w:ascii="宋体" w:hAnsi="宋体" w:cs="宋体"/>
          <w:sz w:val="24"/>
        </w:rPr>
        <w:t>7.1.5成交供应商确定之后，成交结果将在财政部门指定的政府采购信息发布媒体上公告。</w:t>
      </w:r>
    </w:p>
    <w:p>
      <w:pPr>
        <w:spacing w:line="360" w:lineRule="auto"/>
        <w:ind w:firstLine="480" w:firstLineChars="200"/>
        <w:rPr>
          <w:rFonts w:hint="eastAsia" w:ascii="宋体" w:hAnsi="宋体" w:cs="宋体"/>
          <w:sz w:val="24"/>
        </w:rPr>
      </w:pPr>
      <w:r>
        <w:rPr>
          <w:rFonts w:hint="eastAsia" w:ascii="宋体" w:hAnsi="宋体" w:cs="宋体"/>
          <w:sz w:val="24"/>
        </w:rPr>
        <w:t>7.1.6供应商或者其他利害关系人对评审结果有异议的，应当在法律规定的时间内提出。</w:t>
      </w:r>
    </w:p>
    <w:p>
      <w:pPr>
        <w:spacing w:line="360" w:lineRule="auto"/>
        <w:ind w:firstLine="482" w:firstLineChars="200"/>
        <w:rPr>
          <w:rFonts w:hint="eastAsia" w:ascii="宋体" w:hAnsi="宋体" w:cs="宋体"/>
          <w:b/>
          <w:bCs/>
          <w:sz w:val="24"/>
        </w:rPr>
      </w:pPr>
      <w:r>
        <w:rPr>
          <w:rFonts w:hint="eastAsia" w:ascii="宋体" w:hAnsi="宋体" w:cs="宋体"/>
          <w:b/>
          <w:bCs/>
          <w:sz w:val="24"/>
        </w:rPr>
        <w:t>7.2 成交通知</w:t>
      </w:r>
    </w:p>
    <w:p>
      <w:pPr>
        <w:spacing w:line="360" w:lineRule="auto"/>
        <w:ind w:firstLine="480" w:firstLineChars="200"/>
        <w:rPr>
          <w:rFonts w:hint="eastAsia" w:ascii="宋体" w:hAnsi="宋体" w:cs="宋体"/>
          <w:sz w:val="24"/>
        </w:rPr>
      </w:pPr>
      <w:r>
        <w:rPr>
          <w:rFonts w:hint="eastAsia" w:ascii="宋体" w:hAnsi="宋体" w:cs="宋体"/>
          <w:sz w:val="24"/>
        </w:rPr>
        <w:t>7.2.1采购代理机构向成交供应商发出《成交通知书》。</w:t>
      </w:r>
      <w:r>
        <w:rPr>
          <w:rFonts w:hint="eastAsia" w:ascii="宋体" w:hAnsi="宋体" w:cs="宋体"/>
          <w:b/>
          <w:bCs/>
          <w:sz w:val="24"/>
        </w:rPr>
        <w:t>成交供应商在领取成交通知书时须携带法定代表人授权书及加盖单位公章的被授权人身份证复印件。</w:t>
      </w:r>
    </w:p>
    <w:p>
      <w:pPr>
        <w:spacing w:line="360" w:lineRule="auto"/>
        <w:ind w:firstLine="480" w:firstLineChars="200"/>
        <w:rPr>
          <w:rFonts w:hint="eastAsia" w:ascii="宋体" w:hAnsi="宋体" w:cs="宋体"/>
          <w:sz w:val="24"/>
        </w:rPr>
      </w:pPr>
      <w:r>
        <w:rPr>
          <w:rFonts w:hint="eastAsia" w:ascii="宋体" w:hAnsi="宋体" w:cs="宋体"/>
          <w:sz w:val="24"/>
        </w:rPr>
        <w:t>7.2.2成交通知书对采购人和成交供应商具有同等法律效力。成交通知书发出之后，采购人改变成交结果，或者成交供应商放弃成交，应当承担相应的法律责任。</w:t>
      </w:r>
    </w:p>
    <w:p>
      <w:pPr>
        <w:spacing w:line="360" w:lineRule="auto"/>
        <w:ind w:firstLine="482" w:firstLineChars="200"/>
        <w:rPr>
          <w:rFonts w:hint="eastAsia" w:ascii="宋体" w:hAnsi="宋体" w:cs="宋体"/>
          <w:b/>
          <w:bCs/>
          <w:sz w:val="24"/>
        </w:rPr>
      </w:pPr>
      <w:bookmarkStart w:id="44" w:name="_Toc420591652"/>
      <w:bookmarkStart w:id="45" w:name="_Toc425240473"/>
      <w:bookmarkStart w:id="46" w:name="_Toc421778374"/>
      <w:r>
        <w:rPr>
          <w:rFonts w:hint="eastAsia" w:ascii="宋体" w:hAnsi="宋体" w:cs="宋体"/>
          <w:b/>
          <w:bCs/>
          <w:sz w:val="24"/>
        </w:rPr>
        <w:t>7.3 履约担保</w:t>
      </w:r>
    </w:p>
    <w:p>
      <w:pPr>
        <w:spacing w:line="360" w:lineRule="auto"/>
        <w:ind w:firstLine="480" w:firstLineChars="200"/>
        <w:rPr>
          <w:rFonts w:hint="eastAsia" w:ascii="宋体" w:hAnsi="宋体" w:cs="宋体"/>
          <w:bCs/>
          <w:sz w:val="24"/>
        </w:rPr>
      </w:pPr>
      <w:bookmarkStart w:id="47" w:name="_Toc9968167"/>
      <w:r>
        <w:rPr>
          <w:rFonts w:hint="eastAsia" w:ascii="宋体" w:hAnsi="宋体" w:cs="宋体"/>
          <w:bCs/>
          <w:sz w:val="24"/>
        </w:rPr>
        <w:t>7.3.1 见响应供应商须知前附表</w:t>
      </w:r>
      <w:bookmarkEnd w:id="47"/>
    </w:p>
    <w:p>
      <w:pPr>
        <w:spacing w:line="360" w:lineRule="auto"/>
        <w:ind w:firstLine="482" w:firstLineChars="200"/>
        <w:rPr>
          <w:rFonts w:hint="eastAsia" w:ascii="宋体" w:hAnsi="宋体" w:cs="宋体"/>
          <w:b/>
          <w:bCs/>
          <w:sz w:val="24"/>
        </w:rPr>
      </w:pPr>
      <w:r>
        <w:rPr>
          <w:rFonts w:hint="eastAsia" w:ascii="宋体" w:hAnsi="宋体" w:cs="宋体"/>
          <w:b/>
          <w:bCs/>
          <w:sz w:val="24"/>
        </w:rPr>
        <w:t>7.4 签订合同</w:t>
      </w:r>
    </w:p>
    <w:p>
      <w:pPr>
        <w:spacing w:line="360" w:lineRule="auto"/>
        <w:ind w:firstLine="480" w:firstLineChars="200"/>
        <w:rPr>
          <w:rFonts w:hint="eastAsia" w:ascii="宋体" w:hAnsi="宋体" w:cs="宋体"/>
          <w:bCs/>
          <w:sz w:val="24"/>
        </w:rPr>
      </w:pPr>
      <w:r>
        <w:rPr>
          <w:rFonts w:hint="eastAsia" w:ascii="宋体" w:hAnsi="宋体" w:cs="宋体"/>
          <w:bCs/>
          <w:sz w:val="24"/>
        </w:rPr>
        <w:t>7.4.1 采购人和成交供应商应当自成交通知书发出之日起30天内，根据竞争性磋商文件和成交供应商的磋商响应文件订立书面合同。所签订的合同不得对竞争性磋商文件和成交供应商的磋商响应文件（包括评标中形成的澄清文件）作实质性修改。成交供应商无正当理由拒签合同的，采购人取消其中标资格，其磋商保证金不予退还；给采购人造成的损失超过磋商保证金数额的，成交供应商还应当对超过部分予以赔偿。</w:t>
      </w:r>
    </w:p>
    <w:p>
      <w:pPr>
        <w:spacing w:line="360" w:lineRule="auto"/>
        <w:ind w:firstLine="480" w:firstLineChars="200"/>
        <w:rPr>
          <w:rFonts w:hint="eastAsia" w:ascii="宋体" w:hAnsi="宋体" w:cs="宋体"/>
          <w:bCs/>
          <w:sz w:val="24"/>
        </w:rPr>
      </w:pPr>
      <w:r>
        <w:rPr>
          <w:rFonts w:hint="eastAsia" w:ascii="宋体" w:hAnsi="宋体" w:cs="宋体"/>
          <w:bCs/>
          <w:sz w:val="24"/>
        </w:rPr>
        <w:t>7.4.2 发出成交通知书后，采购人无正当理由拒签合同的，采购人向成交供应商退还磋商保证金；给成交供应商造成损失的，还应当赔偿损失。</w:t>
      </w:r>
    </w:p>
    <w:p>
      <w:pPr>
        <w:spacing w:line="360" w:lineRule="auto"/>
        <w:ind w:firstLine="480" w:firstLineChars="200"/>
        <w:rPr>
          <w:rFonts w:hint="eastAsia" w:ascii="宋体" w:hAnsi="宋体" w:cs="宋体"/>
          <w:bCs/>
          <w:sz w:val="24"/>
        </w:rPr>
      </w:pPr>
      <w:r>
        <w:rPr>
          <w:rFonts w:hint="eastAsia" w:ascii="宋体" w:hAnsi="宋体" w:cs="宋体"/>
          <w:bCs/>
          <w:sz w:val="24"/>
        </w:rPr>
        <w:t>7.4.3采购人自政府采购合同签订之日起2个工作日内，将政府采购合同在省级以上人民政府财政部门指定的媒体上公告，但政府采购合同中涉及国家秘密、商业秘密的内容除外。</w:t>
      </w:r>
    </w:p>
    <w:bookmarkEnd w:id="44"/>
    <w:bookmarkEnd w:id="45"/>
    <w:bookmarkEnd w:id="46"/>
    <w:p>
      <w:pPr>
        <w:spacing w:line="360" w:lineRule="auto"/>
        <w:rPr>
          <w:rFonts w:hint="eastAsia" w:ascii="宋体" w:hAnsi="宋体" w:cs="宋体"/>
          <w:b/>
          <w:bCs/>
          <w:sz w:val="24"/>
        </w:rPr>
      </w:pPr>
      <w:r>
        <w:rPr>
          <w:rFonts w:hint="eastAsia" w:ascii="宋体" w:hAnsi="宋体" w:cs="宋体"/>
          <w:b/>
          <w:bCs/>
          <w:sz w:val="24"/>
        </w:rPr>
        <w:t>8、质疑</w:t>
      </w:r>
    </w:p>
    <w:p>
      <w:pPr>
        <w:spacing w:line="500" w:lineRule="exact"/>
        <w:ind w:right="12" w:firstLine="480"/>
        <w:rPr>
          <w:rFonts w:hint="eastAsia" w:ascii="宋体" w:hAnsi="宋体" w:cs="宋体"/>
          <w:sz w:val="24"/>
        </w:rPr>
      </w:pPr>
      <w:bookmarkStart w:id="48" w:name="_Toc421778376"/>
      <w:r>
        <w:rPr>
          <w:rFonts w:hint="eastAsia" w:ascii="宋体" w:hAnsi="宋体" w:cs="宋体"/>
          <w:sz w:val="24"/>
        </w:rPr>
        <w:t>8.1供应商认为磋商文件、采购过程、成交结果使自己的权益受到损害的，可以在知道或者应知其权益受到损害之日起7个工作日内，以书面形式向采购人、采购代理机构提出质疑。</w:t>
      </w:r>
    </w:p>
    <w:p>
      <w:pPr>
        <w:spacing w:line="500" w:lineRule="exact"/>
        <w:ind w:right="12" w:firstLine="480"/>
        <w:rPr>
          <w:rStyle w:val="47"/>
          <w:rFonts w:hint="eastAsia" w:ascii="宋体" w:hAnsi="宋体" w:cs="宋体"/>
          <w:bCs w:val="0"/>
          <w:color w:val="0000FF"/>
          <w:sz w:val="24"/>
          <w:shd w:val="clear" w:color="auto" w:fill="FFFFFF"/>
        </w:rPr>
      </w:pPr>
      <w:r>
        <w:rPr>
          <w:rFonts w:hint="eastAsia" w:ascii="宋体" w:hAnsi="宋体" w:cs="宋体"/>
          <w:sz w:val="24"/>
        </w:rPr>
        <w:t>8.2供应商必须在法定质疑期内一次性提出针对同一采购程序环节的质疑。</w:t>
      </w:r>
    </w:p>
    <w:p>
      <w:pPr>
        <w:spacing w:line="500" w:lineRule="exact"/>
        <w:ind w:left="3" w:firstLine="520" w:firstLineChars="216"/>
        <w:rPr>
          <w:rStyle w:val="47"/>
          <w:rFonts w:hint="eastAsia" w:ascii="宋体" w:hAnsi="宋体" w:cs="宋体"/>
          <w:b w:val="0"/>
          <w:color w:val="000000"/>
          <w:sz w:val="24"/>
          <w:shd w:val="clear" w:color="auto" w:fill="FFFFFF"/>
        </w:rPr>
      </w:pPr>
      <w:r>
        <w:rPr>
          <w:rFonts w:hint="eastAsia" w:ascii="宋体" w:hAnsi="宋体" w:cs="宋体"/>
          <w:b/>
          <w:sz w:val="24"/>
        </w:rPr>
        <w:t>8</w:t>
      </w:r>
      <w:r>
        <w:rPr>
          <w:rStyle w:val="47"/>
          <w:rFonts w:hint="eastAsia" w:ascii="宋体" w:hAnsi="宋体" w:cs="宋体"/>
          <w:color w:val="000000"/>
          <w:sz w:val="24"/>
          <w:shd w:val="clear" w:color="auto" w:fill="FFFFFF"/>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20" w:firstLineChars="216"/>
        <w:rPr>
          <w:rStyle w:val="47"/>
          <w:rFonts w:hint="eastAsia" w:ascii="宋体" w:hAnsi="宋体" w:cs="宋体"/>
          <w:b w:val="0"/>
          <w:color w:val="000000"/>
          <w:sz w:val="24"/>
          <w:shd w:val="clear" w:color="auto" w:fill="FFFFFF"/>
        </w:rPr>
      </w:pPr>
      <w:r>
        <w:rPr>
          <w:rFonts w:hint="eastAsia" w:ascii="宋体" w:hAnsi="宋体" w:cs="宋体"/>
          <w:b/>
          <w:sz w:val="24"/>
        </w:rPr>
        <w:t>8</w:t>
      </w:r>
      <w:r>
        <w:rPr>
          <w:rStyle w:val="47"/>
          <w:rFonts w:hint="eastAsia" w:ascii="宋体" w:hAnsi="宋体" w:cs="宋体"/>
          <w:b w:val="0"/>
          <w:color w:val="000000"/>
          <w:sz w:val="24"/>
          <w:shd w:val="clear" w:color="auto" w:fill="FFFFFF"/>
        </w:rPr>
        <w:t>.</w:t>
      </w:r>
      <w:r>
        <w:rPr>
          <w:rStyle w:val="47"/>
          <w:rFonts w:hint="eastAsia" w:ascii="宋体" w:hAnsi="宋体" w:cs="宋体"/>
          <w:color w:val="000000"/>
          <w:sz w:val="24"/>
          <w:shd w:val="clear" w:color="auto" w:fill="FFFFFF"/>
        </w:rPr>
        <w:t>4以联合体形式参加政府采购活动的，其质疑应当由组成联合体的所有供应商共同提出。</w:t>
      </w:r>
    </w:p>
    <w:p>
      <w:pPr>
        <w:spacing w:line="500" w:lineRule="exact"/>
        <w:ind w:right="12" w:firstLine="480" w:firstLineChars="200"/>
        <w:rPr>
          <w:rFonts w:hint="eastAsia" w:ascii="宋体" w:hAnsi="宋体" w:cs="宋体"/>
          <w:sz w:val="24"/>
        </w:rPr>
      </w:pPr>
      <w:r>
        <w:rPr>
          <w:rFonts w:hint="eastAsia" w:ascii="宋体" w:hAnsi="宋体" w:cs="宋体"/>
          <w:sz w:val="24"/>
        </w:rPr>
        <w:t>8.5供应商提出质疑应当提交质疑函和必要的证明材料。质疑函应当包括下列内容：</w:t>
      </w:r>
    </w:p>
    <w:p>
      <w:pPr>
        <w:spacing w:line="500" w:lineRule="exact"/>
        <w:ind w:right="12" w:firstLine="480" w:firstLineChars="200"/>
        <w:rPr>
          <w:rFonts w:hint="eastAsia" w:ascii="宋体" w:hAnsi="宋体" w:cs="宋体"/>
          <w:sz w:val="24"/>
        </w:rPr>
      </w:pPr>
      <w:r>
        <w:rPr>
          <w:rFonts w:hint="eastAsia" w:ascii="宋体" w:hAnsi="宋体" w:cs="宋体"/>
          <w:sz w:val="24"/>
        </w:rPr>
        <w:t>8.5.1供应商的姓名或者名称、地址、邮编、联系人及联系电话；</w:t>
      </w:r>
    </w:p>
    <w:p>
      <w:pPr>
        <w:spacing w:line="500" w:lineRule="exact"/>
        <w:ind w:right="12" w:firstLine="480" w:firstLineChars="200"/>
        <w:rPr>
          <w:rFonts w:hint="eastAsia" w:ascii="宋体" w:hAnsi="宋体" w:cs="宋体"/>
          <w:sz w:val="24"/>
        </w:rPr>
      </w:pPr>
      <w:r>
        <w:rPr>
          <w:rFonts w:hint="eastAsia" w:ascii="宋体" w:hAnsi="宋体" w:cs="宋体"/>
          <w:sz w:val="24"/>
        </w:rPr>
        <w:t>8.5.2质疑项目的名称、编号；</w:t>
      </w:r>
    </w:p>
    <w:p>
      <w:pPr>
        <w:spacing w:line="500" w:lineRule="exact"/>
        <w:ind w:right="12" w:firstLine="480" w:firstLineChars="200"/>
        <w:rPr>
          <w:rFonts w:hint="eastAsia" w:ascii="宋体" w:hAnsi="宋体" w:cs="宋体"/>
          <w:sz w:val="24"/>
        </w:rPr>
      </w:pPr>
      <w:r>
        <w:rPr>
          <w:rFonts w:hint="eastAsia" w:ascii="宋体" w:hAnsi="宋体" w:cs="宋体"/>
          <w:sz w:val="24"/>
        </w:rPr>
        <w:t>8.5.3具体、明确的质疑事项和与质疑事项相关的请求；</w:t>
      </w:r>
    </w:p>
    <w:p>
      <w:pPr>
        <w:spacing w:line="500" w:lineRule="exact"/>
        <w:ind w:right="12" w:firstLine="480" w:firstLineChars="200"/>
        <w:rPr>
          <w:rFonts w:hint="eastAsia" w:ascii="宋体" w:hAnsi="宋体" w:cs="宋体"/>
          <w:sz w:val="24"/>
        </w:rPr>
      </w:pPr>
      <w:r>
        <w:rPr>
          <w:rFonts w:hint="eastAsia" w:ascii="宋体" w:hAnsi="宋体" w:cs="宋体"/>
          <w:sz w:val="24"/>
        </w:rPr>
        <w:t>8.5.4事实依据；</w:t>
      </w:r>
    </w:p>
    <w:p>
      <w:pPr>
        <w:spacing w:line="500" w:lineRule="exact"/>
        <w:ind w:right="12" w:firstLine="480" w:firstLineChars="200"/>
        <w:rPr>
          <w:rFonts w:hint="eastAsia" w:ascii="宋体" w:hAnsi="宋体" w:cs="宋体"/>
          <w:sz w:val="24"/>
        </w:rPr>
      </w:pPr>
      <w:r>
        <w:rPr>
          <w:rFonts w:hint="eastAsia" w:ascii="宋体" w:hAnsi="宋体" w:cs="宋体"/>
          <w:sz w:val="24"/>
        </w:rPr>
        <w:t>8.5.5必要的法律依据；</w:t>
      </w:r>
    </w:p>
    <w:p>
      <w:pPr>
        <w:spacing w:line="500" w:lineRule="exact"/>
        <w:ind w:right="12" w:firstLine="480" w:firstLineChars="200"/>
        <w:rPr>
          <w:rStyle w:val="47"/>
          <w:rFonts w:hint="eastAsia" w:ascii="宋体" w:hAnsi="宋体" w:cs="宋体"/>
          <w:b w:val="0"/>
          <w:color w:val="000000"/>
          <w:sz w:val="24"/>
          <w:shd w:val="clear" w:color="auto" w:fill="FFFFFF"/>
        </w:rPr>
      </w:pPr>
      <w:r>
        <w:rPr>
          <w:rFonts w:hint="eastAsia" w:ascii="宋体" w:hAnsi="宋体" w:cs="宋体"/>
          <w:sz w:val="24"/>
        </w:rPr>
        <w:t>8.5.6提出质疑的日期。</w:t>
      </w:r>
    </w:p>
    <w:p>
      <w:pPr>
        <w:widowControl/>
        <w:spacing w:line="360" w:lineRule="auto"/>
        <w:ind w:firstLine="480" w:firstLineChars="200"/>
        <w:rPr>
          <w:rFonts w:hint="eastAsia" w:ascii="宋体" w:hAnsi="宋体" w:cs="宋体"/>
          <w:sz w:val="24"/>
        </w:rPr>
      </w:pPr>
      <w:r>
        <w:rPr>
          <w:rFonts w:hint="eastAsia" w:ascii="宋体" w:hAnsi="宋体" w:cs="宋体"/>
          <w:sz w:val="24"/>
        </w:rPr>
        <w:t>8.6有下列情形之一的，属于无效质疑，采购代理机构和采购人不予受理：</w:t>
      </w:r>
    </w:p>
    <w:p>
      <w:pPr>
        <w:widowControl/>
        <w:spacing w:line="360" w:lineRule="auto"/>
        <w:ind w:firstLine="480" w:firstLineChars="200"/>
        <w:rPr>
          <w:rFonts w:hint="eastAsia" w:ascii="宋体" w:hAnsi="宋体" w:cs="宋体"/>
          <w:sz w:val="24"/>
        </w:rPr>
      </w:pPr>
      <w:r>
        <w:rPr>
          <w:rFonts w:hint="eastAsia" w:ascii="宋体" w:hAnsi="宋体" w:cs="宋体"/>
          <w:sz w:val="24"/>
        </w:rPr>
        <w:t>8.6.1质疑供应商不是参与本次政府采购项目的供应商；</w:t>
      </w:r>
    </w:p>
    <w:p>
      <w:pPr>
        <w:widowControl/>
        <w:spacing w:line="360" w:lineRule="auto"/>
        <w:ind w:firstLine="480" w:firstLineChars="200"/>
        <w:rPr>
          <w:rFonts w:hint="eastAsia" w:ascii="宋体" w:hAnsi="宋体" w:cs="宋体"/>
          <w:sz w:val="24"/>
        </w:rPr>
      </w:pPr>
      <w:r>
        <w:rPr>
          <w:rFonts w:hint="eastAsia" w:ascii="宋体" w:hAnsi="宋体" w:cs="宋体"/>
          <w:sz w:val="24"/>
        </w:rPr>
        <w:t>8.6.2质疑供应商与质疑事项不存在利害关系的；</w:t>
      </w:r>
    </w:p>
    <w:p>
      <w:pPr>
        <w:widowControl/>
        <w:spacing w:line="360" w:lineRule="auto"/>
        <w:ind w:firstLine="480" w:firstLineChars="200"/>
        <w:rPr>
          <w:rFonts w:hint="eastAsia" w:ascii="宋体" w:hAnsi="宋体" w:cs="宋体"/>
          <w:sz w:val="24"/>
        </w:rPr>
      </w:pPr>
      <w:r>
        <w:rPr>
          <w:rFonts w:hint="eastAsia" w:ascii="宋体" w:hAnsi="宋体" w:cs="宋体"/>
          <w:sz w:val="24"/>
        </w:rPr>
        <w:t>8.6.3未在法定期限内提出质疑的；</w:t>
      </w:r>
    </w:p>
    <w:p>
      <w:pPr>
        <w:widowControl/>
        <w:spacing w:line="360" w:lineRule="auto"/>
        <w:ind w:firstLine="480" w:firstLineChars="200"/>
        <w:rPr>
          <w:rFonts w:hint="eastAsia" w:ascii="宋体" w:hAnsi="宋体" w:cs="宋体"/>
          <w:sz w:val="24"/>
        </w:rPr>
      </w:pPr>
      <w:r>
        <w:rPr>
          <w:rFonts w:hint="eastAsia" w:ascii="宋体" w:hAnsi="宋体" w:cs="宋体"/>
          <w:sz w:val="24"/>
        </w:rPr>
        <w:t>8.6.4质疑未以书面形式提出，或质疑函主要内容构成不完整的；</w:t>
      </w:r>
    </w:p>
    <w:p>
      <w:pPr>
        <w:widowControl/>
        <w:spacing w:line="360" w:lineRule="auto"/>
        <w:ind w:firstLine="480" w:firstLineChars="200"/>
        <w:rPr>
          <w:rFonts w:hint="eastAsia" w:ascii="宋体" w:hAnsi="宋体" w:cs="宋体"/>
          <w:sz w:val="24"/>
        </w:rPr>
      </w:pPr>
      <w:r>
        <w:rPr>
          <w:rFonts w:hint="eastAsia" w:ascii="宋体" w:hAnsi="宋体" w:cs="宋体"/>
          <w:sz w:val="24"/>
        </w:rPr>
        <w:t>8.6.5应当提交授权书而未提交的；</w:t>
      </w:r>
    </w:p>
    <w:p>
      <w:pPr>
        <w:widowControl/>
        <w:spacing w:line="360" w:lineRule="auto"/>
        <w:ind w:firstLine="480" w:firstLineChars="200"/>
        <w:rPr>
          <w:rFonts w:hint="eastAsia" w:ascii="宋体" w:hAnsi="宋体" w:cs="宋体"/>
          <w:sz w:val="24"/>
        </w:rPr>
      </w:pPr>
      <w:r>
        <w:rPr>
          <w:rFonts w:hint="eastAsia" w:ascii="宋体" w:hAnsi="宋体" w:cs="宋体"/>
          <w:sz w:val="24"/>
        </w:rPr>
        <w:t>8.6.6以非法手段取得证据、材料的；</w:t>
      </w:r>
    </w:p>
    <w:p>
      <w:pPr>
        <w:widowControl/>
        <w:spacing w:line="360" w:lineRule="auto"/>
        <w:ind w:firstLine="480" w:firstLineChars="200"/>
        <w:rPr>
          <w:rFonts w:hint="eastAsia" w:ascii="宋体" w:hAnsi="宋体" w:cs="宋体"/>
          <w:sz w:val="24"/>
        </w:rPr>
      </w:pPr>
      <w:r>
        <w:rPr>
          <w:rFonts w:hint="eastAsia" w:ascii="宋体" w:hAnsi="宋体" w:cs="宋体"/>
          <w:sz w:val="24"/>
        </w:rPr>
        <w:t>8.6.7质疑答复后，同一质疑人就同一事项或同一采购程序环节再次提出质疑的；</w:t>
      </w:r>
    </w:p>
    <w:p>
      <w:pPr>
        <w:widowControl/>
        <w:spacing w:line="360" w:lineRule="auto"/>
        <w:ind w:firstLine="480" w:firstLineChars="200"/>
        <w:rPr>
          <w:rStyle w:val="47"/>
          <w:rFonts w:hint="eastAsia" w:ascii="宋体" w:hAnsi="宋体" w:cs="宋体"/>
          <w:b w:val="0"/>
          <w:sz w:val="24"/>
          <w:shd w:val="clear" w:color="auto" w:fill="FFFFFF"/>
        </w:rPr>
      </w:pPr>
      <w:r>
        <w:rPr>
          <w:rFonts w:hint="eastAsia" w:ascii="宋体" w:hAnsi="宋体" w:cs="宋体"/>
          <w:sz w:val="24"/>
        </w:rPr>
        <w:t>8.6.8不符合法律、法规、规章和政府采购监管机构规定的其他条件的。</w:t>
      </w:r>
    </w:p>
    <w:p>
      <w:pPr>
        <w:spacing w:line="500" w:lineRule="exact"/>
        <w:ind w:right="12"/>
        <w:rPr>
          <w:rFonts w:hint="eastAsia" w:ascii="宋体" w:hAnsi="宋体" w:cs="宋体"/>
          <w:sz w:val="24"/>
        </w:rPr>
      </w:pPr>
      <w:r>
        <w:rPr>
          <w:rFonts w:hint="eastAsia" w:ascii="宋体" w:hAnsi="宋体" w:cs="宋体"/>
          <w:sz w:val="24"/>
        </w:rPr>
        <w:t xml:space="preserve">    8.7质疑答复</w:t>
      </w:r>
    </w:p>
    <w:p>
      <w:pPr>
        <w:pStyle w:val="212"/>
        <w:spacing w:line="500" w:lineRule="exact"/>
        <w:ind w:firstLine="480"/>
        <w:jc w:val="left"/>
        <w:rPr>
          <w:rFonts w:hint="eastAsia" w:ascii="宋体" w:hAnsi="宋体" w:cs="宋体"/>
          <w:sz w:val="24"/>
          <w:szCs w:val="24"/>
        </w:rPr>
      </w:pPr>
      <w:r>
        <w:rPr>
          <w:rFonts w:hint="eastAsia" w:ascii="宋体" w:hAnsi="宋体" w:cs="宋体"/>
          <w:sz w:val="24"/>
          <w:szCs w:val="24"/>
        </w:rPr>
        <w:t>8.7.1采购人或采购代理机构在收到质疑函后7个工作日内作出答复，并以书面形式通知质疑供应商和其他有关供应商。</w:t>
      </w:r>
    </w:p>
    <w:p>
      <w:pPr>
        <w:pStyle w:val="212"/>
        <w:spacing w:line="500" w:lineRule="exact"/>
        <w:ind w:firstLine="480" w:firstLineChars="0"/>
        <w:jc w:val="left"/>
        <w:rPr>
          <w:rFonts w:hint="eastAsia" w:ascii="宋体" w:hAnsi="宋体" w:cs="宋体"/>
          <w:sz w:val="24"/>
          <w:szCs w:val="24"/>
        </w:rPr>
      </w:pPr>
      <w:r>
        <w:rPr>
          <w:rFonts w:hint="eastAsia" w:ascii="宋体" w:hAnsi="宋体" w:cs="宋体"/>
          <w:sz w:val="24"/>
          <w:szCs w:val="24"/>
        </w:rPr>
        <w:t>8.7.2质疑供应商对采购人、采购代理机构的答复不满意，或者采购人、采购代理机构未在规定时间内作出答复的，可以在答复期满后15个工作日内向县级以上各级人民政府财政部门提起投诉。</w:t>
      </w:r>
    </w:p>
    <w:p>
      <w:pPr>
        <w:pStyle w:val="212"/>
        <w:spacing w:line="500" w:lineRule="exact"/>
        <w:ind w:firstLine="480" w:firstLineChars="0"/>
        <w:jc w:val="left"/>
        <w:rPr>
          <w:rFonts w:hint="eastAsia" w:ascii="宋体" w:hAnsi="宋体" w:cs="宋体"/>
          <w:sz w:val="24"/>
          <w:szCs w:val="24"/>
        </w:rPr>
      </w:pPr>
      <w:r>
        <w:rPr>
          <w:rFonts w:hint="eastAsia" w:ascii="宋体" w:hAnsi="宋体" w:cs="宋体"/>
          <w:sz w:val="24"/>
          <w:szCs w:val="24"/>
        </w:rPr>
        <w:t>8.8其他需要说明的事项</w:t>
      </w:r>
    </w:p>
    <w:p>
      <w:pPr>
        <w:pStyle w:val="212"/>
        <w:spacing w:line="500" w:lineRule="exact"/>
        <w:ind w:firstLine="480" w:firstLineChars="0"/>
        <w:jc w:val="left"/>
        <w:rPr>
          <w:rFonts w:hint="eastAsia" w:ascii="宋体" w:hAnsi="宋体" w:cs="宋体"/>
          <w:sz w:val="24"/>
          <w:szCs w:val="24"/>
        </w:rPr>
      </w:pPr>
      <w:r>
        <w:rPr>
          <w:rFonts w:hint="eastAsia" w:ascii="宋体" w:hAnsi="宋体" w:cs="宋体"/>
          <w:sz w:val="24"/>
          <w:szCs w:val="24"/>
        </w:rPr>
        <w:t>8.8.1质疑函须按财政部《质疑函范本》给定的格式进行填写，范本下载详见【财政部国库司（gks.mof.gov.cn）】网站〖首页·政府采购管理〗栏目中的《政府采购供应商质疑函范本》。《政府采购供应商质疑函范本》链接地址：</w:t>
      </w:r>
    </w:p>
    <w:p>
      <w:pPr>
        <w:pStyle w:val="212"/>
        <w:spacing w:line="500" w:lineRule="exact"/>
        <w:ind w:firstLine="480" w:firstLineChars="0"/>
        <w:jc w:val="left"/>
        <w:rPr>
          <w:rFonts w:hint="eastAsia" w:ascii="宋体" w:hAnsi="宋体" w:cs="宋体"/>
          <w:sz w:val="24"/>
          <w:szCs w:val="24"/>
        </w:rPr>
      </w:pPr>
      <w:r>
        <w:rPr>
          <w:rFonts w:hint="eastAsia" w:ascii="宋体" w:hAnsi="宋体" w:cs="宋体"/>
          <w:sz w:val="24"/>
          <w:szCs w:val="24"/>
        </w:rPr>
        <w:t>http://gks.mof.gov.cn/zhengfucaigouguanli/201802/t20180201_2804589.html</w:t>
      </w:r>
    </w:p>
    <w:p>
      <w:pPr>
        <w:pStyle w:val="212"/>
        <w:spacing w:line="500" w:lineRule="exact"/>
        <w:ind w:firstLine="480" w:firstLineChars="0"/>
        <w:jc w:val="left"/>
        <w:rPr>
          <w:rFonts w:hint="eastAsia" w:ascii="宋体" w:hAnsi="宋体" w:cs="宋体"/>
          <w:sz w:val="24"/>
          <w:szCs w:val="24"/>
        </w:rPr>
      </w:pPr>
      <w:r>
        <w:rPr>
          <w:rFonts w:hint="eastAsia" w:ascii="宋体" w:hAnsi="宋体" w:cs="宋体"/>
          <w:sz w:val="24"/>
          <w:szCs w:val="24"/>
        </w:rPr>
        <w:t>8.8.2接收质疑函的方式：书面形式</w:t>
      </w:r>
    </w:p>
    <w:p>
      <w:pPr>
        <w:pStyle w:val="212"/>
        <w:spacing w:line="500" w:lineRule="exact"/>
        <w:ind w:firstLine="480" w:firstLineChars="0"/>
        <w:jc w:val="left"/>
        <w:rPr>
          <w:rFonts w:hint="eastAsia" w:ascii="宋体" w:hAnsi="宋体" w:cs="宋体"/>
          <w:sz w:val="24"/>
          <w:szCs w:val="24"/>
        </w:rPr>
      </w:pPr>
      <w:r>
        <w:rPr>
          <w:rFonts w:hint="eastAsia" w:ascii="宋体" w:hAnsi="宋体" w:cs="宋体"/>
          <w:sz w:val="24"/>
          <w:szCs w:val="24"/>
        </w:rPr>
        <w:t>8.8.3联系部门：腾德工程咨询有限公司</w:t>
      </w:r>
    </w:p>
    <w:p>
      <w:pPr>
        <w:pStyle w:val="212"/>
        <w:spacing w:line="500" w:lineRule="exact"/>
        <w:ind w:firstLine="480" w:firstLineChars="0"/>
        <w:jc w:val="left"/>
        <w:rPr>
          <w:rFonts w:hint="eastAsia" w:ascii="宋体" w:hAnsi="宋体" w:cs="宋体"/>
          <w:sz w:val="24"/>
          <w:szCs w:val="24"/>
        </w:rPr>
      </w:pPr>
      <w:r>
        <w:rPr>
          <w:rFonts w:hint="eastAsia" w:ascii="宋体" w:hAnsi="宋体" w:cs="宋体"/>
          <w:sz w:val="24"/>
          <w:szCs w:val="24"/>
        </w:rPr>
        <w:t>8.8.4联系电话：029-89293166</w:t>
      </w:r>
    </w:p>
    <w:p>
      <w:pPr>
        <w:pStyle w:val="212"/>
        <w:spacing w:line="500" w:lineRule="exact"/>
        <w:ind w:firstLine="480" w:firstLineChars="0"/>
        <w:jc w:val="left"/>
        <w:rPr>
          <w:rFonts w:hint="eastAsia" w:ascii="宋体" w:hAnsi="宋体" w:cs="宋体"/>
          <w:sz w:val="24"/>
          <w:szCs w:val="24"/>
        </w:rPr>
      </w:pPr>
      <w:r>
        <w:rPr>
          <w:rFonts w:hint="eastAsia" w:ascii="宋体" w:hAnsi="宋体" w:cs="宋体"/>
          <w:sz w:val="24"/>
          <w:szCs w:val="24"/>
        </w:rPr>
        <w:t>8.8.5通讯地址：西安市明光路166号凯瑞E座803</w:t>
      </w:r>
    </w:p>
    <w:p>
      <w:pPr>
        <w:numPr>
          <w:ilvl w:val="0"/>
          <w:numId w:val="6"/>
        </w:numPr>
        <w:spacing w:line="500" w:lineRule="exact"/>
        <w:rPr>
          <w:rFonts w:hint="eastAsia" w:ascii="宋体" w:hAnsi="宋体" w:cs="宋体"/>
          <w:b/>
          <w:bCs/>
          <w:sz w:val="24"/>
        </w:rPr>
      </w:pPr>
      <w:r>
        <w:rPr>
          <w:rFonts w:hint="eastAsia" w:ascii="宋体" w:hAnsi="宋体" w:cs="宋体"/>
          <w:b/>
          <w:bCs/>
          <w:sz w:val="24"/>
        </w:rPr>
        <w:t>需要落实的政府采购政策</w:t>
      </w:r>
    </w:p>
    <w:p>
      <w:pPr>
        <w:rPr>
          <w:rFonts w:hint="eastAsia" w:ascii="宋体" w:hAnsi="宋体" w:cs="宋体"/>
        </w:rPr>
      </w:pPr>
    </w:p>
    <w:p>
      <w:pPr>
        <w:spacing w:line="360" w:lineRule="auto"/>
        <w:rPr>
          <w:rFonts w:hint="eastAsia" w:ascii="宋体" w:hAnsi="宋体" w:cs="宋体"/>
          <w:sz w:val="24"/>
        </w:rPr>
      </w:pPr>
      <w:r>
        <w:rPr>
          <w:rFonts w:hint="eastAsia" w:ascii="宋体" w:hAnsi="宋体" w:cs="宋体"/>
          <w:sz w:val="24"/>
        </w:rPr>
        <w:t>根据《陕西省财政厅关于政府采购有关问题的通知》（陕财办采资（2016）53号）、《西安市政府采购信用担保及信用融资工作实施方案（试行）》（市财发〔2014〕167）的规定，对政府采购相关政策落实如下：</w:t>
      </w:r>
    </w:p>
    <w:p>
      <w:pPr>
        <w:spacing w:line="360" w:lineRule="auto"/>
        <w:rPr>
          <w:rFonts w:hint="eastAsia" w:ascii="宋体" w:hAnsi="宋体" w:cs="宋体"/>
          <w:sz w:val="24"/>
        </w:rPr>
      </w:pPr>
      <w:r>
        <w:rPr>
          <w:rFonts w:hint="eastAsia" w:ascii="宋体" w:hAnsi="宋体" w:cs="宋体"/>
          <w:b/>
          <w:sz w:val="24"/>
        </w:rPr>
        <w:t xml:space="preserve">     9.1关于印发《政府采购促进中小企业发展管理办法》的通知--财库〔2020〕46号</w:t>
      </w:r>
    </w:p>
    <w:p>
      <w:pPr>
        <w:spacing w:line="360" w:lineRule="auto"/>
        <w:ind w:firstLine="480" w:firstLineChars="200"/>
        <w:rPr>
          <w:rFonts w:hint="eastAsia" w:ascii="宋体" w:hAnsi="宋体" w:cs="宋体"/>
          <w:sz w:val="24"/>
        </w:rPr>
      </w:pPr>
      <w:r>
        <w:rPr>
          <w:rFonts w:hint="eastAsia" w:ascii="宋体" w:hAnsi="宋体" w:cs="宋体"/>
          <w:sz w:val="24"/>
        </w:rPr>
        <w:t xml:space="preserve">   在政府采购活动中，供应商提供的货物、工程或者服务符合下列情形的，享受《办法》规定的中小企业扶持政策:</w:t>
      </w:r>
    </w:p>
    <w:p>
      <w:pPr>
        <w:spacing w:line="360" w:lineRule="auto"/>
        <w:ind w:firstLine="480" w:firstLineChars="200"/>
        <w:rPr>
          <w:rFonts w:hint="eastAsia" w:ascii="宋体" w:hAnsi="宋体" w:cs="宋体"/>
          <w:sz w:val="24"/>
        </w:rPr>
      </w:pPr>
      <w:r>
        <w:rPr>
          <w:rFonts w:hint="eastAsia" w:ascii="宋体" w:hAnsi="宋体" w:cs="宋体"/>
          <w:sz w:val="24"/>
        </w:rPr>
        <w:t>(一)在货物采购项目中，货物由中小企业制造，即货物由中小企业生产且使用该中小企业商号或者注册商标；</w:t>
      </w:r>
    </w:p>
    <w:p>
      <w:pPr>
        <w:spacing w:line="360" w:lineRule="auto"/>
        <w:ind w:firstLine="480" w:firstLineChars="200"/>
        <w:rPr>
          <w:rFonts w:hint="eastAsia" w:ascii="宋体" w:hAnsi="宋体" w:cs="宋体"/>
          <w:sz w:val="24"/>
        </w:rPr>
      </w:pPr>
      <w:r>
        <w:rPr>
          <w:rFonts w:hint="eastAsia" w:ascii="宋体" w:hAnsi="宋体" w:cs="宋体"/>
          <w:sz w:val="24"/>
        </w:rPr>
        <w:t>(二)在工程采购项目中，工程由中小企业承建，即工程施工单位为中小企业；</w:t>
      </w:r>
    </w:p>
    <w:p>
      <w:pPr>
        <w:spacing w:line="360" w:lineRule="auto"/>
        <w:ind w:firstLine="480" w:firstLineChars="200"/>
        <w:rPr>
          <w:rFonts w:hint="eastAsia" w:ascii="宋体" w:hAnsi="宋体" w:cs="宋体"/>
          <w:sz w:val="24"/>
        </w:rPr>
      </w:pPr>
      <w:r>
        <w:rPr>
          <w:rFonts w:hint="eastAsia" w:ascii="宋体" w:hAnsi="宋体" w:cs="宋体"/>
          <w:sz w:val="24"/>
        </w:rPr>
        <w:t>(三)在服务采购项目中，服务由中小企业承接，即提供服务的人员为中小企业依照《中华人民共和国民法典》订立劳动合同的从业人员。</w:t>
      </w:r>
    </w:p>
    <w:p>
      <w:pPr>
        <w:spacing w:line="360" w:lineRule="auto"/>
        <w:ind w:firstLine="480" w:firstLineChars="200"/>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在货物采购项目中，供应商提供的货物既有中小企业制造货物，也有大型企业制造货物的，不享受《办法》规定的中小企业扶持政策。</w:t>
      </w:r>
    </w:p>
    <w:p>
      <w:pPr>
        <w:spacing w:line="360" w:lineRule="auto"/>
        <w:ind w:firstLine="480" w:firstLineChars="200"/>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依据《办法》规定享受扶持政策获得政府采购合同的，小微企业不得将合同分包给大中型企业，中型企业不得将合同分包给大型企业。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sz w:val="24"/>
        </w:rPr>
      </w:pPr>
      <w:r>
        <w:rPr>
          <w:rFonts w:hint="eastAsia" w:ascii="宋体" w:hAnsi="宋体" w:cs="宋体"/>
          <w:sz w:val="24"/>
        </w:rPr>
        <w:t>根据《政府采购促进中小企业发展管理办法》的通知（财库〔2020〕46号）规定，参加政府采购活动的中小企业应当提供《中小企业声明函》（见附件）。供应商提供的《中小企业声明函》资料必须真实，否则，按照有关规定予以处理。</w:t>
      </w:r>
    </w:p>
    <w:p>
      <w:pPr>
        <w:spacing w:line="360" w:lineRule="auto"/>
        <w:ind w:firstLine="480" w:firstLineChars="200"/>
        <w:rPr>
          <w:rFonts w:hint="eastAsia" w:ascii="宋体" w:hAnsi="宋体" w:cs="宋体"/>
          <w:sz w:val="24"/>
        </w:rPr>
      </w:pPr>
      <w:r>
        <w:rPr>
          <w:rFonts w:hint="eastAsia" w:ascii="宋体" w:hAnsi="宋体" w:cs="宋体"/>
          <w:sz w:val="24"/>
        </w:rPr>
        <w:t>评标委员会根据《政府采购促进中小企业发展管理办法》的相关规定，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pacing w:line="360" w:lineRule="auto"/>
        <w:rPr>
          <w:rFonts w:hint="eastAsia" w:ascii="宋体" w:hAnsi="宋体" w:cs="宋体"/>
          <w:sz w:val="24"/>
        </w:rPr>
      </w:pPr>
      <w:r>
        <w:rPr>
          <w:rFonts w:hint="eastAsia" w:ascii="宋体" w:hAnsi="宋体" w:cs="宋体"/>
          <w:sz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b/>
          <w:sz w:val="24"/>
        </w:rPr>
      </w:pPr>
      <w:r>
        <w:rPr>
          <w:rFonts w:hint="eastAsia" w:ascii="宋体" w:hAnsi="宋体" w:cs="宋体"/>
          <w:b/>
          <w:sz w:val="24"/>
        </w:rPr>
        <w:t xml:space="preserve">9.2财政部司法部关于政府采购支持监狱企业发展有关问题的通知--财库〔2014〕68号 </w:t>
      </w:r>
    </w:p>
    <w:p>
      <w:pPr>
        <w:spacing w:line="360" w:lineRule="auto"/>
        <w:rPr>
          <w:rFonts w:hint="eastAsia" w:ascii="宋体" w:hAnsi="宋体" w:cs="宋体"/>
          <w:sz w:val="24"/>
        </w:rPr>
      </w:pPr>
      <w:r>
        <w:rPr>
          <w:rFonts w:hint="eastAsia" w:ascii="宋体" w:hAnsi="宋体" w:cs="宋体"/>
          <w:sz w:val="24"/>
        </w:rPr>
        <w:t xml:space="preserve">    根据《关于政府采购支持监狱企业发展有关问题的通知》（财库（2014）68号）规定，在政府采购活动中，监狱企业视同小型、微型企业，享受政府采购促进中小企业发展的政府采购政策。监狱企业参加政府采购活动时。</w:t>
      </w:r>
    </w:p>
    <w:p>
      <w:pPr>
        <w:spacing w:line="360" w:lineRule="auto"/>
        <w:ind w:firstLine="480" w:firstLineChars="200"/>
        <w:rPr>
          <w:rFonts w:hint="eastAsia" w:ascii="宋体" w:hAnsi="宋体" w:cs="宋体"/>
          <w:sz w:val="24"/>
        </w:rPr>
      </w:pPr>
      <w:r>
        <w:rPr>
          <w:rFonts w:hint="eastAsia" w:ascii="宋体" w:hAnsi="宋体" w:cs="宋体"/>
          <w:sz w:val="24"/>
        </w:rPr>
        <w:t>评标小组对监狱企业的价格给予6%的扣除，用扣除后的价格参与评审。</w:t>
      </w:r>
    </w:p>
    <w:p>
      <w:pPr>
        <w:spacing w:line="360" w:lineRule="auto"/>
        <w:ind w:firstLine="236" w:firstLineChars="98"/>
        <w:rPr>
          <w:rFonts w:hint="eastAsia" w:ascii="宋体" w:hAnsi="宋体" w:cs="宋体"/>
          <w:b/>
          <w:sz w:val="24"/>
        </w:rPr>
      </w:pPr>
      <w:r>
        <w:rPr>
          <w:rFonts w:hint="eastAsia" w:ascii="宋体" w:hAnsi="宋体" w:cs="宋体"/>
          <w:b/>
          <w:sz w:val="24"/>
        </w:rPr>
        <w:t xml:space="preserve">  9.3《关于政府采购优先购买福利性企业产品和服务的意见》（陕民发（2015）1号）</w:t>
      </w:r>
    </w:p>
    <w:p>
      <w:pPr>
        <w:spacing w:line="360" w:lineRule="auto"/>
        <w:ind w:firstLine="480" w:firstLineChars="200"/>
        <w:rPr>
          <w:rFonts w:hint="eastAsia" w:ascii="宋体" w:hAnsi="宋体" w:cs="宋体"/>
          <w:sz w:val="24"/>
        </w:rPr>
      </w:pPr>
      <w:r>
        <w:rPr>
          <w:rFonts w:hint="eastAsia" w:ascii="宋体" w:hAnsi="宋体" w:cs="宋体"/>
          <w:sz w:val="24"/>
        </w:rPr>
        <w:t>根据《关于政府采购优先购买福利性企业产品和服务的意见》（陕民发（2015）1号）规定，在政府采购活动中，本省福利性企业享受我省规定的采购扶持政策。</w:t>
      </w:r>
    </w:p>
    <w:p>
      <w:pPr>
        <w:spacing w:line="360" w:lineRule="auto"/>
        <w:ind w:firstLine="480" w:firstLineChars="200"/>
        <w:rPr>
          <w:rFonts w:hint="eastAsia" w:ascii="宋体" w:hAnsi="宋体" w:cs="宋体"/>
          <w:sz w:val="24"/>
        </w:rPr>
      </w:pPr>
      <w:r>
        <w:rPr>
          <w:rFonts w:hint="eastAsia" w:ascii="宋体" w:hAnsi="宋体" w:cs="宋体"/>
          <w:sz w:val="24"/>
        </w:rPr>
        <w:t>根据相关规定，对福利企业的价格给予6%的扣除，用扣除后的价格参与评审。</w:t>
      </w:r>
    </w:p>
    <w:p>
      <w:pPr>
        <w:spacing w:line="360" w:lineRule="auto"/>
        <w:ind w:firstLine="241" w:firstLineChars="100"/>
        <w:rPr>
          <w:rFonts w:hint="eastAsia" w:ascii="宋体" w:hAnsi="宋体" w:cs="宋体"/>
          <w:b/>
          <w:sz w:val="24"/>
        </w:rPr>
      </w:pPr>
      <w:r>
        <w:rPr>
          <w:rFonts w:hint="eastAsia" w:ascii="宋体" w:hAnsi="宋体" w:cs="宋体"/>
          <w:b/>
          <w:sz w:val="24"/>
        </w:rPr>
        <w:t xml:space="preserve">  9.4《关于调整优化节能产品、环境标志产品政府采购执行机制的通知》--（财库[2019]9号） </w:t>
      </w:r>
    </w:p>
    <w:p>
      <w:pPr>
        <w:spacing w:line="360" w:lineRule="auto"/>
        <w:ind w:firstLine="480" w:firstLineChars="200"/>
        <w:rPr>
          <w:rFonts w:hint="eastAsia" w:ascii="宋体" w:hAnsi="宋体" w:cs="宋体"/>
          <w:sz w:val="24"/>
        </w:rPr>
      </w:pPr>
      <w:r>
        <w:rPr>
          <w:rFonts w:hint="eastAsia" w:ascii="宋体" w:hAnsi="宋体" w:cs="宋体"/>
          <w:sz w:val="24"/>
        </w:rPr>
        <w:t>根据《关于调整优化节能产品、环境标志产品政府采购执行机制的通知》--（财库[2019]9号）规定，政府采购属于品目清单中产品时，在技术、服务等指标同等条件下，应当优先采购品目清单所列的产品。</w:t>
      </w:r>
    </w:p>
    <w:p>
      <w:pPr>
        <w:spacing w:line="360" w:lineRule="auto"/>
        <w:ind w:firstLine="480" w:firstLineChars="200"/>
        <w:rPr>
          <w:rFonts w:hint="eastAsia" w:ascii="宋体" w:hAnsi="宋体" w:cs="宋体"/>
          <w:sz w:val="24"/>
        </w:rPr>
      </w:pPr>
      <w:r>
        <w:rPr>
          <w:rFonts w:hint="eastAsia" w:ascii="宋体" w:hAnsi="宋体" w:cs="宋体"/>
          <w:sz w:val="24"/>
        </w:rPr>
        <w:t>在招标时供应商应提供有效证明材料（证明材料须加盖供应商红色公章）。（注：节能产品、环境标志产品是指</w:t>
      </w:r>
      <w:r>
        <w:rPr>
          <w:rFonts w:hint="eastAsia" w:ascii="宋体" w:hAnsi="宋体" w:cs="宋体"/>
          <w:color w:val="000000"/>
          <w:sz w:val="24"/>
          <w:shd w:val="clear" w:color="auto" w:fill="FFFFFF"/>
        </w:rPr>
        <w:t>政府优先采购和强制采购的产品类别及所依据的相关标准规范</w:t>
      </w:r>
      <w:r>
        <w:rPr>
          <w:rFonts w:hint="eastAsia" w:ascii="宋体" w:hAnsi="宋体" w:cs="宋体"/>
          <w:sz w:val="24"/>
        </w:rPr>
        <w:t>的“品目清单”中的有效期内的产品）。</w:t>
      </w:r>
    </w:p>
    <w:p>
      <w:pPr>
        <w:spacing w:line="360" w:lineRule="auto"/>
        <w:ind w:firstLine="482" w:firstLineChars="200"/>
        <w:rPr>
          <w:rFonts w:hint="eastAsia" w:ascii="宋体" w:hAnsi="宋体" w:cs="宋体"/>
          <w:b/>
          <w:sz w:val="24"/>
        </w:rPr>
      </w:pPr>
      <w:r>
        <w:rPr>
          <w:rFonts w:hint="eastAsia" w:ascii="宋体" w:hAnsi="宋体" w:cs="宋体"/>
          <w:b/>
          <w:sz w:val="24"/>
        </w:rPr>
        <w:t>9.5《环境标志产品政府采购实施的意见》--财库[2006]90号</w:t>
      </w:r>
    </w:p>
    <w:p>
      <w:pPr>
        <w:spacing w:line="360" w:lineRule="auto"/>
        <w:ind w:firstLine="480" w:firstLineChars="200"/>
        <w:rPr>
          <w:rFonts w:hint="eastAsia" w:ascii="宋体" w:hAnsi="宋体" w:cs="宋体"/>
          <w:sz w:val="24"/>
        </w:rPr>
      </w:pPr>
      <w:r>
        <w:rPr>
          <w:rFonts w:hint="eastAsia" w:ascii="宋体" w:hAnsi="宋体" w:cs="宋体"/>
          <w:sz w:val="24"/>
        </w:rPr>
        <w:t>根据《环境标志产品政府采购实施的意见》--财库[2006]90号规定，采购人采购的产品在品目清单中并具有认证证书的，在性能、技术、服务等指标同等条件下，应当优先采购清单中的产品。</w:t>
      </w:r>
    </w:p>
    <w:p>
      <w:pPr>
        <w:spacing w:line="360" w:lineRule="auto"/>
        <w:ind w:firstLine="480" w:firstLineChars="200"/>
        <w:rPr>
          <w:rFonts w:hint="eastAsia" w:ascii="宋体" w:hAnsi="宋体" w:cs="宋体"/>
          <w:sz w:val="24"/>
        </w:rPr>
      </w:pPr>
      <w:r>
        <w:rPr>
          <w:rFonts w:hint="eastAsia" w:ascii="宋体" w:hAnsi="宋体" w:cs="宋体"/>
          <w:sz w:val="24"/>
        </w:rPr>
        <w:t>产品属于品目清单范围中实施政府强制采购的，需提供依据国家确定的认证机构出具的、处于有效期之内的节能产品、环境标志产品认证证书，属于品目清单范围中实施政府优先采购的，依据提供的品目清单和认证证书实施政府优先采购。</w:t>
      </w:r>
    </w:p>
    <w:p>
      <w:pPr>
        <w:spacing w:line="360" w:lineRule="auto"/>
        <w:ind w:firstLine="482" w:firstLineChars="200"/>
        <w:rPr>
          <w:rFonts w:hint="eastAsia" w:ascii="宋体" w:hAnsi="宋体" w:cs="宋体"/>
          <w:b/>
          <w:sz w:val="24"/>
        </w:rPr>
      </w:pPr>
      <w:r>
        <w:rPr>
          <w:rFonts w:hint="eastAsia" w:ascii="宋体" w:hAnsi="宋体" w:cs="宋体"/>
          <w:b/>
          <w:sz w:val="24"/>
        </w:rPr>
        <w:t>9.6《关于促进残疾人就业政府采购政策的通知》--财库〔2017〕141号</w:t>
      </w:r>
    </w:p>
    <w:p>
      <w:pPr>
        <w:spacing w:line="360" w:lineRule="auto"/>
        <w:ind w:firstLine="480"/>
        <w:rPr>
          <w:rFonts w:hint="eastAsia" w:ascii="宋体" w:hAnsi="宋体" w:cs="宋体"/>
          <w:sz w:val="24"/>
        </w:rPr>
      </w:pPr>
      <w:r>
        <w:rPr>
          <w:rFonts w:hint="eastAsia" w:ascii="宋体" w:hAnsi="宋体" w:cs="宋体"/>
          <w:sz w:val="24"/>
        </w:rPr>
        <w:t>符合条件的残疾人福利性单位在参加政府采购活动时，应提供本通知规定的《残疾人福利性单位声明函》，并对声明的真实性负责。</w:t>
      </w:r>
    </w:p>
    <w:p>
      <w:pPr>
        <w:spacing w:line="360" w:lineRule="auto"/>
        <w:ind w:firstLine="480"/>
        <w:rPr>
          <w:rFonts w:hint="eastAsia"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2" w:firstLineChars="200"/>
        <w:rPr>
          <w:rFonts w:hint="eastAsia" w:ascii="宋体" w:hAnsi="宋体" w:cs="宋体"/>
          <w:sz w:val="24"/>
          <w:lang w:val="zh-CN"/>
        </w:rPr>
      </w:pPr>
      <w:r>
        <w:rPr>
          <w:rFonts w:hint="eastAsia" w:ascii="宋体" w:hAnsi="宋体" w:cs="宋体"/>
          <w:b/>
          <w:sz w:val="24"/>
        </w:rPr>
        <w:t>9.7</w:t>
      </w:r>
      <w:r>
        <w:rPr>
          <w:rFonts w:hint="eastAsia" w:ascii="宋体" w:hAnsi="宋体" w:cs="宋体"/>
          <w:b/>
          <w:bCs/>
          <w:sz w:val="24"/>
          <w:lang w:val="zh-CN"/>
        </w:rPr>
        <w:t>根据《财政部国务院扶贫办关于运用政府采购政策支持脱贫攻坚的通知》--财库〔2019〕27号规定，</w:t>
      </w:r>
      <w:r>
        <w:rPr>
          <w:rFonts w:hint="eastAsia" w:ascii="宋体" w:hAnsi="宋体" w:cs="宋体"/>
          <w:sz w:val="24"/>
          <w:lang w:val="zh-CN"/>
        </w:rPr>
        <w:t>在政府采购活动中应落实以下政策：</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1、各级预算单位要充分认识运用好政府采购政策支持打赢脱贫攻坚战的重要性，运用好政府采购这一财政调控手段支持打赢脱贫攻坚战，优先采购贫困地区农副产品和物业服务。</w:t>
      </w:r>
    </w:p>
    <w:p>
      <w:pPr>
        <w:spacing w:line="360" w:lineRule="auto"/>
        <w:rPr>
          <w:rFonts w:hint="eastAsia" w:ascii="宋体" w:hAnsi="宋体" w:cs="宋体"/>
          <w:b/>
          <w:sz w:val="24"/>
        </w:rPr>
      </w:pPr>
      <w:r>
        <w:rPr>
          <w:rFonts w:hint="eastAsia" w:ascii="宋体" w:hAnsi="宋体" w:cs="宋体"/>
          <w:sz w:val="24"/>
          <w:lang w:val="zh-CN"/>
        </w:rPr>
        <w:t xml:space="preserve">    2、各预算单位采购农副产品的，同等条件下应优先采购贫困地区农副产品。使用财政资金采购物业服务的，有条件的应当优先采购注册地在832个国家级贫困县域内，且聘用建档立卡贫困县人员物业公司提供的物业服务。</w:t>
      </w:r>
    </w:p>
    <w:p>
      <w:pPr>
        <w:spacing w:line="360" w:lineRule="auto"/>
        <w:ind w:firstLine="482" w:firstLineChars="200"/>
        <w:rPr>
          <w:rFonts w:hint="eastAsia" w:ascii="宋体" w:hAnsi="宋体" w:cs="宋体"/>
          <w:b/>
          <w:sz w:val="24"/>
          <w:lang w:val="zh-CN"/>
        </w:rPr>
      </w:pPr>
      <w:r>
        <w:rPr>
          <w:rFonts w:hint="eastAsia" w:ascii="宋体" w:hAnsi="宋体" w:cs="宋体"/>
          <w:b/>
          <w:sz w:val="24"/>
        </w:rPr>
        <w:t>9</w:t>
      </w:r>
      <w:r>
        <w:rPr>
          <w:rFonts w:hint="eastAsia" w:ascii="宋体" w:hAnsi="宋体" w:cs="宋体"/>
          <w:b/>
          <w:sz w:val="24"/>
          <w:lang w:val="zh-CN"/>
        </w:rPr>
        <w:t>、信用担保</w:t>
      </w:r>
    </w:p>
    <w:p>
      <w:pPr>
        <w:spacing w:line="360" w:lineRule="auto"/>
        <w:ind w:firstLine="422" w:firstLineChars="200"/>
        <w:rPr>
          <w:rFonts w:hint="eastAsia" w:ascii="宋体" w:hAnsi="宋体" w:cs="宋体"/>
          <w:sz w:val="24"/>
          <w:lang w:val="zh-CN"/>
        </w:rPr>
      </w:pPr>
      <w:r>
        <w:rPr>
          <w:rFonts w:hint="eastAsia" w:ascii="宋体" w:hAnsi="宋体" w:cs="宋体"/>
          <w:b/>
          <w:lang w:val="zh-CN"/>
        </w:rPr>
        <w:t xml:space="preserve"> </w:t>
      </w:r>
      <w:r>
        <w:rPr>
          <w:rFonts w:hint="eastAsia" w:ascii="宋体" w:hAnsi="宋体" w:cs="宋体"/>
          <w:sz w:val="24"/>
          <w:lang w:val="zh-CN"/>
        </w:rPr>
        <w:t xml:space="preserve">根据《关于开展政府采购信用担保试点工作的通知》（财库（2011）124号）及《西安市政府采购信用担保及信用融资工作实施方案（试行）》（市财发〔2014〕167），为参与西安市市级政府采购项目的供应商提供政府采购信用担保和融资服务，并按照程序确定了合作的担保机构和商业银行（具体联系名单附后）。投标供应商在缴纳履约保证金时可自愿选择通过担保机构保函的形式缴纳；中标供应商如果需要融资贷款服务的，可凭中标通知书、政府采购合同等相关资料，按照实施方案规定的程序申请办理，具体规定可登陆西安政府采购网(www.xazfcg.gov.cn)重要通知专栏和西安市财政局网站(www.xaczj.gov.cn)政府采购专栏中查询了解。 </w:t>
      </w:r>
    </w:p>
    <w:p>
      <w:pPr>
        <w:numPr>
          <w:ilvl w:val="0"/>
          <w:numId w:val="7"/>
        </w:numPr>
        <w:suppressAutoHyphens/>
        <w:spacing w:line="360" w:lineRule="auto"/>
        <w:rPr>
          <w:rFonts w:hint="eastAsia" w:ascii="宋体" w:hAnsi="宋体" w:cs="宋体"/>
          <w:b/>
          <w:bCs/>
          <w:kern w:val="0"/>
          <w:sz w:val="24"/>
        </w:rPr>
      </w:pPr>
      <w:r>
        <w:rPr>
          <w:rFonts w:hint="eastAsia" w:ascii="宋体" w:hAnsi="宋体" w:cs="宋体"/>
          <w:b/>
          <w:bCs/>
          <w:kern w:val="0"/>
          <w:sz w:val="24"/>
        </w:rPr>
        <w:t>附件一：</w:t>
      </w:r>
    </w:p>
    <w:p>
      <w:pPr>
        <w:numPr>
          <w:ilvl w:val="0"/>
          <w:numId w:val="7"/>
        </w:numPr>
        <w:suppressAutoHyphens/>
        <w:spacing w:line="360" w:lineRule="auto"/>
        <w:rPr>
          <w:rFonts w:hint="eastAsia" w:ascii="宋体" w:hAnsi="宋体" w:cs="宋体"/>
          <w:b/>
          <w:bCs/>
          <w:kern w:val="0"/>
          <w:sz w:val="24"/>
        </w:rPr>
      </w:pPr>
      <w:r>
        <w:rPr>
          <w:rFonts w:hint="eastAsia" w:ascii="宋体" w:hAnsi="宋体" w:cs="宋体"/>
          <w:b/>
          <w:bCs/>
          <w:kern w:val="0"/>
          <w:sz w:val="24"/>
        </w:rPr>
        <w:t>关于信用担保的说明</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1、投标供应商在投标、履约、融资等环节可自愿选择采取信用担保的形式。</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2、投标供应商可以自愿选择是否采取履约担保函（格式见附件三）的形式交纳履约保证金。</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3、具体详见西安市财政局关于印发《西安市政府采购信用担保及信用融资工作实施方案（试行）》的通知（市财发〔2014〕167号）及西安市财政局关于贯彻落实《西安市政府采购信用担保及信用融资工作实施方案（试行）》有关事宜的通知（市财发〔2015〕4号）。</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联系方式如下：</w:t>
      </w:r>
    </w:p>
    <w:tbl>
      <w:tblPr>
        <w:tblStyle w:val="44"/>
        <w:tblW w:w="9555" w:type="dxa"/>
        <w:tblInd w:w="-46" w:type="dxa"/>
        <w:tblLayout w:type="fixed"/>
        <w:tblCellMar>
          <w:top w:w="0" w:type="dxa"/>
          <w:left w:w="108" w:type="dxa"/>
          <w:bottom w:w="0" w:type="dxa"/>
          <w:right w:w="108" w:type="dxa"/>
        </w:tblCellMar>
      </w:tblPr>
      <w:tblGrid>
        <w:gridCol w:w="635"/>
        <w:gridCol w:w="1675"/>
        <w:gridCol w:w="1680"/>
        <w:gridCol w:w="1260"/>
        <w:gridCol w:w="1155"/>
        <w:gridCol w:w="2110"/>
        <w:gridCol w:w="1040"/>
      </w:tblGrid>
      <w:tr>
        <w:tblPrEx>
          <w:tblCellMar>
            <w:top w:w="0" w:type="dxa"/>
            <w:left w:w="108" w:type="dxa"/>
            <w:bottom w:w="0" w:type="dxa"/>
            <w:right w:w="108" w:type="dxa"/>
          </w:tblCellMar>
        </w:tblPrEx>
        <w:trPr>
          <w:trHeight w:val="765" w:hRule="atLeast"/>
        </w:trPr>
        <w:tc>
          <w:tcPr>
            <w:tcW w:w="9555" w:type="dxa"/>
            <w:gridSpan w:val="7"/>
            <w:tcBorders>
              <w:top w:val="nil"/>
              <w:left w:val="nil"/>
              <w:bottom w:val="single" w:color="auto" w:sz="4" w:space="0"/>
              <w:right w:val="nil"/>
            </w:tcBorders>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32"/>
                <w:szCs w:val="32"/>
              </w:rPr>
              <w:t>西安市政府采购信用担保及信用融资合作机构联系名单</w:t>
            </w:r>
          </w:p>
        </w:tc>
      </w:tr>
      <w:tr>
        <w:tblPrEx>
          <w:tblCellMar>
            <w:top w:w="0" w:type="dxa"/>
            <w:left w:w="108" w:type="dxa"/>
            <w:bottom w:w="0" w:type="dxa"/>
            <w:right w:w="108" w:type="dxa"/>
          </w:tblCellMar>
        </w:tblPrEx>
        <w:trPr>
          <w:trHeight w:val="499"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合作单位名称</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主办单位名称</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联系部门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联系人员</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联系电话</w:t>
            </w:r>
          </w:p>
        </w:tc>
        <w:tc>
          <w:tcPr>
            <w:tcW w:w="10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西安投融资担保有限公司</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西安投融资担保有限公司</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业务四部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王蓉</w:t>
            </w:r>
            <w:r>
              <w:rPr>
                <w:rFonts w:hint="eastAsia" w:ascii="宋体" w:hAnsi="宋体" w:cs="宋体"/>
                <w:kern w:val="0"/>
                <w:sz w:val="22"/>
                <w:szCs w:val="22"/>
              </w:rPr>
              <w:br w:type="textWrapping"/>
            </w:r>
            <w:r>
              <w:rPr>
                <w:rFonts w:hint="eastAsia" w:ascii="宋体" w:hAnsi="宋体" w:cs="宋体"/>
                <w:kern w:val="0"/>
                <w:sz w:val="22"/>
                <w:szCs w:val="22"/>
              </w:rPr>
              <w:t>汪晓宇</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88480371 13110423743</w:t>
            </w:r>
            <w:r>
              <w:rPr>
                <w:rFonts w:hint="eastAsia" w:ascii="宋体" w:hAnsi="宋体" w:cs="宋体"/>
                <w:kern w:val="0"/>
                <w:sz w:val="22"/>
                <w:szCs w:val="22"/>
              </w:rPr>
              <w:br w:type="textWrapping"/>
            </w:r>
            <w:r>
              <w:rPr>
                <w:rFonts w:hint="eastAsia" w:ascii="宋体" w:hAnsi="宋体" w:cs="宋体"/>
                <w:kern w:val="0"/>
                <w:sz w:val="22"/>
                <w:szCs w:val="22"/>
              </w:rPr>
              <w:t>88489590 13629260305</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担保</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2</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中国银行股份有限公司</w:t>
            </w:r>
            <w:r>
              <w:rPr>
                <w:rFonts w:hint="eastAsia" w:ascii="宋体" w:hAnsi="宋体" w:cs="宋体"/>
                <w:kern w:val="0"/>
                <w:sz w:val="22"/>
                <w:szCs w:val="22"/>
              </w:rPr>
              <w:br w:type="textWrapping"/>
            </w:r>
            <w:r>
              <w:rPr>
                <w:rFonts w:hint="eastAsia" w:ascii="宋体" w:hAnsi="宋体" w:cs="宋体"/>
                <w:kern w:val="0"/>
                <w:sz w:val="22"/>
                <w:szCs w:val="22"/>
              </w:rPr>
              <w:t>陕西省分行</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中国银行西安二环世纪星支行</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公司业务部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 xml:space="preserve">胡涛 </w:t>
            </w:r>
            <w:r>
              <w:rPr>
                <w:rFonts w:hint="eastAsia" w:ascii="宋体" w:hAnsi="宋体" w:cs="宋体"/>
                <w:kern w:val="0"/>
                <w:sz w:val="22"/>
                <w:szCs w:val="22"/>
              </w:rPr>
              <w:br w:type="textWrapping"/>
            </w:r>
            <w:r>
              <w:rPr>
                <w:rFonts w:hint="eastAsia" w:ascii="宋体" w:hAnsi="宋体" w:cs="宋体"/>
                <w:kern w:val="0"/>
                <w:sz w:val="22"/>
                <w:szCs w:val="22"/>
              </w:rPr>
              <w:t>叶楚沙</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88360743 18629048822</w:t>
            </w:r>
            <w:r>
              <w:rPr>
                <w:rFonts w:hint="eastAsia" w:ascii="宋体" w:hAnsi="宋体" w:cs="宋体"/>
                <w:kern w:val="0"/>
                <w:sz w:val="22"/>
                <w:szCs w:val="22"/>
              </w:rPr>
              <w:br w:type="textWrapping"/>
            </w:r>
            <w:r>
              <w:rPr>
                <w:rFonts w:hint="eastAsia" w:ascii="宋体" w:hAnsi="宋体" w:cs="宋体"/>
                <w:kern w:val="0"/>
                <w:sz w:val="22"/>
                <w:szCs w:val="22"/>
              </w:rPr>
              <w:t>88360749 13772153612</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融资</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3</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中国建设银行股份有限公司</w:t>
            </w:r>
            <w:r>
              <w:rPr>
                <w:rFonts w:hint="eastAsia" w:ascii="宋体" w:hAnsi="宋体" w:cs="宋体"/>
                <w:kern w:val="0"/>
                <w:sz w:val="22"/>
                <w:szCs w:val="22"/>
              </w:rPr>
              <w:br w:type="textWrapping"/>
            </w:r>
            <w:r>
              <w:rPr>
                <w:rFonts w:hint="eastAsia" w:ascii="宋体" w:hAnsi="宋体" w:cs="宋体"/>
                <w:kern w:val="0"/>
                <w:sz w:val="22"/>
                <w:szCs w:val="22"/>
              </w:rPr>
              <w:t>陕西省分行</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建设银行西安市南大街支行</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公司部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杨向晖</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87281468</w:t>
            </w:r>
            <w:r>
              <w:rPr>
                <w:rFonts w:hint="eastAsia" w:ascii="宋体" w:hAnsi="宋体" w:cs="宋体"/>
                <w:kern w:val="0"/>
                <w:sz w:val="22"/>
                <w:szCs w:val="22"/>
              </w:rPr>
              <w:br w:type="textWrapping"/>
            </w:r>
            <w:r>
              <w:rPr>
                <w:rFonts w:hint="eastAsia" w:ascii="宋体" w:hAnsi="宋体" w:cs="宋体"/>
                <w:kern w:val="0"/>
                <w:sz w:val="22"/>
                <w:szCs w:val="22"/>
              </w:rPr>
              <w:t>13379229383</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融资</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4</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中国工商银行股份有限公司</w:t>
            </w:r>
            <w:r>
              <w:rPr>
                <w:rFonts w:hint="eastAsia" w:ascii="宋体" w:hAnsi="宋体" w:cs="宋体"/>
                <w:kern w:val="0"/>
                <w:sz w:val="22"/>
                <w:szCs w:val="22"/>
              </w:rPr>
              <w:br w:type="textWrapping"/>
            </w:r>
            <w:r>
              <w:rPr>
                <w:rFonts w:hint="eastAsia" w:ascii="宋体" w:hAnsi="宋体" w:cs="宋体"/>
                <w:kern w:val="0"/>
                <w:sz w:val="22"/>
                <w:szCs w:val="22"/>
              </w:rPr>
              <w:t>陕西省分行营业部</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工商银行陕西分行营业部</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小企业金融业务部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牛国群</w:t>
            </w:r>
            <w:r>
              <w:rPr>
                <w:rFonts w:hint="eastAsia" w:ascii="宋体" w:hAnsi="宋体" w:cs="宋体"/>
                <w:kern w:val="0"/>
                <w:sz w:val="22"/>
                <w:szCs w:val="22"/>
              </w:rPr>
              <w:br w:type="textWrapping"/>
            </w:r>
            <w:r>
              <w:rPr>
                <w:rFonts w:hint="eastAsia" w:ascii="宋体" w:hAnsi="宋体" w:cs="宋体"/>
                <w:kern w:val="0"/>
                <w:sz w:val="22"/>
                <w:szCs w:val="22"/>
              </w:rPr>
              <w:t>张航</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87609569 18992851811</w:t>
            </w:r>
            <w:r>
              <w:rPr>
                <w:rFonts w:hint="eastAsia" w:ascii="宋体" w:hAnsi="宋体" w:cs="宋体"/>
                <w:kern w:val="0"/>
                <w:sz w:val="22"/>
                <w:szCs w:val="22"/>
              </w:rPr>
              <w:br w:type="textWrapping"/>
            </w:r>
            <w:r>
              <w:rPr>
                <w:rFonts w:hint="eastAsia" w:ascii="宋体" w:hAnsi="宋体" w:cs="宋体"/>
                <w:kern w:val="0"/>
                <w:sz w:val="22"/>
                <w:szCs w:val="22"/>
              </w:rPr>
              <w:t>87609761 13891883334</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融资</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5</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中国农业银行股份有限公司</w:t>
            </w:r>
            <w:r>
              <w:rPr>
                <w:rFonts w:hint="eastAsia" w:ascii="宋体" w:hAnsi="宋体" w:cs="宋体"/>
                <w:kern w:val="0"/>
                <w:sz w:val="22"/>
                <w:szCs w:val="22"/>
              </w:rPr>
              <w:br w:type="textWrapping"/>
            </w:r>
            <w:r>
              <w:rPr>
                <w:rFonts w:hint="eastAsia" w:ascii="宋体" w:hAnsi="宋体" w:cs="宋体"/>
                <w:kern w:val="0"/>
                <w:sz w:val="22"/>
                <w:szCs w:val="22"/>
              </w:rPr>
              <w:t>陕西省分行营业部</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农业银行西安西大街支行</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公司业务部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贾珊</w:t>
            </w:r>
            <w:r>
              <w:rPr>
                <w:rFonts w:hint="eastAsia" w:ascii="宋体" w:hAnsi="宋体" w:cs="宋体"/>
                <w:kern w:val="0"/>
                <w:sz w:val="22"/>
                <w:szCs w:val="22"/>
              </w:rPr>
              <w:br w:type="textWrapping"/>
            </w:r>
            <w:r>
              <w:rPr>
                <w:rFonts w:hint="eastAsia" w:ascii="宋体" w:hAnsi="宋体" w:cs="宋体"/>
                <w:kern w:val="0"/>
                <w:sz w:val="22"/>
                <w:szCs w:val="22"/>
              </w:rPr>
              <w:t>高雅</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87617245 13891957123</w:t>
            </w:r>
            <w:r>
              <w:rPr>
                <w:rFonts w:hint="eastAsia" w:ascii="宋体" w:hAnsi="宋体" w:cs="宋体"/>
                <w:kern w:val="0"/>
                <w:sz w:val="22"/>
                <w:szCs w:val="22"/>
              </w:rPr>
              <w:br w:type="textWrapping"/>
            </w:r>
            <w:r>
              <w:rPr>
                <w:rFonts w:hint="eastAsia" w:ascii="宋体" w:hAnsi="宋体" w:cs="宋体"/>
                <w:kern w:val="0"/>
                <w:sz w:val="22"/>
                <w:szCs w:val="22"/>
              </w:rPr>
              <w:t>87613444 13659192425</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融资</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6</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交通银行股份有限公司</w:t>
            </w:r>
            <w:r>
              <w:rPr>
                <w:rFonts w:hint="eastAsia" w:ascii="宋体" w:hAnsi="宋体" w:cs="宋体"/>
                <w:kern w:val="0"/>
                <w:sz w:val="22"/>
                <w:szCs w:val="22"/>
              </w:rPr>
              <w:br w:type="textWrapping"/>
            </w:r>
            <w:r>
              <w:rPr>
                <w:rFonts w:hint="eastAsia" w:ascii="宋体" w:hAnsi="宋体" w:cs="宋体"/>
                <w:kern w:val="0"/>
                <w:sz w:val="22"/>
                <w:szCs w:val="22"/>
              </w:rPr>
              <w:t>陕西省分行</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交通银行西安西五路支行</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个人贷款中心</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李卫公</w:t>
            </w:r>
            <w:r>
              <w:rPr>
                <w:rFonts w:hint="eastAsia" w:ascii="宋体" w:hAnsi="宋体" w:cs="宋体"/>
                <w:kern w:val="0"/>
                <w:sz w:val="22"/>
                <w:szCs w:val="22"/>
              </w:rPr>
              <w:br w:type="textWrapping"/>
            </w:r>
            <w:r>
              <w:rPr>
                <w:rFonts w:hint="eastAsia" w:ascii="宋体" w:hAnsi="宋体" w:cs="宋体"/>
                <w:kern w:val="0"/>
                <w:sz w:val="22"/>
                <w:szCs w:val="22"/>
              </w:rPr>
              <w:t>雷强</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87297632 13991290525</w:t>
            </w:r>
            <w:r>
              <w:rPr>
                <w:rFonts w:hint="eastAsia" w:ascii="宋体" w:hAnsi="宋体" w:cs="宋体"/>
                <w:kern w:val="0"/>
                <w:sz w:val="22"/>
                <w:szCs w:val="22"/>
              </w:rPr>
              <w:br w:type="textWrapping"/>
            </w:r>
            <w:r>
              <w:rPr>
                <w:rFonts w:hint="eastAsia" w:ascii="宋体" w:hAnsi="宋体" w:cs="宋体"/>
                <w:kern w:val="0"/>
                <w:sz w:val="22"/>
                <w:szCs w:val="22"/>
              </w:rPr>
              <w:t>87272444 18629362690</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融资</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7</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招商银行股份有限公司</w:t>
            </w:r>
            <w:r>
              <w:rPr>
                <w:rFonts w:hint="eastAsia" w:ascii="宋体" w:hAnsi="宋体" w:cs="宋体"/>
                <w:kern w:val="0"/>
                <w:sz w:val="22"/>
                <w:szCs w:val="22"/>
              </w:rPr>
              <w:br w:type="textWrapping"/>
            </w:r>
            <w:r>
              <w:rPr>
                <w:rFonts w:hint="eastAsia" w:ascii="宋体" w:hAnsi="宋体" w:cs="宋体"/>
                <w:kern w:val="0"/>
                <w:sz w:val="22"/>
                <w:szCs w:val="22"/>
              </w:rPr>
              <w:t>西安分行</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招商银行西安未央路支行</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公司银行部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杨皓</w:t>
            </w:r>
            <w:r>
              <w:rPr>
                <w:rFonts w:hint="eastAsia" w:ascii="宋体" w:hAnsi="宋体" w:cs="宋体"/>
                <w:kern w:val="0"/>
                <w:sz w:val="22"/>
                <w:szCs w:val="22"/>
              </w:rPr>
              <w:br w:type="textWrapping"/>
            </w:r>
            <w:r>
              <w:rPr>
                <w:rFonts w:hint="eastAsia" w:ascii="宋体" w:hAnsi="宋体" w:cs="宋体"/>
                <w:kern w:val="0"/>
                <w:sz w:val="22"/>
                <w:szCs w:val="22"/>
              </w:rPr>
              <w:t>马秦香</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62811553 15002905553</w:t>
            </w:r>
            <w:r>
              <w:rPr>
                <w:rFonts w:hint="eastAsia" w:ascii="宋体" w:hAnsi="宋体" w:cs="宋体"/>
                <w:kern w:val="0"/>
                <w:sz w:val="22"/>
                <w:szCs w:val="22"/>
              </w:rPr>
              <w:br w:type="textWrapping"/>
            </w:r>
            <w:r>
              <w:rPr>
                <w:rFonts w:hint="eastAsia" w:ascii="宋体" w:hAnsi="宋体" w:cs="宋体"/>
                <w:kern w:val="0"/>
                <w:sz w:val="22"/>
                <w:szCs w:val="22"/>
              </w:rPr>
              <w:t>62811553 13609183259</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融资</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8</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中国民生银行股份有限公司</w:t>
            </w:r>
            <w:r>
              <w:rPr>
                <w:rFonts w:hint="eastAsia" w:ascii="宋体" w:hAnsi="宋体" w:cs="宋体"/>
                <w:kern w:val="0"/>
                <w:sz w:val="22"/>
                <w:szCs w:val="22"/>
              </w:rPr>
              <w:br w:type="textWrapping"/>
            </w:r>
            <w:r>
              <w:rPr>
                <w:rFonts w:hint="eastAsia" w:ascii="宋体" w:hAnsi="宋体" w:cs="宋体"/>
                <w:kern w:val="0"/>
                <w:sz w:val="22"/>
                <w:szCs w:val="22"/>
              </w:rPr>
              <w:t>西安分行</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民生银行西安分行</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城建金融部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李楠</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88266088-8450</w:t>
            </w:r>
            <w:r>
              <w:rPr>
                <w:rFonts w:hint="eastAsia" w:ascii="宋体" w:hAnsi="宋体" w:cs="宋体"/>
                <w:kern w:val="0"/>
                <w:sz w:val="22"/>
                <w:szCs w:val="22"/>
              </w:rPr>
              <w:br w:type="textWrapping"/>
            </w:r>
            <w:r>
              <w:rPr>
                <w:rFonts w:hint="eastAsia" w:ascii="宋体" w:hAnsi="宋体" w:cs="宋体"/>
                <w:kern w:val="0"/>
                <w:sz w:val="22"/>
                <w:szCs w:val="22"/>
              </w:rPr>
              <w:t>13572058213</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融资</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9</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中国光大银行股份有限公司</w:t>
            </w:r>
            <w:r>
              <w:rPr>
                <w:rFonts w:hint="eastAsia" w:ascii="宋体" w:hAnsi="宋体" w:cs="宋体"/>
                <w:kern w:val="0"/>
                <w:sz w:val="22"/>
                <w:szCs w:val="22"/>
              </w:rPr>
              <w:br w:type="textWrapping"/>
            </w:r>
            <w:r>
              <w:rPr>
                <w:rFonts w:hint="eastAsia" w:ascii="宋体" w:hAnsi="宋体" w:cs="宋体"/>
                <w:kern w:val="0"/>
                <w:sz w:val="22"/>
                <w:szCs w:val="22"/>
              </w:rPr>
              <w:t>西安分行</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光大银行经济技术开发区支行</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对公客户经理部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高艺瑄</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15619006186</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融资</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10</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昆仑银行股份有限公司</w:t>
            </w:r>
            <w:r>
              <w:rPr>
                <w:rFonts w:hint="eastAsia" w:ascii="宋体" w:hAnsi="宋体" w:cs="宋体"/>
                <w:kern w:val="0"/>
                <w:sz w:val="22"/>
                <w:szCs w:val="22"/>
              </w:rPr>
              <w:br w:type="textWrapping"/>
            </w:r>
            <w:r>
              <w:rPr>
                <w:rFonts w:hint="eastAsia" w:ascii="宋体" w:hAnsi="宋体" w:cs="宋体"/>
                <w:kern w:val="0"/>
                <w:sz w:val="22"/>
                <w:szCs w:val="22"/>
              </w:rPr>
              <w:t>西安分行</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昆仑银行西安分行</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机构投行部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韩天清</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86978975</w:t>
            </w:r>
            <w:r>
              <w:rPr>
                <w:rFonts w:hint="eastAsia" w:ascii="宋体" w:hAnsi="宋体" w:cs="宋体"/>
                <w:kern w:val="0"/>
                <w:sz w:val="22"/>
                <w:szCs w:val="22"/>
              </w:rPr>
              <w:br w:type="textWrapping"/>
            </w:r>
            <w:r>
              <w:rPr>
                <w:rFonts w:hint="eastAsia" w:ascii="宋体" w:hAnsi="宋体" w:cs="宋体"/>
                <w:kern w:val="0"/>
                <w:sz w:val="22"/>
                <w:szCs w:val="22"/>
              </w:rPr>
              <w:t>15609108028</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融资</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11</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平安银行股份有限公司</w:t>
            </w:r>
            <w:r>
              <w:rPr>
                <w:rFonts w:hint="eastAsia" w:ascii="宋体" w:hAnsi="宋体" w:cs="宋体"/>
                <w:kern w:val="0"/>
                <w:sz w:val="22"/>
                <w:szCs w:val="22"/>
              </w:rPr>
              <w:br w:type="textWrapping"/>
            </w:r>
            <w:r>
              <w:rPr>
                <w:rFonts w:hint="eastAsia" w:ascii="宋体" w:hAnsi="宋体" w:cs="宋体"/>
                <w:kern w:val="0"/>
                <w:sz w:val="22"/>
                <w:szCs w:val="22"/>
              </w:rPr>
              <w:t>西安分行</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平安银行西安分行</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业务发展七部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祝捷</w:t>
            </w:r>
            <w:r>
              <w:rPr>
                <w:rFonts w:hint="eastAsia" w:ascii="宋体" w:hAnsi="宋体" w:cs="宋体"/>
                <w:kern w:val="0"/>
                <w:sz w:val="22"/>
                <w:szCs w:val="22"/>
              </w:rPr>
              <w:br w:type="textWrapping"/>
            </w:r>
            <w:r>
              <w:rPr>
                <w:rFonts w:hint="eastAsia" w:ascii="宋体" w:hAnsi="宋体" w:cs="宋体"/>
                <w:kern w:val="0"/>
                <w:sz w:val="22"/>
                <w:szCs w:val="22"/>
              </w:rPr>
              <w:t>王尧</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18629505188</w:t>
            </w:r>
            <w:r>
              <w:rPr>
                <w:rFonts w:hint="eastAsia" w:ascii="宋体" w:hAnsi="宋体" w:cs="宋体"/>
                <w:kern w:val="0"/>
                <w:sz w:val="22"/>
                <w:szCs w:val="22"/>
              </w:rPr>
              <w:br w:type="textWrapping"/>
            </w:r>
            <w:r>
              <w:rPr>
                <w:rFonts w:hint="eastAsia" w:ascii="宋体" w:hAnsi="宋体" w:cs="宋体"/>
                <w:kern w:val="0"/>
                <w:sz w:val="22"/>
                <w:szCs w:val="22"/>
              </w:rPr>
              <w:t>18591767577</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融资</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12</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北京银行股份有限公司</w:t>
            </w:r>
            <w:r>
              <w:rPr>
                <w:rFonts w:hint="eastAsia" w:ascii="宋体" w:hAnsi="宋体" w:cs="宋体"/>
                <w:kern w:val="0"/>
                <w:sz w:val="22"/>
                <w:szCs w:val="22"/>
              </w:rPr>
              <w:br w:type="textWrapping"/>
            </w:r>
            <w:r>
              <w:rPr>
                <w:rFonts w:hint="eastAsia" w:ascii="宋体" w:hAnsi="宋体" w:cs="宋体"/>
                <w:kern w:val="0"/>
                <w:sz w:val="22"/>
                <w:szCs w:val="22"/>
              </w:rPr>
              <w:t>西安分行</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北京银行西安分行</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营业部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范诗阳</w:t>
            </w:r>
            <w:r>
              <w:rPr>
                <w:rFonts w:hint="eastAsia" w:ascii="宋体" w:hAnsi="宋体" w:cs="宋体"/>
                <w:kern w:val="0"/>
                <w:sz w:val="22"/>
                <w:szCs w:val="22"/>
              </w:rPr>
              <w:br w:type="textWrapping"/>
            </w:r>
            <w:r>
              <w:rPr>
                <w:rFonts w:hint="eastAsia" w:ascii="宋体" w:hAnsi="宋体" w:cs="宋体"/>
                <w:kern w:val="0"/>
                <w:sz w:val="22"/>
                <w:szCs w:val="22"/>
              </w:rPr>
              <w:t>曹英</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13991945764</w:t>
            </w:r>
            <w:r>
              <w:rPr>
                <w:rFonts w:hint="eastAsia" w:ascii="宋体" w:hAnsi="宋体" w:cs="宋体"/>
                <w:kern w:val="0"/>
                <w:sz w:val="22"/>
                <w:szCs w:val="22"/>
              </w:rPr>
              <w:br w:type="textWrapping"/>
            </w:r>
            <w:r>
              <w:rPr>
                <w:rFonts w:hint="eastAsia" w:ascii="宋体" w:hAnsi="宋体" w:cs="宋体"/>
                <w:kern w:val="0"/>
                <w:sz w:val="22"/>
                <w:szCs w:val="22"/>
              </w:rPr>
              <w:t>18691892195</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融资</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13</w:t>
            </w:r>
          </w:p>
        </w:tc>
        <w:tc>
          <w:tcPr>
            <w:tcW w:w="16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兴业银行股份有限公司</w:t>
            </w:r>
            <w:r>
              <w:rPr>
                <w:rFonts w:hint="eastAsia" w:ascii="宋体" w:hAnsi="宋体" w:cs="宋体"/>
                <w:kern w:val="0"/>
                <w:sz w:val="22"/>
                <w:szCs w:val="22"/>
              </w:rPr>
              <w:br w:type="textWrapping"/>
            </w:r>
            <w:r>
              <w:rPr>
                <w:rFonts w:hint="eastAsia" w:ascii="宋体" w:hAnsi="宋体" w:cs="宋体"/>
                <w:kern w:val="0"/>
                <w:sz w:val="22"/>
                <w:szCs w:val="22"/>
              </w:rPr>
              <w:t>西安分行</w:t>
            </w:r>
          </w:p>
        </w:tc>
        <w:tc>
          <w:tcPr>
            <w:tcW w:w="16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兴业银行西安分行</w:t>
            </w:r>
          </w:p>
        </w:tc>
        <w:tc>
          <w:tcPr>
            <w:tcW w:w="12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新城业务总部</w:t>
            </w:r>
          </w:p>
        </w:tc>
        <w:tc>
          <w:tcPr>
            <w:tcW w:w="115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徐常磊</w:t>
            </w:r>
            <w:r>
              <w:rPr>
                <w:rFonts w:hint="eastAsia" w:ascii="宋体" w:hAnsi="宋体" w:cs="宋体"/>
                <w:kern w:val="0"/>
                <w:sz w:val="22"/>
                <w:szCs w:val="22"/>
              </w:rPr>
              <w:br w:type="textWrapping"/>
            </w:r>
            <w:r>
              <w:rPr>
                <w:rFonts w:hint="eastAsia" w:ascii="宋体" w:hAnsi="宋体" w:cs="宋体"/>
                <w:kern w:val="0"/>
                <w:sz w:val="22"/>
                <w:szCs w:val="22"/>
              </w:rPr>
              <w:t>鲁旸</w:t>
            </w:r>
          </w:p>
        </w:tc>
        <w:tc>
          <w:tcPr>
            <w:tcW w:w="211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15991623666</w:t>
            </w:r>
            <w:r>
              <w:rPr>
                <w:rFonts w:hint="eastAsia" w:ascii="宋体" w:hAnsi="宋体" w:cs="宋体"/>
                <w:kern w:val="0"/>
                <w:sz w:val="22"/>
                <w:szCs w:val="22"/>
              </w:rPr>
              <w:br w:type="textWrapping"/>
            </w:r>
            <w:r>
              <w:rPr>
                <w:rFonts w:hint="eastAsia" w:ascii="宋体" w:hAnsi="宋体" w:cs="宋体"/>
                <w:kern w:val="0"/>
                <w:sz w:val="22"/>
                <w:szCs w:val="22"/>
              </w:rPr>
              <w:t>15389081886</w:t>
            </w:r>
          </w:p>
        </w:tc>
        <w:tc>
          <w:tcPr>
            <w:tcW w:w="104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信用</w:t>
            </w:r>
          </w:p>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融资</w:t>
            </w:r>
          </w:p>
        </w:tc>
      </w:tr>
      <w:tr>
        <w:tblPrEx>
          <w:tblCellMar>
            <w:top w:w="0" w:type="dxa"/>
            <w:left w:w="108" w:type="dxa"/>
            <w:bottom w:w="0" w:type="dxa"/>
            <w:right w:w="108" w:type="dxa"/>
          </w:tblCellMar>
        </w:tblPrEx>
        <w:trPr>
          <w:trHeight w:val="560" w:hRule="atLeast"/>
        </w:trPr>
        <w:tc>
          <w:tcPr>
            <w:tcW w:w="9555" w:type="dxa"/>
            <w:gridSpan w:val="7"/>
            <w:vMerge w:val="restart"/>
            <w:tcBorders>
              <w:top w:val="nil"/>
              <w:left w:val="nil"/>
              <w:bottom w:val="nil"/>
              <w:right w:val="nil"/>
            </w:tcBorders>
            <w:vAlign w:val="center"/>
          </w:tcPr>
          <w:p>
            <w:pPr>
              <w:widowControl/>
              <w:spacing w:line="360" w:lineRule="auto"/>
              <w:jc w:val="left"/>
              <w:rPr>
                <w:rFonts w:hint="eastAsia" w:ascii="宋体" w:hAnsi="宋体" w:cs="宋体"/>
                <w:kern w:val="0"/>
                <w:sz w:val="22"/>
                <w:szCs w:val="22"/>
              </w:rPr>
            </w:pPr>
            <w:r>
              <w:rPr>
                <w:rFonts w:hint="eastAsia" w:ascii="宋体" w:hAnsi="宋体" w:cs="宋体"/>
                <w:kern w:val="0"/>
                <w:sz w:val="22"/>
                <w:szCs w:val="22"/>
              </w:rPr>
              <w:t>注：本项工作依据西安市财政局门户网站“政府采购”专栏中《西安市政府采购信用担保及融资工作实施方案（试行）》（市财发[2014]167号）组织开展，本表信息如有变动，请信息报送单位在发生变更之日起3个工作日内向西安市财政局备案，否则责任自负。</w:t>
            </w:r>
          </w:p>
        </w:tc>
      </w:tr>
      <w:tr>
        <w:tblPrEx>
          <w:tblCellMar>
            <w:top w:w="0" w:type="dxa"/>
            <w:left w:w="108" w:type="dxa"/>
            <w:bottom w:w="0" w:type="dxa"/>
            <w:right w:w="108" w:type="dxa"/>
          </w:tblCellMar>
        </w:tblPrEx>
        <w:trPr>
          <w:trHeight w:val="560" w:hRule="atLeast"/>
        </w:trPr>
        <w:tc>
          <w:tcPr>
            <w:tcW w:w="9555" w:type="dxa"/>
            <w:gridSpan w:val="7"/>
            <w:vMerge w:val="continue"/>
            <w:tcBorders>
              <w:top w:val="nil"/>
              <w:left w:val="nil"/>
              <w:bottom w:val="nil"/>
              <w:right w:val="nil"/>
            </w:tcBorders>
            <w:vAlign w:val="center"/>
          </w:tcPr>
          <w:p>
            <w:pPr>
              <w:widowControl/>
              <w:spacing w:line="360" w:lineRule="auto"/>
              <w:jc w:val="left"/>
              <w:rPr>
                <w:rFonts w:hint="eastAsia" w:ascii="宋体" w:hAnsi="宋体" w:cs="宋体"/>
                <w:kern w:val="0"/>
                <w:sz w:val="22"/>
                <w:szCs w:val="22"/>
              </w:rPr>
            </w:pPr>
          </w:p>
        </w:tc>
      </w:tr>
    </w:tbl>
    <w:p>
      <w:pPr>
        <w:spacing w:line="360" w:lineRule="auto"/>
        <w:rPr>
          <w:rFonts w:hint="eastAsia" w:ascii="宋体" w:hAnsi="宋体" w:cs="宋体"/>
          <w:b/>
          <w:bCs/>
          <w:kern w:val="0"/>
          <w:sz w:val="24"/>
        </w:rPr>
        <w:sectPr>
          <w:footerReference r:id="rId13" w:type="even"/>
          <w:pgSz w:w="11906" w:h="16838"/>
          <w:pgMar w:top="1418" w:right="1418" w:bottom="1418" w:left="1418" w:header="851" w:footer="992" w:gutter="0"/>
          <w:cols w:space="720" w:num="1"/>
          <w:docGrid w:linePitch="312" w:charSpace="0"/>
        </w:sectPr>
      </w:pPr>
    </w:p>
    <w:p>
      <w:pPr>
        <w:spacing w:line="360" w:lineRule="auto"/>
        <w:rPr>
          <w:rFonts w:hint="eastAsia" w:ascii="宋体" w:hAnsi="宋体" w:cs="宋体"/>
          <w:b/>
          <w:kern w:val="0"/>
          <w:sz w:val="24"/>
        </w:rPr>
      </w:pPr>
      <w:r>
        <w:rPr>
          <w:rFonts w:hint="eastAsia" w:ascii="宋体" w:hAnsi="宋体" w:cs="宋体"/>
          <w:b/>
          <w:kern w:val="0"/>
          <w:sz w:val="24"/>
        </w:rPr>
        <w:t xml:space="preserve">附件二： </w:t>
      </w:r>
      <w:r>
        <w:rPr>
          <w:rFonts w:hint="eastAsia" w:ascii="宋体" w:hAnsi="宋体" w:cs="宋体"/>
          <w:b/>
          <w:bCs/>
          <w:kern w:val="0"/>
          <w:sz w:val="24"/>
        </w:rPr>
        <w:t>政府采购履约担保函（项目用）</w:t>
      </w:r>
    </w:p>
    <w:p>
      <w:pPr>
        <w:numPr>
          <w:ilvl w:val="0"/>
          <w:numId w:val="7"/>
        </w:numPr>
        <w:suppressAutoHyphens/>
        <w:spacing w:line="360" w:lineRule="auto"/>
        <w:jc w:val="left"/>
        <w:rPr>
          <w:rFonts w:hint="eastAsia" w:ascii="宋体" w:hAnsi="宋体" w:cs="宋体"/>
          <w:kern w:val="0"/>
          <w:sz w:val="24"/>
        </w:rPr>
      </w:pPr>
      <w:r>
        <w:rPr>
          <w:rFonts w:hint="eastAsia" w:ascii="宋体" w:hAnsi="宋体" w:cs="宋体"/>
          <w:kern w:val="0"/>
          <w:sz w:val="24"/>
        </w:rPr>
        <w:t xml:space="preserve">                             编号：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 xml:space="preserve">（采购人）：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鉴于你方与</w:t>
      </w:r>
      <w:r>
        <w:rPr>
          <w:rFonts w:hint="eastAsia" w:ascii="宋体" w:hAnsi="宋体" w:cs="宋体"/>
          <w:kern w:val="0"/>
          <w:sz w:val="24"/>
          <w:u w:val="single"/>
        </w:rPr>
        <w:t xml:space="preserve">                    </w:t>
      </w:r>
      <w:r>
        <w:rPr>
          <w:rFonts w:hint="eastAsia" w:ascii="宋体" w:hAnsi="宋体" w:cs="宋体"/>
          <w:kern w:val="0"/>
          <w:sz w:val="24"/>
        </w:rPr>
        <w:t>（以下简称供应商）于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日签定编号为</w:t>
      </w:r>
      <w:r>
        <w:rPr>
          <w:rFonts w:hint="eastAsia" w:ascii="宋体" w:hAnsi="宋体" w:cs="宋体"/>
          <w:kern w:val="0"/>
          <w:sz w:val="24"/>
          <w:u w:val="single"/>
        </w:rPr>
        <w:t xml:space="preserve">      </w:t>
      </w:r>
      <w:r>
        <w:rPr>
          <w:rFonts w:hint="eastAsia" w:ascii="宋体" w:hAnsi="宋体" w:cs="宋体"/>
          <w:kern w:val="0"/>
          <w:sz w:val="24"/>
        </w:rPr>
        <w:t> 的《</w:t>
      </w:r>
      <w:r>
        <w:rPr>
          <w:rFonts w:hint="eastAsia" w:ascii="宋体" w:hAnsi="宋体" w:cs="宋体"/>
          <w:kern w:val="0"/>
          <w:sz w:val="24"/>
          <w:u w:val="single"/>
        </w:rPr>
        <w:t xml:space="preserve">           </w:t>
      </w:r>
      <w:r>
        <w:rPr>
          <w:rFonts w:hint="eastAsia" w:ascii="宋体" w:hAnsi="宋体" w:cs="宋体"/>
          <w:kern w:val="0"/>
          <w:sz w:val="24"/>
        </w:rPr>
        <w:t>政府采购合同》（以下简称主合同），且依据该合同的约定，供应商应在</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 xml:space="preserve">日前向你方交纳履约保证金，且可以履约担保函的形式交纳履约保证金。应供应商的申请，我方以保证的方式向你方提供如下履约保证金担保：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一、保证责任的情形及保证金额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（一）在供应商出现下列情形之一时，我方承担保证责任：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1．将中标项目转让给他人，或者在投标文件中未说明，且未经采购招标机构人同意，将中标项目分包给他人的；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2．主合同约定的应当缴纳履约保证金的情形: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（1）未按主合同约定的质量、数量和期限供应货物/提供服务/完成工程的；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（2）</w:t>
      </w:r>
      <w:r>
        <w:rPr>
          <w:rFonts w:hint="eastAsia" w:ascii="宋体" w:hAnsi="宋体" w:cs="宋体"/>
          <w:kern w:val="0"/>
          <w:sz w:val="24"/>
          <w:u w:val="single"/>
        </w:rPr>
        <w:t xml:space="preserve">                 </w:t>
      </w:r>
      <w:r>
        <w:rPr>
          <w:rFonts w:hint="eastAsia" w:ascii="宋体" w:hAnsi="宋体" w:cs="宋体"/>
          <w:kern w:val="0"/>
          <w:sz w:val="24"/>
        </w:rPr>
        <w:t xml:space="preserve">。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（二）我方的保证范围是主合同约定的合同价款总额的</w:t>
      </w:r>
      <w:r>
        <w:rPr>
          <w:rFonts w:hint="eastAsia" w:ascii="宋体" w:hAnsi="宋体" w:cs="宋体"/>
          <w:kern w:val="0"/>
          <w:sz w:val="24"/>
          <w:u w:val="single"/>
        </w:rPr>
        <w:t xml:space="preserve">        </w:t>
      </w:r>
      <w:r>
        <w:rPr>
          <w:rFonts w:hint="eastAsia" w:ascii="宋体" w:hAnsi="宋体" w:cs="宋体"/>
          <w:kern w:val="0"/>
          <w:sz w:val="24"/>
        </w:rPr>
        <w:t>%数额为</w:t>
      </w:r>
      <w:r>
        <w:rPr>
          <w:rFonts w:hint="eastAsia"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w:t>
      </w:r>
      <w:r>
        <w:rPr>
          <w:rFonts w:hint="eastAsia" w:ascii="宋体" w:hAnsi="宋体" w:cs="宋体"/>
          <w:kern w:val="0"/>
          <w:sz w:val="24"/>
        </w:rPr>
        <w:t>），币种为</w:t>
      </w:r>
      <w:r>
        <w:rPr>
          <w:rFonts w:hint="eastAsia" w:ascii="宋体" w:hAnsi="宋体" w:cs="宋体"/>
          <w:kern w:val="0"/>
          <w:sz w:val="24"/>
          <w:u w:val="single"/>
        </w:rPr>
        <w:t xml:space="preserve">        </w:t>
      </w:r>
      <w:r>
        <w:rPr>
          <w:rFonts w:hint="eastAsia" w:ascii="宋体" w:hAnsi="宋体" w:cs="宋体"/>
          <w:kern w:val="0"/>
          <w:sz w:val="24"/>
        </w:rPr>
        <w:t xml:space="preserve">。（即主合同履约保证金金额）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二、保证的方式及保证期间 </w:t>
      </w:r>
    </w:p>
    <w:p>
      <w:pPr>
        <w:spacing w:line="360" w:lineRule="auto"/>
        <w:rPr>
          <w:rFonts w:hint="eastAsia" w:ascii="宋体" w:hAnsi="宋体" w:cs="宋体"/>
          <w:kern w:val="0"/>
          <w:sz w:val="24"/>
        </w:rPr>
      </w:pPr>
      <w:r>
        <w:rPr>
          <w:rFonts w:hint="eastAsia" w:ascii="宋体" w:hAnsi="宋体" w:cs="宋体"/>
          <w:kern w:val="0"/>
          <w:sz w:val="24"/>
        </w:rPr>
        <w:t xml:space="preserve">    我方保证的方式为：连带责任保证。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我方保证的期间为：自本合同生效之日起至供应商按照主合同约定的供货/完工期限届满后</w:t>
      </w:r>
      <w:r>
        <w:rPr>
          <w:rFonts w:hint="eastAsia" w:ascii="宋体" w:hAnsi="宋体" w:cs="宋体"/>
          <w:kern w:val="0"/>
          <w:sz w:val="24"/>
          <w:u w:val="single"/>
        </w:rPr>
        <w:t xml:space="preserve">     </w:t>
      </w:r>
      <w:r>
        <w:rPr>
          <w:rFonts w:hint="eastAsia" w:ascii="宋体" w:hAnsi="宋体" w:cs="宋体"/>
          <w:kern w:val="0"/>
          <w:sz w:val="24"/>
        </w:rPr>
        <w:t xml:space="preserve">日内。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如果供应商未按主合同约定向贵方供应货物/提供服务/完成工程的，由我方在保证金额内向你方支付上述款项。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三、承担保证责任的程序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1．你方要求我方承担保证责任的，应在本保函保证期间内向我方发出书面索赔通知。索赔通知应写明要求索赔的金额，支付款项应到达的帐号。并附有证明供应商违约事实的证明材料。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如果你方与供应商因货物质量问题产生争议，你方还需同时提供</w:t>
      </w:r>
      <w:r>
        <w:rPr>
          <w:rFonts w:hint="eastAsia" w:ascii="宋体" w:hAnsi="宋体" w:cs="宋体"/>
          <w:kern w:val="0"/>
          <w:sz w:val="24"/>
          <w:u w:val="single"/>
        </w:rPr>
        <w:t xml:space="preserve">        </w:t>
      </w:r>
      <w:r>
        <w:rPr>
          <w:rFonts w:hint="eastAsia" w:ascii="宋体" w:hAnsi="宋体" w:cs="宋体"/>
          <w:kern w:val="0"/>
          <w:sz w:val="24"/>
        </w:rPr>
        <w:t xml:space="preserve">部门出具的质量检测报告，或经诉讼（仲裁）程序裁决后的裁决书、调解书，本保证人即按照检测结果或裁决书、调解书决定是否承担保证责任。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2．我方收到你方的书面索赔通知及相应证明材料，在</w:t>
      </w:r>
      <w:r>
        <w:rPr>
          <w:rFonts w:hint="eastAsia" w:ascii="宋体" w:hAnsi="宋体" w:cs="宋体"/>
          <w:kern w:val="0"/>
          <w:sz w:val="24"/>
          <w:u w:val="single"/>
        </w:rPr>
        <w:t xml:space="preserve">     </w:t>
      </w:r>
      <w:r>
        <w:rPr>
          <w:rFonts w:hint="eastAsia" w:ascii="宋体" w:hAnsi="宋体" w:cs="宋体"/>
          <w:kern w:val="0"/>
          <w:sz w:val="24"/>
        </w:rPr>
        <w:t xml:space="preserve">工作日内进行核定后按照本保函的承诺承担保证责任。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四、保证责任的终止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1．保证期间届满你方未向我方书面主张保证责任的，自保证期间届满次日起，我方保证责任自动终止。保证期间届满前，主合同约定的货物\工程\服务全部验收合格的，自验收合格日起，我方保证责任自动终止。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2．我方按照本保函向你方履行了保证责任后，自我方向你方支付款项（支付款项从我方账户划出）之日起，保证责任即终止。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3．按照法律法规的规定或出现应终止我方保证责任的其它情形的，我方在本保函项下的保证责任亦终止。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五、免责条款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1．因你方违反主合同约定致使供应商不能履行义务的，我方不承担保证责任。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2．依照法律法规的规定或你方与供应商的另行约定，全部或者部分免除供应商应缴纳的保证金义务的，我方亦免除相应的保证责任。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3．因不可抗力造成供应商不能履行供货义务的，我方不承担保证责任。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六、争议的解决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因本保函发生的纠纷，由你我双方协商解决，协商不成的，通过诉讼程序解决，诉讼管辖地法院为</w:t>
      </w:r>
      <w:r>
        <w:rPr>
          <w:rFonts w:hint="eastAsia" w:ascii="宋体" w:hAnsi="宋体" w:cs="宋体"/>
          <w:kern w:val="0"/>
          <w:sz w:val="24"/>
          <w:u w:val="single"/>
        </w:rPr>
        <w:t xml:space="preserve">        </w:t>
      </w:r>
      <w:r>
        <w:rPr>
          <w:rFonts w:hint="eastAsia" w:ascii="宋体" w:hAnsi="宋体" w:cs="宋体"/>
          <w:kern w:val="0"/>
          <w:sz w:val="24"/>
        </w:rPr>
        <w:t xml:space="preserve">法院。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七、保函的生效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本保函自我方加盖公章之日起生效。 </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保证人：（公章）                           </w:t>
      </w:r>
    </w:p>
    <w:p>
      <w:pPr>
        <w:numPr>
          <w:ilvl w:val="0"/>
          <w:numId w:val="7"/>
        </w:numPr>
        <w:suppressAutoHyphens/>
        <w:spacing w:line="360" w:lineRule="auto"/>
        <w:rPr>
          <w:rFonts w:hint="eastAsia" w:ascii="宋体" w:hAnsi="宋体" w:cs="宋体"/>
          <w:kern w:val="0"/>
          <w:sz w:val="24"/>
        </w:rPr>
      </w:pPr>
    </w:p>
    <w:p>
      <w:pPr>
        <w:suppressAutoHyphens/>
        <w:spacing w:line="360" w:lineRule="auto"/>
        <w:rPr>
          <w:rFonts w:hint="eastAsia" w:ascii="宋体" w:hAnsi="宋体" w:cs="宋体"/>
          <w:kern w:val="0"/>
          <w:sz w:val="24"/>
        </w:rPr>
      </w:pPr>
    </w:p>
    <w:p>
      <w:pPr>
        <w:suppressAutoHyphens/>
        <w:spacing w:line="360" w:lineRule="auto"/>
        <w:rPr>
          <w:rFonts w:hint="eastAsia" w:ascii="宋体" w:hAnsi="宋体" w:cs="宋体"/>
          <w:kern w:val="0"/>
          <w:sz w:val="24"/>
        </w:rPr>
      </w:pPr>
    </w:p>
    <w:p>
      <w:pPr>
        <w:numPr>
          <w:ilvl w:val="0"/>
          <w:numId w:val="7"/>
        </w:numPr>
        <w:suppressAutoHyphens/>
        <w:spacing w:line="360" w:lineRule="auto"/>
        <w:jc w:val="right"/>
        <w:rPr>
          <w:rFonts w:hint="eastAsia" w:ascii="宋体" w:hAnsi="宋体" w:cs="宋体"/>
          <w:kern w:val="0"/>
          <w:sz w:val="24"/>
        </w:rPr>
      </w:pPr>
      <w:r>
        <w:rPr>
          <w:rFonts w:hint="eastAsia" w:ascii="宋体" w:hAnsi="宋体" w:cs="宋体"/>
          <w:kern w:val="0"/>
          <w:sz w:val="24"/>
        </w:rPr>
        <w:t>年  月 日</w:t>
      </w:r>
    </w:p>
    <w:p>
      <w:pPr>
        <w:numPr>
          <w:ilvl w:val="0"/>
          <w:numId w:val="7"/>
        </w:numPr>
        <w:suppressAutoHyphens/>
        <w:spacing w:line="360" w:lineRule="auto"/>
        <w:rPr>
          <w:rFonts w:hint="eastAsia" w:ascii="宋体" w:hAnsi="宋体" w:cs="宋体"/>
          <w:spacing w:val="6"/>
          <w:sz w:val="30"/>
          <w:szCs w:val="30"/>
        </w:rPr>
      </w:pPr>
      <w:r>
        <w:rPr>
          <w:rFonts w:hint="eastAsia" w:ascii="宋体" w:hAnsi="宋体" w:cs="宋体"/>
          <w:b/>
          <w:kern w:val="0"/>
          <w:sz w:val="24"/>
        </w:rPr>
        <w:br w:type="page"/>
      </w:r>
      <w:r>
        <w:rPr>
          <w:rFonts w:hint="eastAsia" w:ascii="宋体" w:hAnsi="宋体" w:cs="宋体"/>
          <w:b/>
          <w:kern w:val="0"/>
          <w:sz w:val="24"/>
        </w:rPr>
        <w:t>附件三：</w:t>
      </w:r>
    </w:p>
    <w:p>
      <w:pPr>
        <w:numPr>
          <w:ilvl w:val="0"/>
          <w:numId w:val="7"/>
        </w:numPr>
        <w:suppressAutoHyphens/>
        <w:spacing w:line="360" w:lineRule="auto"/>
        <w:jc w:val="center"/>
        <w:rPr>
          <w:rFonts w:hint="eastAsia" w:ascii="宋体" w:hAnsi="宋体" w:cs="宋体"/>
          <w:b/>
          <w:spacing w:val="6"/>
          <w:sz w:val="24"/>
        </w:rPr>
      </w:pPr>
      <w:r>
        <w:rPr>
          <w:rFonts w:hint="eastAsia" w:ascii="宋体" w:hAnsi="宋体" w:cs="宋体"/>
          <w:b/>
          <w:spacing w:val="6"/>
          <w:sz w:val="24"/>
        </w:rPr>
        <w:t>残疾人福利性单位声明函</w:t>
      </w:r>
    </w:p>
    <w:p>
      <w:pPr>
        <w:numPr>
          <w:ilvl w:val="0"/>
          <w:numId w:val="7"/>
        </w:numPr>
        <w:suppressAutoHyphens/>
        <w:spacing w:line="360" w:lineRule="auto"/>
        <w:rPr>
          <w:rFonts w:hint="eastAsia" w:ascii="宋体" w:hAnsi="宋体" w:cs="宋体"/>
          <w:b/>
          <w:spacing w:val="6"/>
          <w:sz w:val="24"/>
        </w:rPr>
      </w:pPr>
    </w:p>
    <w:p>
      <w:pPr>
        <w:numPr>
          <w:ilvl w:val="0"/>
          <w:numId w:val="7"/>
        </w:numPr>
        <w:suppressAutoHyphens/>
        <w:spacing w:line="360" w:lineRule="auto"/>
        <w:rPr>
          <w:rFonts w:hint="eastAsia" w:ascii="宋体" w:hAnsi="宋体" w:cs="宋体"/>
          <w:spacing w:val="6"/>
          <w:sz w:val="24"/>
        </w:rPr>
      </w:pPr>
      <w:r>
        <w:rPr>
          <w:rFonts w:hint="eastAsia" w:ascii="宋体" w:hAnsi="宋体" w:cs="宋体"/>
          <w:spacing w:val="6"/>
          <w:sz w:val="24"/>
        </w:rPr>
        <w:t xml:space="preserve">    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numPr>
          <w:ilvl w:val="0"/>
          <w:numId w:val="7"/>
        </w:numPr>
        <w:suppressAutoHyphens/>
        <w:spacing w:line="360" w:lineRule="auto"/>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pPr>
        <w:numPr>
          <w:ilvl w:val="0"/>
          <w:numId w:val="7"/>
        </w:numPr>
        <w:suppressAutoHyphens/>
        <w:spacing w:line="360" w:lineRule="auto"/>
        <w:rPr>
          <w:rFonts w:hint="eastAsia" w:ascii="宋体" w:hAnsi="宋体" w:cs="宋体"/>
          <w:spacing w:val="6"/>
          <w:sz w:val="24"/>
        </w:rPr>
      </w:pP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备注：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spacing w:line="360" w:lineRule="auto"/>
        <w:rPr>
          <w:rFonts w:hint="eastAsia" w:cs="宋体"/>
        </w:rPr>
      </w:pPr>
    </w:p>
    <w:p>
      <w:pPr>
        <w:spacing w:line="360" w:lineRule="auto"/>
        <w:rPr>
          <w:rFonts w:hint="eastAsia" w:ascii="宋体" w:hAnsi="宋体" w:cs="宋体"/>
        </w:rPr>
      </w:pPr>
    </w:p>
    <w:p>
      <w:pPr>
        <w:numPr>
          <w:ilvl w:val="0"/>
          <w:numId w:val="7"/>
        </w:numPr>
        <w:tabs>
          <w:tab w:val="left" w:pos="4860"/>
        </w:tabs>
        <w:suppressAutoHyphens/>
        <w:spacing w:line="360" w:lineRule="auto"/>
        <w:ind w:right="1560"/>
        <w:jc w:val="center"/>
        <w:rPr>
          <w:rFonts w:hint="eastAsia" w:ascii="宋体" w:hAnsi="宋体" w:cs="宋体"/>
          <w:spacing w:val="6"/>
          <w:sz w:val="24"/>
        </w:rPr>
      </w:pPr>
      <w:r>
        <w:rPr>
          <w:rFonts w:hint="eastAsia" w:ascii="宋体" w:hAnsi="宋体" w:cs="宋体"/>
          <w:spacing w:val="6"/>
          <w:sz w:val="24"/>
        </w:rPr>
        <w:t>单位名称（盖章）：</w:t>
      </w:r>
    </w:p>
    <w:p>
      <w:pPr>
        <w:numPr>
          <w:ilvl w:val="0"/>
          <w:numId w:val="7"/>
        </w:numPr>
        <w:suppressAutoHyphens/>
        <w:spacing w:line="360" w:lineRule="auto"/>
        <w:jc w:val="right"/>
        <w:rPr>
          <w:rFonts w:hint="eastAsia" w:ascii="宋体" w:hAnsi="宋体" w:cs="宋体"/>
          <w:spacing w:val="6"/>
          <w:sz w:val="24"/>
        </w:rPr>
      </w:pPr>
      <w:r>
        <w:rPr>
          <w:rFonts w:hint="eastAsia" w:ascii="宋体" w:hAnsi="宋体" w:cs="宋体"/>
          <w:spacing w:val="6"/>
          <w:sz w:val="24"/>
        </w:rPr>
        <w:t>日  期： 年 月 日</w:t>
      </w:r>
    </w:p>
    <w:p>
      <w:pPr>
        <w:numPr>
          <w:ilvl w:val="0"/>
          <w:numId w:val="7"/>
        </w:numPr>
        <w:suppressAutoHyphens/>
        <w:spacing w:line="360" w:lineRule="auto"/>
        <w:rPr>
          <w:rFonts w:hint="eastAsia" w:ascii="宋体" w:hAnsi="宋体" w:cs="宋体"/>
          <w:spacing w:val="6"/>
          <w:sz w:val="24"/>
        </w:rPr>
      </w:pPr>
      <w:r>
        <w:rPr>
          <w:rFonts w:hint="eastAsia" w:ascii="宋体" w:hAnsi="宋体" w:cs="宋体"/>
          <w:spacing w:val="6"/>
          <w:sz w:val="24"/>
        </w:rPr>
        <w:br w:type="page"/>
      </w:r>
      <w:r>
        <w:rPr>
          <w:rFonts w:hint="eastAsia" w:ascii="宋体" w:hAnsi="宋体" w:cs="宋体"/>
          <w:b/>
          <w:kern w:val="0"/>
          <w:sz w:val="24"/>
        </w:rPr>
        <w:t>附件四：</w:t>
      </w:r>
    </w:p>
    <w:p>
      <w:pPr>
        <w:pStyle w:val="40"/>
        <w:shd w:val="clear" w:color="auto" w:fill="FFFFFF"/>
        <w:spacing w:beforeLines="100" w:afterLines="100" w:line="360" w:lineRule="auto"/>
        <w:ind w:firstLine="506" w:firstLineChars="200"/>
        <w:rPr>
          <w:rFonts w:hint="eastAsia"/>
          <w:b/>
          <w:bCs/>
          <w:color w:val="333333"/>
          <w:spacing w:val="8"/>
        </w:rPr>
      </w:pPr>
      <w:r>
        <w:rPr>
          <w:rFonts w:hint="eastAsia"/>
          <w:b/>
          <w:spacing w:val="6"/>
        </w:rPr>
        <w:t xml:space="preserve">                </w:t>
      </w:r>
      <w:r>
        <w:rPr>
          <w:rFonts w:hint="eastAsia"/>
          <w:b/>
          <w:bCs/>
          <w:color w:val="333333"/>
          <w:spacing w:val="15"/>
          <w:shd w:val="clear" w:color="auto" w:fill="FFFFFF"/>
        </w:rPr>
        <w:t>中小企业声明函(工程、服务)</w:t>
      </w:r>
    </w:p>
    <w:p>
      <w:pPr>
        <w:pStyle w:val="40"/>
        <w:shd w:val="clear" w:color="auto" w:fill="FFFFFF"/>
        <w:spacing w:line="276" w:lineRule="auto"/>
        <w:ind w:firstLine="480" w:firstLineChars="200"/>
        <w:rPr>
          <w:rFonts w:hint="eastAsia"/>
        </w:rPr>
      </w:pPr>
      <w:r>
        <w:rPr>
          <w:rFonts w:hint="eastAsia"/>
        </w:rPr>
        <w:t>本公司(联合体)郑重声明，根据《政府采购促进中小企业发展管理办法》(财库〔2020〕46号)的规定，本公司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40"/>
        <w:shd w:val="clear" w:color="auto" w:fill="FFFFFF"/>
        <w:spacing w:line="276" w:lineRule="auto"/>
        <w:ind w:firstLine="540" w:firstLineChars="200"/>
        <w:rPr>
          <w:rFonts w:hint="eastAsia"/>
          <w:color w:val="333333"/>
          <w:spacing w:val="8"/>
        </w:rPr>
      </w:pPr>
      <w:r>
        <w:rPr>
          <w:rFonts w:hint="eastAsia"/>
          <w:color w:val="333333"/>
          <w:spacing w:val="15"/>
          <w:shd w:val="clear" w:color="auto" w:fill="FFFFFF"/>
        </w:rPr>
        <w:t>1</w:t>
      </w:r>
      <w:r>
        <w:rPr>
          <w:rFonts w:hint="eastAsia"/>
          <w:color w:val="333333"/>
          <w:spacing w:val="15"/>
          <w:u w:val="single"/>
          <w:shd w:val="clear" w:color="auto" w:fill="FFFFFF"/>
        </w:rPr>
        <w:t>. (项目名称)，</w:t>
      </w:r>
      <w:r>
        <w:rPr>
          <w:rFonts w:hint="eastAsia"/>
          <w:color w:val="333333"/>
          <w:spacing w:val="15"/>
          <w:shd w:val="clear" w:color="auto" w:fill="FFFFFF"/>
        </w:rPr>
        <w:t>属于</w:t>
      </w:r>
      <w:r>
        <w:rPr>
          <w:rFonts w:hint="eastAsia"/>
          <w:color w:val="333333"/>
          <w:spacing w:val="15"/>
          <w:u w:val="single"/>
          <w:shd w:val="clear" w:color="auto" w:fill="FFFFFF"/>
        </w:rPr>
        <w:t xml:space="preserve">(采购文件中明确的所属“其他未列明行业”行业); </w:t>
      </w:r>
      <w:r>
        <w:rPr>
          <w:rFonts w:hint="eastAsia"/>
          <w:color w:val="333333"/>
          <w:spacing w:val="15"/>
          <w:shd w:val="clear" w:color="auto" w:fill="FFFFFF"/>
        </w:rPr>
        <w:t>承建(承接)企业为</w:t>
      </w:r>
      <w:r>
        <w:rPr>
          <w:rFonts w:hint="eastAsia"/>
          <w:color w:val="333333"/>
          <w:spacing w:val="15"/>
          <w:u w:val="single"/>
          <w:shd w:val="clear" w:color="auto" w:fill="FFFFFF"/>
        </w:rPr>
        <w:t>(企业名称)，</w:t>
      </w:r>
      <w:r>
        <w:rPr>
          <w:rFonts w:hint="eastAsia"/>
          <w:color w:val="333333"/>
          <w:spacing w:val="15"/>
          <w:shd w:val="clear" w:color="auto" w:fill="FFFFFF"/>
        </w:rPr>
        <w:t>从业人员</w:t>
      </w:r>
      <w:r>
        <w:rPr>
          <w:rFonts w:hint="eastAsia"/>
          <w:color w:val="333333"/>
          <w:spacing w:val="15"/>
          <w:u w:val="single"/>
          <w:shd w:val="clear" w:color="auto" w:fill="FFFFFF"/>
        </w:rPr>
        <w:t>   </w:t>
      </w:r>
      <w:r>
        <w:rPr>
          <w:rFonts w:hint="eastAsia"/>
          <w:color w:val="333333"/>
          <w:spacing w:val="15"/>
          <w:shd w:val="clear" w:color="auto" w:fill="FFFFFF"/>
        </w:rPr>
        <w:t>人，营业收入为</w:t>
      </w:r>
      <w:r>
        <w:rPr>
          <w:rFonts w:hint="eastAsia"/>
          <w:color w:val="333333"/>
          <w:spacing w:val="15"/>
          <w:u w:val="single"/>
          <w:shd w:val="clear" w:color="auto" w:fill="FFFFFF"/>
        </w:rPr>
        <w:t>   </w:t>
      </w:r>
      <w:r>
        <w:rPr>
          <w:rFonts w:hint="eastAsia"/>
          <w:color w:val="333333"/>
          <w:spacing w:val="15"/>
          <w:shd w:val="clear" w:color="auto" w:fill="FFFFFF"/>
        </w:rPr>
        <w:t>万元，资产总额为</w:t>
      </w:r>
      <w:r>
        <w:rPr>
          <w:rFonts w:hint="eastAsia"/>
          <w:color w:val="333333"/>
          <w:spacing w:val="15"/>
          <w:u w:val="single"/>
          <w:shd w:val="clear" w:color="auto" w:fill="FFFFFF"/>
        </w:rPr>
        <w:t>   </w:t>
      </w:r>
      <w:r>
        <w:rPr>
          <w:rFonts w:hint="eastAsia"/>
          <w:color w:val="333333"/>
          <w:spacing w:val="15"/>
          <w:shd w:val="clear" w:color="auto" w:fill="FFFFFF"/>
        </w:rPr>
        <w:t>万元</w:t>
      </w:r>
      <w:r>
        <w:rPr>
          <w:rFonts w:hint="eastAsia"/>
          <w:color w:val="333333"/>
          <w:spacing w:val="15"/>
          <w:shd w:val="clear" w:color="auto" w:fill="FFFFFF"/>
          <w:vertAlign w:val="superscript"/>
        </w:rPr>
        <w:t>1</w:t>
      </w:r>
      <w:r>
        <w:rPr>
          <w:rFonts w:hint="eastAsia"/>
          <w:color w:val="333333"/>
          <w:spacing w:val="15"/>
          <w:shd w:val="clear" w:color="auto" w:fill="FFFFFF"/>
        </w:rPr>
        <w:t>，属于</w:t>
      </w:r>
      <w:r>
        <w:rPr>
          <w:rFonts w:hint="eastAsia"/>
          <w:color w:val="333333"/>
          <w:spacing w:val="15"/>
          <w:u w:val="single"/>
          <w:shd w:val="clear" w:color="auto" w:fill="FFFFFF"/>
        </w:rPr>
        <w:t>(中型企业、小型企业、微型企业);</w:t>
      </w:r>
    </w:p>
    <w:p>
      <w:pPr>
        <w:pStyle w:val="40"/>
        <w:shd w:val="clear" w:color="auto" w:fill="FFFFFF"/>
        <w:spacing w:line="276" w:lineRule="auto"/>
        <w:ind w:firstLine="540" w:firstLineChars="200"/>
        <w:rPr>
          <w:rFonts w:hint="eastAsia"/>
          <w:color w:val="333333"/>
          <w:spacing w:val="8"/>
        </w:rPr>
      </w:pPr>
      <w:r>
        <w:rPr>
          <w:rFonts w:hint="eastAsia"/>
          <w:color w:val="333333"/>
          <w:spacing w:val="15"/>
          <w:shd w:val="clear" w:color="auto" w:fill="FFFFFF"/>
        </w:rPr>
        <w:t>2.</w:t>
      </w:r>
      <w:r>
        <w:rPr>
          <w:rFonts w:hint="eastAsia"/>
          <w:color w:val="333333"/>
          <w:spacing w:val="15"/>
          <w:u w:val="single"/>
          <w:shd w:val="clear" w:color="auto" w:fill="FFFFFF"/>
        </w:rPr>
        <w:t xml:space="preserve"> (项目名称)，</w:t>
      </w:r>
      <w:r>
        <w:rPr>
          <w:rFonts w:hint="eastAsia"/>
          <w:color w:val="333333"/>
          <w:spacing w:val="15"/>
          <w:shd w:val="clear" w:color="auto" w:fill="FFFFFF"/>
        </w:rPr>
        <w:t>属于</w:t>
      </w:r>
      <w:r>
        <w:rPr>
          <w:rFonts w:hint="eastAsia"/>
          <w:color w:val="333333"/>
          <w:spacing w:val="15"/>
          <w:u w:val="single"/>
          <w:shd w:val="clear" w:color="auto" w:fill="FFFFFF"/>
        </w:rPr>
        <w:t xml:space="preserve">(采购文件中明确的所属“其他未列明行业”行业); </w:t>
      </w:r>
      <w:r>
        <w:rPr>
          <w:rFonts w:hint="eastAsia"/>
          <w:color w:val="333333"/>
          <w:spacing w:val="15"/>
          <w:shd w:val="clear" w:color="auto" w:fill="FFFFFF"/>
        </w:rPr>
        <w:t>承建(承接)企业为</w:t>
      </w:r>
      <w:r>
        <w:rPr>
          <w:rFonts w:hint="eastAsia"/>
          <w:color w:val="333333"/>
          <w:spacing w:val="15"/>
          <w:u w:val="single"/>
          <w:shd w:val="clear" w:color="auto" w:fill="FFFFFF"/>
        </w:rPr>
        <w:t>(企业名称)，</w:t>
      </w:r>
      <w:r>
        <w:rPr>
          <w:rFonts w:hint="eastAsia"/>
          <w:color w:val="333333"/>
          <w:spacing w:val="15"/>
          <w:shd w:val="clear" w:color="auto" w:fill="FFFFFF"/>
        </w:rPr>
        <w:t>从业人员</w:t>
      </w:r>
      <w:r>
        <w:rPr>
          <w:rFonts w:hint="eastAsia"/>
          <w:color w:val="333333"/>
          <w:spacing w:val="15"/>
          <w:u w:val="single"/>
          <w:shd w:val="clear" w:color="auto" w:fill="FFFFFF"/>
        </w:rPr>
        <w:t>   </w:t>
      </w:r>
      <w:r>
        <w:rPr>
          <w:rFonts w:hint="eastAsia"/>
          <w:color w:val="333333"/>
          <w:spacing w:val="15"/>
          <w:shd w:val="clear" w:color="auto" w:fill="FFFFFF"/>
        </w:rPr>
        <w:t>人，营业收入为</w:t>
      </w:r>
      <w:r>
        <w:rPr>
          <w:rFonts w:hint="eastAsia"/>
          <w:color w:val="333333"/>
          <w:spacing w:val="15"/>
          <w:u w:val="single"/>
          <w:shd w:val="clear" w:color="auto" w:fill="FFFFFF"/>
        </w:rPr>
        <w:t>   </w:t>
      </w:r>
      <w:r>
        <w:rPr>
          <w:rFonts w:hint="eastAsia"/>
          <w:color w:val="333333"/>
          <w:spacing w:val="15"/>
          <w:shd w:val="clear" w:color="auto" w:fill="FFFFFF"/>
        </w:rPr>
        <w:t>万元，资产总额为</w:t>
      </w:r>
      <w:r>
        <w:rPr>
          <w:rFonts w:hint="eastAsia"/>
          <w:color w:val="333333"/>
          <w:spacing w:val="15"/>
          <w:u w:val="single"/>
          <w:shd w:val="clear" w:color="auto" w:fill="FFFFFF"/>
        </w:rPr>
        <w:t>   </w:t>
      </w:r>
      <w:r>
        <w:rPr>
          <w:rFonts w:hint="eastAsia"/>
          <w:color w:val="333333"/>
          <w:spacing w:val="15"/>
          <w:shd w:val="clear" w:color="auto" w:fill="FFFFFF"/>
        </w:rPr>
        <w:t>万元，属于</w:t>
      </w:r>
      <w:r>
        <w:rPr>
          <w:rFonts w:hint="eastAsia"/>
          <w:color w:val="333333"/>
          <w:spacing w:val="15"/>
          <w:u w:val="single"/>
          <w:shd w:val="clear" w:color="auto" w:fill="FFFFFF"/>
        </w:rPr>
        <w:t>(中型企业、小型企业、微型企业)</w:t>
      </w:r>
      <w:r>
        <w:rPr>
          <w:rFonts w:hint="eastAsia"/>
          <w:color w:val="333333"/>
          <w:spacing w:val="15"/>
          <w:shd w:val="clear" w:color="auto" w:fill="FFFFFF"/>
        </w:rPr>
        <w:t>;</w:t>
      </w:r>
    </w:p>
    <w:p>
      <w:pPr>
        <w:pStyle w:val="40"/>
        <w:shd w:val="clear" w:color="auto" w:fill="FFFFFF"/>
        <w:spacing w:line="276" w:lineRule="auto"/>
        <w:ind w:firstLine="480" w:firstLineChars="200"/>
        <w:rPr>
          <w:rFonts w:hint="eastAsia"/>
        </w:rPr>
      </w:pPr>
      <w:r>
        <w:rPr>
          <w:rFonts w:hint="eastAsia"/>
        </w:rPr>
        <w:t>......</w:t>
      </w:r>
    </w:p>
    <w:p>
      <w:pPr>
        <w:pStyle w:val="40"/>
        <w:shd w:val="clear" w:color="auto" w:fill="FFFFFF"/>
        <w:spacing w:line="276" w:lineRule="auto"/>
        <w:ind w:firstLine="480" w:firstLineChars="200"/>
        <w:rPr>
          <w:rFonts w:hint="eastAsia"/>
        </w:rPr>
      </w:pPr>
      <w:r>
        <w:rPr>
          <w:rFonts w:hint="eastAsia"/>
        </w:rPr>
        <w:t>以上企业，不属于大企业的分支机构，不存在控股股东为大企业的情形，也不存在与大企业的负责人为同一人的情形。本企业对上述声明内容的真实性负责。如有虚假，将依法承担相应责任。</w:t>
      </w:r>
    </w:p>
    <w:p>
      <w:pPr>
        <w:pStyle w:val="40"/>
        <w:shd w:val="clear" w:color="auto" w:fill="FFFFFF"/>
        <w:spacing w:line="276" w:lineRule="auto"/>
        <w:ind w:firstLine="480" w:firstLineChars="200"/>
        <w:rPr>
          <w:rFonts w:hint="eastAsia"/>
        </w:rPr>
      </w:pPr>
      <w:r>
        <w:rPr>
          <w:rFonts w:hint="eastAsia"/>
        </w:rPr>
        <w:t>从业人员、营业收入、资产总额填报上一年度数据，无上一年度数据的新成立企业可不填报。</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备注：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7"/>
        </w:numPr>
        <w:suppressAutoHyphens/>
        <w:spacing w:line="360" w:lineRule="auto"/>
        <w:jc w:val="center"/>
        <w:rPr>
          <w:rFonts w:hint="eastAsia" w:ascii="宋体" w:hAnsi="宋体" w:cs="宋体"/>
          <w:spacing w:val="6"/>
          <w:sz w:val="24"/>
        </w:rPr>
      </w:pPr>
      <w:r>
        <w:rPr>
          <w:rFonts w:hint="eastAsia" w:ascii="宋体" w:hAnsi="宋体" w:cs="宋体"/>
          <w:spacing w:val="6"/>
          <w:sz w:val="24"/>
        </w:rPr>
        <w:t xml:space="preserve">            </w:t>
      </w:r>
    </w:p>
    <w:p>
      <w:pPr>
        <w:numPr>
          <w:ilvl w:val="0"/>
          <w:numId w:val="7"/>
        </w:numPr>
        <w:suppressAutoHyphens/>
        <w:spacing w:line="360" w:lineRule="auto"/>
        <w:jc w:val="center"/>
        <w:rPr>
          <w:rFonts w:hint="eastAsia" w:ascii="宋体" w:hAnsi="宋体" w:cs="宋体"/>
          <w:spacing w:val="6"/>
          <w:sz w:val="24"/>
        </w:rPr>
      </w:pPr>
      <w:r>
        <w:rPr>
          <w:rFonts w:hint="eastAsia" w:ascii="宋体" w:hAnsi="宋体" w:cs="宋体"/>
          <w:spacing w:val="6"/>
          <w:sz w:val="24"/>
        </w:rPr>
        <w:t>企业名称（盖章）：</w:t>
      </w:r>
    </w:p>
    <w:p>
      <w:pPr>
        <w:numPr>
          <w:ilvl w:val="0"/>
          <w:numId w:val="7"/>
        </w:numPr>
        <w:suppressAutoHyphens/>
        <w:spacing w:line="360" w:lineRule="auto"/>
        <w:jc w:val="right"/>
        <w:rPr>
          <w:rFonts w:hint="eastAsia" w:ascii="宋体" w:hAnsi="宋体" w:cs="宋体"/>
          <w:b/>
          <w:sz w:val="32"/>
          <w:szCs w:val="32"/>
        </w:rPr>
      </w:pPr>
      <w:r>
        <w:rPr>
          <w:rFonts w:hint="eastAsia" w:ascii="宋体" w:hAnsi="宋体" w:cs="宋体"/>
          <w:spacing w:val="6"/>
          <w:sz w:val="24"/>
        </w:rPr>
        <w:t>日  期： 年 月 日</w:t>
      </w:r>
    </w:p>
    <w:p>
      <w:pPr>
        <w:pStyle w:val="40"/>
        <w:numPr>
          <w:ilvl w:val="0"/>
          <w:numId w:val="7"/>
        </w:numPr>
        <w:shd w:val="clear" w:color="auto" w:fill="FFFFFF"/>
        <w:spacing w:beforeLines="100" w:beforeAutospacing="0" w:afterLines="100" w:afterAutospacing="0" w:line="360" w:lineRule="auto"/>
        <w:jc w:val="both"/>
        <w:rPr>
          <w:rFonts w:hint="eastAsia"/>
          <w:b/>
          <w:bCs/>
          <w:color w:val="333333"/>
          <w:spacing w:val="8"/>
        </w:rPr>
      </w:pPr>
      <w:r>
        <w:rPr>
          <w:rFonts w:hint="eastAsia"/>
          <w:b/>
        </w:rPr>
        <w:br w:type="page"/>
      </w:r>
      <w:r>
        <w:rPr>
          <w:rFonts w:hint="eastAsia"/>
          <w:b/>
        </w:rPr>
        <w:t>附件五</w:t>
      </w:r>
      <w:r>
        <w:rPr>
          <w:rFonts w:hint="eastAsia"/>
        </w:rPr>
        <w:t>：</w:t>
      </w:r>
    </w:p>
    <w:p>
      <w:pPr>
        <w:pStyle w:val="40"/>
        <w:numPr>
          <w:ilvl w:val="0"/>
          <w:numId w:val="7"/>
        </w:numPr>
        <w:shd w:val="clear" w:color="auto" w:fill="FFFFFF"/>
        <w:spacing w:beforeLines="100" w:beforeAutospacing="0" w:afterLines="100" w:afterAutospacing="0" w:line="360" w:lineRule="auto"/>
        <w:jc w:val="center"/>
        <w:rPr>
          <w:rFonts w:hint="eastAsia"/>
          <w:b/>
          <w:bCs/>
          <w:color w:val="333333"/>
          <w:spacing w:val="8"/>
        </w:rPr>
      </w:pPr>
      <w:r>
        <w:rPr>
          <w:rFonts w:hint="eastAsia"/>
          <w:b/>
          <w:bCs/>
          <w:color w:val="333333"/>
          <w:spacing w:val="15"/>
          <w:shd w:val="clear" w:color="auto" w:fill="FFFFFF"/>
        </w:rPr>
        <w:t>中小企业声明函(货物)（不适用于本项目）</w:t>
      </w:r>
    </w:p>
    <w:p>
      <w:pPr>
        <w:pStyle w:val="40"/>
        <w:numPr>
          <w:ilvl w:val="0"/>
          <w:numId w:val="7"/>
        </w:numPr>
        <w:shd w:val="clear" w:color="auto" w:fill="FFFFFF"/>
        <w:spacing w:line="360" w:lineRule="auto"/>
        <w:jc w:val="both"/>
        <w:rPr>
          <w:rFonts w:hint="eastAsia"/>
          <w:color w:val="333333"/>
          <w:spacing w:val="8"/>
        </w:rPr>
      </w:pPr>
      <w:r>
        <w:rPr>
          <w:rFonts w:hint="eastAsia"/>
          <w:bCs/>
          <w:kern w:val="2"/>
        </w:rPr>
        <w:t xml:space="preserve">     本公司(联合体)郑重声明，根据《政府采购促进中小企业发展管理办法》(财库〔2020〕46 号)的规定，本公司 (联合体)参加</w:t>
      </w:r>
      <w:r>
        <w:rPr>
          <w:rFonts w:hint="eastAsia"/>
          <w:color w:val="333333"/>
          <w:spacing w:val="15"/>
          <w:u w:val="single"/>
          <w:shd w:val="clear" w:color="auto" w:fill="FFFFFF"/>
        </w:rPr>
        <w:t>(单位名称)</w:t>
      </w:r>
      <w:r>
        <w:rPr>
          <w:rFonts w:hint="eastAsia"/>
          <w:color w:val="333333"/>
          <w:spacing w:val="15"/>
          <w:shd w:val="clear" w:color="auto" w:fill="FFFFFF"/>
        </w:rPr>
        <w:t>的</w:t>
      </w:r>
      <w:r>
        <w:rPr>
          <w:rFonts w:hint="eastAsia"/>
          <w:color w:val="333333"/>
          <w:spacing w:val="15"/>
          <w:u w:val="single"/>
          <w:shd w:val="clear" w:color="auto" w:fill="FFFFFF"/>
        </w:rPr>
        <w:t>(项目名称)</w:t>
      </w:r>
      <w:r>
        <w:rPr>
          <w:rFonts w:hint="eastAsia"/>
          <w:color w:val="333333"/>
          <w:spacing w:val="15"/>
          <w:shd w:val="clear" w:color="auto" w:fill="FFFFFF"/>
        </w:rPr>
        <w:t>采购活动，提供的货物全部由符合政策要求的中小企业制造。相关企业 (含联合体中的中小企业、签订分包意向协议的中小企业) 的具体情况如下:</w:t>
      </w:r>
    </w:p>
    <w:p>
      <w:pPr>
        <w:pStyle w:val="40"/>
        <w:numPr>
          <w:ilvl w:val="0"/>
          <w:numId w:val="7"/>
        </w:numPr>
        <w:shd w:val="clear" w:color="auto" w:fill="FFFFFF"/>
        <w:spacing w:line="360" w:lineRule="auto"/>
        <w:jc w:val="both"/>
        <w:rPr>
          <w:rFonts w:hint="eastAsia"/>
          <w:color w:val="333333"/>
          <w:spacing w:val="8"/>
        </w:rPr>
      </w:pPr>
      <w:r>
        <w:rPr>
          <w:rFonts w:hint="eastAsia"/>
          <w:color w:val="333333"/>
          <w:spacing w:val="15"/>
          <w:shd w:val="clear" w:color="auto" w:fill="FFFFFF"/>
        </w:rPr>
        <w:t>1.</w:t>
      </w:r>
      <w:r>
        <w:rPr>
          <w:rFonts w:hint="eastAsia"/>
          <w:color w:val="333333"/>
          <w:spacing w:val="15"/>
          <w:u w:val="single"/>
          <w:shd w:val="clear" w:color="auto" w:fill="FFFFFF"/>
        </w:rPr>
        <w:t xml:space="preserve"> (标的名称) ，</w:t>
      </w:r>
      <w:r>
        <w:rPr>
          <w:rFonts w:hint="eastAsia"/>
          <w:color w:val="333333"/>
          <w:spacing w:val="15"/>
          <w:shd w:val="clear" w:color="auto" w:fill="FFFFFF"/>
        </w:rPr>
        <w:t>属于</w:t>
      </w:r>
      <w:r>
        <w:rPr>
          <w:rFonts w:hint="eastAsia"/>
          <w:color w:val="333333"/>
          <w:spacing w:val="15"/>
          <w:u w:val="single"/>
          <w:shd w:val="clear" w:color="auto" w:fill="FFFFFF"/>
        </w:rPr>
        <w:t>(采购文件中明确的所属行业)行业;</w:t>
      </w:r>
      <w:r>
        <w:rPr>
          <w:rFonts w:hint="eastAsia"/>
          <w:color w:val="333333"/>
          <w:spacing w:val="15"/>
          <w:shd w:val="clear" w:color="auto" w:fill="FFFFFF"/>
        </w:rPr>
        <w:t>制造商为</w:t>
      </w:r>
      <w:r>
        <w:rPr>
          <w:rFonts w:hint="eastAsia"/>
          <w:color w:val="333333"/>
          <w:spacing w:val="15"/>
          <w:u w:val="single"/>
          <w:shd w:val="clear" w:color="auto" w:fill="FFFFFF"/>
        </w:rPr>
        <w:t>(企业名称)</w:t>
      </w:r>
      <w:r>
        <w:rPr>
          <w:rFonts w:hint="eastAsia"/>
          <w:color w:val="333333"/>
          <w:spacing w:val="15"/>
          <w:shd w:val="clear" w:color="auto" w:fill="FFFFFF"/>
        </w:rPr>
        <w:t>，从业人员</w:t>
      </w:r>
      <w:r>
        <w:rPr>
          <w:rFonts w:hint="eastAsia"/>
          <w:color w:val="333333"/>
          <w:spacing w:val="15"/>
          <w:u w:val="single"/>
          <w:shd w:val="clear" w:color="auto" w:fill="FFFFFF"/>
        </w:rPr>
        <w:t>   </w:t>
      </w:r>
      <w:r>
        <w:rPr>
          <w:rFonts w:hint="eastAsia"/>
          <w:color w:val="333333"/>
          <w:spacing w:val="15"/>
          <w:shd w:val="clear" w:color="auto" w:fill="FFFFFF"/>
        </w:rPr>
        <w:t>人，营业收入为</w:t>
      </w:r>
      <w:r>
        <w:rPr>
          <w:rFonts w:hint="eastAsia"/>
          <w:color w:val="333333"/>
          <w:spacing w:val="15"/>
          <w:u w:val="single"/>
          <w:shd w:val="clear" w:color="auto" w:fill="FFFFFF"/>
        </w:rPr>
        <w:t>   </w:t>
      </w:r>
      <w:r>
        <w:rPr>
          <w:rFonts w:hint="eastAsia"/>
          <w:color w:val="333333"/>
          <w:spacing w:val="15"/>
          <w:shd w:val="clear" w:color="auto" w:fill="FFFFFF"/>
        </w:rPr>
        <w:t>万元，资产总额为</w:t>
      </w:r>
      <w:r>
        <w:rPr>
          <w:rFonts w:hint="eastAsia"/>
          <w:color w:val="333333"/>
          <w:spacing w:val="15"/>
          <w:u w:val="single"/>
          <w:shd w:val="clear" w:color="auto" w:fill="FFFFFF"/>
        </w:rPr>
        <w:t>   </w:t>
      </w:r>
      <w:r>
        <w:rPr>
          <w:rFonts w:hint="eastAsia"/>
          <w:color w:val="333333"/>
          <w:spacing w:val="15"/>
          <w:shd w:val="clear" w:color="auto" w:fill="FFFFFF"/>
        </w:rPr>
        <w:t>万元</w:t>
      </w:r>
      <w:r>
        <w:rPr>
          <w:rFonts w:hint="eastAsia"/>
          <w:color w:val="333333"/>
          <w:spacing w:val="15"/>
          <w:shd w:val="clear" w:color="auto" w:fill="FFFFFF"/>
          <w:vertAlign w:val="superscript"/>
        </w:rPr>
        <w:t>1</w:t>
      </w:r>
      <w:r>
        <w:rPr>
          <w:rFonts w:hint="eastAsia"/>
          <w:color w:val="333333"/>
          <w:spacing w:val="15"/>
          <w:shd w:val="clear" w:color="auto" w:fill="FFFFFF"/>
        </w:rPr>
        <w:t>，属于</w:t>
      </w:r>
      <w:r>
        <w:rPr>
          <w:rFonts w:hint="eastAsia"/>
          <w:color w:val="333333"/>
          <w:spacing w:val="15"/>
          <w:u w:val="single"/>
          <w:shd w:val="clear" w:color="auto" w:fill="FFFFFF"/>
        </w:rPr>
        <w:t>(中型企业、小型企业、微型企业)</w:t>
      </w:r>
      <w:r>
        <w:rPr>
          <w:rFonts w:hint="eastAsia"/>
          <w:color w:val="333333"/>
          <w:spacing w:val="15"/>
          <w:shd w:val="clear" w:color="auto" w:fill="FFFFFF"/>
        </w:rPr>
        <w:t>;</w:t>
      </w:r>
    </w:p>
    <w:p>
      <w:pPr>
        <w:pStyle w:val="40"/>
        <w:numPr>
          <w:ilvl w:val="0"/>
          <w:numId w:val="7"/>
        </w:numPr>
        <w:shd w:val="clear" w:color="auto" w:fill="FFFFFF"/>
        <w:spacing w:line="360" w:lineRule="auto"/>
        <w:jc w:val="both"/>
        <w:rPr>
          <w:rFonts w:hint="eastAsia"/>
          <w:color w:val="333333"/>
          <w:spacing w:val="8"/>
        </w:rPr>
      </w:pPr>
      <w:r>
        <w:rPr>
          <w:rFonts w:hint="eastAsia"/>
          <w:color w:val="333333"/>
          <w:spacing w:val="15"/>
          <w:shd w:val="clear" w:color="auto" w:fill="FFFFFF"/>
        </w:rPr>
        <w:t>2.</w:t>
      </w:r>
      <w:r>
        <w:rPr>
          <w:rFonts w:hint="eastAsia"/>
          <w:color w:val="333333"/>
          <w:spacing w:val="15"/>
          <w:u w:val="single"/>
          <w:shd w:val="clear" w:color="auto" w:fill="FFFFFF"/>
        </w:rPr>
        <w:t xml:space="preserve"> (标的名称) ，</w:t>
      </w:r>
      <w:r>
        <w:rPr>
          <w:rFonts w:hint="eastAsia"/>
          <w:color w:val="333333"/>
          <w:spacing w:val="15"/>
          <w:shd w:val="clear" w:color="auto" w:fill="FFFFFF"/>
        </w:rPr>
        <w:t>属于</w:t>
      </w:r>
      <w:r>
        <w:rPr>
          <w:rFonts w:hint="eastAsia"/>
          <w:color w:val="333333"/>
          <w:spacing w:val="15"/>
          <w:u w:val="single"/>
          <w:shd w:val="clear" w:color="auto" w:fill="FFFFFF"/>
        </w:rPr>
        <w:t>(采购文件中明确的所属行业)行业</w:t>
      </w:r>
      <w:r>
        <w:rPr>
          <w:rFonts w:hint="eastAsia"/>
          <w:color w:val="333333"/>
          <w:spacing w:val="15"/>
          <w:shd w:val="clear" w:color="auto" w:fill="FFFFFF"/>
        </w:rPr>
        <w:t>;制造商为</w:t>
      </w:r>
      <w:r>
        <w:rPr>
          <w:rFonts w:hint="eastAsia"/>
          <w:color w:val="333333"/>
          <w:spacing w:val="15"/>
          <w:u w:val="single"/>
          <w:shd w:val="clear" w:color="auto" w:fill="FFFFFF"/>
        </w:rPr>
        <w:t>(企业名称)，</w:t>
      </w:r>
      <w:r>
        <w:rPr>
          <w:rFonts w:hint="eastAsia"/>
          <w:color w:val="333333"/>
          <w:spacing w:val="15"/>
          <w:shd w:val="clear" w:color="auto" w:fill="FFFFFF"/>
        </w:rPr>
        <w:t>从业人员</w:t>
      </w:r>
      <w:r>
        <w:rPr>
          <w:rFonts w:hint="eastAsia"/>
          <w:color w:val="333333"/>
          <w:spacing w:val="15"/>
          <w:u w:val="single"/>
          <w:shd w:val="clear" w:color="auto" w:fill="FFFFFF"/>
        </w:rPr>
        <w:t>   </w:t>
      </w:r>
      <w:r>
        <w:rPr>
          <w:rFonts w:hint="eastAsia"/>
          <w:color w:val="333333"/>
          <w:spacing w:val="15"/>
          <w:shd w:val="clear" w:color="auto" w:fill="FFFFFF"/>
        </w:rPr>
        <w:t>人，营业收入为</w:t>
      </w:r>
      <w:r>
        <w:rPr>
          <w:rFonts w:hint="eastAsia"/>
          <w:color w:val="333333"/>
          <w:spacing w:val="15"/>
          <w:u w:val="single"/>
          <w:shd w:val="clear" w:color="auto" w:fill="FFFFFF"/>
        </w:rPr>
        <w:t>   </w:t>
      </w:r>
      <w:r>
        <w:rPr>
          <w:rFonts w:hint="eastAsia"/>
          <w:color w:val="333333"/>
          <w:spacing w:val="15"/>
          <w:shd w:val="clear" w:color="auto" w:fill="FFFFFF"/>
        </w:rPr>
        <w:t>万元，资产总额为</w:t>
      </w:r>
      <w:r>
        <w:rPr>
          <w:rFonts w:hint="eastAsia"/>
          <w:color w:val="333333"/>
          <w:spacing w:val="15"/>
          <w:u w:val="single"/>
          <w:shd w:val="clear" w:color="auto" w:fill="FFFFFF"/>
        </w:rPr>
        <w:t>   </w:t>
      </w:r>
      <w:r>
        <w:rPr>
          <w:rFonts w:hint="eastAsia"/>
          <w:color w:val="333333"/>
          <w:spacing w:val="15"/>
          <w:shd w:val="clear" w:color="auto" w:fill="FFFFFF"/>
        </w:rPr>
        <w:t>万元，属于</w:t>
      </w:r>
      <w:r>
        <w:rPr>
          <w:rFonts w:hint="eastAsia"/>
          <w:color w:val="333333"/>
          <w:spacing w:val="15"/>
          <w:u w:val="single"/>
          <w:shd w:val="clear" w:color="auto" w:fill="FFFFFF"/>
        </w:rPr>
        <w:t>(中型企业、小型企业、微型企业)</w:t>
      </w:r>
      <w:r>
        <w:rPr>
          <w:rFonts w:hint="eastAsia"/>
          <w:color w:val="333333"/>
          <w:spacing w:val="15"/>
          <w:shd w:val="clear" w:color="auto" w:fill="FFFFFF"/>
        </w:rPr>
        <w:t>;</w:t>
      </w:r>
    </w:p>
    <w:p>
      <w:pPr>
        <w:pStyle w:val="40"/>
        <w:numPr>
          <w:ilvl w:val="0"/>
          <w:numId w:val="7"/>
        </w:numPr>
        <w:shd w:val="clear" w:color="auto" w:fill="FFFFFF"/>
        <w:spacing w:line="360" w:lineRule="auto"/>
        <w:jc w:val="both"/>
        <w:rPr>
          <w:rFonts w:hint="eastAsia"/>
          <w:color w:val="333333"/>
          <w:spacing w:val="8"/>
        </w:rPr>
      </w:pPr>
      <w:r>
        <w:rPr>
          <w:rFonts w:hint="eastAsia"/>
          <w:color w:val="333333"/>
          <w:spacing w:val="15"/>
          <w:shd w:val="clear" w:color="auto" w:fill="FFFFFF"/>
        </w:rPr>
        <w:t>......</w:t>
      </w:r>
    </w:p>
    <w:p>
      <w:pPr>
        <w:pStyle w:val="40"/>
        <w:numPr>
          <w:ilvl w:val="0"/>
          <w:numId w:val="7"/>
        </w:numPr>
        <w:shd w:val="clear" w:color="auto" w:fill="FFFFFF"/>
        <w:spacing w:line="360" w:lineRule="auto"/>
        <w:jc w:val="both"/>
        <w:rPr>
          <w:rFonts w:hint="eastAsia"/>
          <w:bCs/>
          <w:kern w:val="2"/>
        </w:rPr>
      </w:pPr>
      <w:r>
        <w:rPr>
          <w:rFonts w:hint="eastAsia"/>
          <w:color w:val="333333"/>
          <w:spacing w:val="15"/>
          <w:shd w:val="clear" w:color="auto" w:fill="FFFFFF"/>
        </w:rPr>
        <w:t xml:space="preserve">   </w:t>
      </w:r>
      <w:r>
        <w:rPr>
          <w:rFonts w:hint="eastAsia"/>
          <w:bCs/>
          <w:kern w:val="2"/>
        </w:rPr>
        <w:t>以上企业，不属于大企业的分支机构，不存在控股股东为大企业的情形，也不存在与大企业的负责人为同一人的情形。</w:t>
      </w:r>
    </w:p>
    <w:p>
      <w:pPr>
        <w:pStyle w:val="40"/>
        <w:numPr>
          <w:ilvl w:val="0"/>
          <w:numId w:val="7"/>
        </w:numPr>
        <w:shd w:val="clear" w:color="auto" w:fill="FFFFFF"/>
        <w:spacing w:line="360" w:lineRule="auto"/>
        <w:jc w:val="both"/>
        <w:rPr>
          <w:rFonts w:hint="eastAsia"/>
          <w:bCs/>
          <w:kern w:val="2"/>
        </w:rPr>
      </w:pPr>
      <w:r>
        <w:rPr>
          <w:rFonts w:hint="eastAsia"/>
          <w:bCs/>
          <w:kern w:val="2"/>
        </w:rPr>
        <w:t>本企业对上述声明内容的真实性负责。如有虚假，将依法承担相应责任。</w:t>
      </w:r>
    </w:p>
    <w:p>
      <w:pPr>
        <w:pStyle w:val="40"/>
        <w:numPr>
          <w:ilvl w:val="0"/>
          <w:numId w:val="7"/>
        </w:numPr>
        <w:shd w:val="clear" w:color="auto" w:fill="FFFFFF"/>
        <w:spacing w:line="360" w:lineRule="auto"/>
        <w:jc w:val="both"/>
        <w:rPr>
          <w:rFonts w:hint="eastAsia"/>
          <w:color w:val="333333"/>
          <w:spacing w:val="15"/>
          <w:shd w:val="clear" w:color="auto" w:fill="FFFFFF"/>
        </w:rPr>
      </w:pPr>
      <w:r>
        <w:rPr>
          <w:rFonts w:hint="eastAsia"/>
          <w:bCs/>
          <w:kern w:val="2"/>
        </w:rPr>
        <w:t xml:space="preserve">   从业人员、营业收入、资产总额填报上一年度数据，无上一年度数据的新成立企业可不填报。</w:t>
      </w:r>
    </w:p>
    <w:p>
      <w:pPr>
        <w:widowControl/>
        <w:tabs>
          <w:tab w:val="left" w:pos="5670"/>
        </w:tabs>
        <w:spacing w:line="360" w:lineRule="auto"/>
        <w:ind w:firstLine="482" w:firstLineChars="200"/>
        <w:jc w:val="left"/>
        <w:rPr>
          <w:rFonts w:hint="eastAsia" w:ascii="宋体" w:hAnsi="宋体" w:cs="宋体"/>
          <w:b/>
          <w:bCs/>
          <w:sz w:val="24"/>
        </w:rPr>
      </w:pPr>
      <w:r>
        <w:rPr>
          <w:rFonts w:hint="eastAsia" w:ascii="宋体" w:hAnsi="宋体" w:cs="宋体"/>
          <w:b/>
          <w:bCs/>
          <w:sz w:val="24"/>
        </w:rPr>
        <w:t>备注：</w:t>
      </w:r>
    </w:p>
    <w:p>
      <w:pPr>
        <w:widowControl/>
        <w:tabs>
          <w:tab w:val="left" w:pos="5670"/>
        </w:tabs>
        <w:spacing w:line="360" w:lineRule="auto"/>
        <w:ind w:firstLine="480" w:firstLineChars="200"/>
        <w:jc w:val="left"/>
        <w:rPr>
          <w:rFonts w:hint="eastAsia" w:ascii="宋体" w:hAnsi="宋体" w:cs="宋体"/>
          <w:b/>
          <w:bCs/>
          <w:sz w:val="24"/>
        </w:rPr>
      </w:pPr>
      <w:r>
        <w:rPr>
          <w:rFonts w:hint="eastAsia" w:ascii="宋体" w:hAnsi="宋体" w:cs="宋体"/>
          <w:bCs/>
          <w:sz w:val="24"/>
        </w:rPr>
        <w:t>1、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s="宋体"/>
          <w:sz w:val="24"/>
        </w:rPr>
        <w:t>。</w:t>
      </w:r>
      <w:r>
        <w:rPr>
          <w:rFonts w:hint="eastAsia" w:ascii="宋体" w:hAnsi="宋体" w:cs="宋体"/>
          <w:b/>
          <w:bCs/>
          <w:sz w:val="24"/>
        </w:rPr>
        <w:t xml:space="preserve">非中小企业无需提供。       </w:t>
      </w:r>
    </w:p>
    <w:p>
      <w:pPr>
        <w:widowControl/>
        <w:tabs>
          <w:tab w:val="left" w:pos="5670"/>
        </w:tabs>
        <w:spacing w:line="360" w:lineRule="auto"/>
        <w:ind w:firstLine="4315" w:firstLineChars="1791"/>
        <w:jc w:val="left"/>
        <w:rPr>
          <w:rFonts w:hint="eastAsia" w:ascii="宋体" w:hAnsi="宋体" w:cs="宋体"/>
          <w:b/>
          <w:bCs/>
          <w:sz w:val="24"/>
        </w:rPr>
      </w:pPr>
    </w:p>
    <w:p>
      <w:pPr>
        <w:widowControl/>
        <w:tabs>
          <w:tab w:val="left" w:pos="5670"/>
        </w:tabs>
        <w:spacing w:line="360" w:lineRule="auto"/>
        <w:ind w:firstLine="4773" w:firstLineChars="1989"/>
        <w:jc w:val="left"/>
        <w:rPr>
          <w:rFonts w:hint="eastAsia" w:ascii="宋体" w:hAnsi="宋体" w:cs="宋体"/>
          <w:bCs/>
          <w:sz w:val="24"/>
        </w:rPr>
      </w:pPr>
      <w:r>
        <w:rPr>
          <w:rFonts w:hint="eastAsia" w:ascii="宋体" w:hAnsi="宋体" w:cs="宋体"/>
          <w:bCs/>
          <w:sz w:val="24"/>
        </w:rPr>
        <w:t xml:space="preserve">企业名称(盖章): </w:t>
      </w:r>
    </w:p>
    <w:p>
      <w:pPr>
        <w:pStyle w:val="89"/>
        <w:ind w:firstLine="0" w:firstLineChars="0"/>
        <w:rPr>
          <w:rFonts w:hint="eastAsia" w:ascii="宋体" w:hAnsi="宋体" w:cs="宋体"/>
        </w:rPr>
      </w:pPr>
      <w:r>
        <w:rPr>
          <w:rFonts w:hint="eastAsia" w:ascii="宋体" w:hAnsi="宋体" w:cs="宋体"/>
          <w:bCs/>
          <w:sz w:val="24"/>
        </w:rPr>
        <w:t xml:space="preserve">                                        日期:       </w:t>
      </w:r>
      <w:r>
        <w:rPr>
          <w:rFonts w:hint="eastAsia" w:ascii="宋体" w:hAnsi="宋体" w:cs="宋体"/>
          <w:b/>
          <w:bCs/>
          <w:sz w:val="24"/>
        </w:rPr>
        <w:t xml:space="preserve">      </w:t>
      </w:r>
    </w:p>
    <w:p>
      <w:pPr>
        <w:numPr>
          <w:ilvl w:val="0"/>
          <w:numId w:val="7"/>
        </w:numPr>
        <w:suppressAutoHyphens/>
        <w:spacing w:line="360" w:lineRule="auto"/>
        <w:jc w:val="left"/>
        <w:rPr>
          <w:rFonts w:hint="eastAsia" w:ascii="宋体" w:hAnsi="宋体" w:cs="宋体"/>
          <w:b/>
          <w:sz w:val="32"/>
          <w:szCs w:val="32"/>
        </w:rPr>
      </w:pPr>
      <w:r>
        <w:rPr>
          <w:rFonts w:hint="eastAsia" w:ascii="宋体" w:hAnsi="宋体" w:cs="宋体"/>
          <w:b/>
          <w:sz w:val="24"/>
        </w:rPr>
        <w:br w:type="page"/>
      </w:r>
      <w:r>
        <w:rPr>
          <w:rFonts w:hint="eastAsia" w:ascii="宋体" w:hAnsi="宋体" w:cs="宋体"/>
          <w:b/>
          <w:sz w:val="24"/>
        </w:rPr>
        <w:t>附件六</w:t>
      </w:r>
      <w:r>
        <w:rPr>
          <w:rFonts w:hint="eastAsia" w:ascii="宋体" w:hAnsi="宋体" w:cs="宋体"/>
          <w:sz w:val="24"/>
        </w:rPr>
        <w:t>：</w:t>
      </w:r>
    </w:p>
    <w:p>
      <w:pPr>
        <w:numPr>
          <w:ilvl w:val="0"/>
          <w:numId w:val="7"/>
        </w:numPr>
        <w:suppressAutoHyphens/>
        <w:spacing w:line="360" w:lineRule="auto"/>
        <w:jc w:val="center"/>
        <w:rPr>
          <w:rFonts w:hint="eastAsia" w:ascii="宋体" w:hAnsi="宋体" w:cs="宋体"/>
          <w:b/>
          <w:sz w:val="24"/>
        </w:rPr>
      </w:pPr>
    </w:p>
    <w:p>
      <w:pPr>
        <w:numPr>
          <w:ilvl w:val="0"/>
          <w:numId w:val="7"/>
        </w:numPr>
        <w:suppressAutoHyphens/>
        <w:spacing w:line="360" w:lineRule="auto"/>
        <w:jc w:val="center"/>
        <w:rPr>
          <w:rFonts w:hint="eastAsia" w:ascii="宋体" w:hAnsi="宋体" w:cs="宋体"/>
          <w:b/>
          <w:sz w:val="24"/>
        </w:rPr>
      </w:pPr>
      <w:r>
        <w:rPr>
          <w:rFonts w:hint="eastAsia" w:ascii="宋体" w:hAnsi="宋体" w:cs="宋体"/>
          <w:b/>
          <w:sz w:val="24"/>
        </w:rPr>
        <w:t>监狱和戒毒企业证明材料</w:t>
      </w:r>
    </w:p>
    <w:p>
      <w:pPr>
        <w:numPr>
          <w:ilvl w:val="0"/>
          <w:numId w:val="7"/>
        </w:numPr>
        <w:suppressAutoHyphens/>
        <w:spacing w:line="360" w:lineRule="auto"/>
        <w:rPr>
          <w:rFonts w:hint="eastAsia" w:ascii="宋体" w:hAnsi="宋体" w:cs="宋体"/>
          <w:sz w:val="24"/>
        </w:rPr>
      </w:pPr>
    </w:p>
    <w:p>
      <w:pPr>
        <w:numPr>
          <w:ilvl w:val="0"/>
          <w:numId w:val="7"/>
        </w:numPr>
        <w:suppressAutoHyphens/>
        <w:spacing w:line="360" w:lineRule="auto"/>
        <w:rPr>
          <w:rFonts w:hint="eastAsia" w:ascii="宋体" w:hAnsi="宋体" w:cs="宋体"/>
          <w:b/>
          <w:sz w:val="24"/>
        </w:rPr>
      </w:pPr>
      <w:r>
        <w:rPr>
          <w:rFonts w:hint="eastAsia" w:ascii="宋体" w:hAnsi="宋体" w:cs="宋体"/>
          <w:b/>
          <w:sz w:val="24"/>
        </w:rPr>
        <w:t>监狱和戒毒企业投标时，提供由省级以上监狱管理局、戒毒管理局(含新疆生产建设兵团)出具的属于监狱企业的证明文件</w:t>
      </w:r>
    </w:p>
    <w:p>
      <w:pPr>
        <w:pStyle w:val="89"/>
        <w:ind w:firstLine="0" w:firstLineChars="0"/>
        <w:rPr>
          <w:rFonts w:hint="eastAsia" w:ascii="宋体" w:hAnsi="宋体" w:cs="宋体"/>
        </w:rPr>
      </w:pPr>
      <w:r>
        <w:rPr>
          <w:rFonts w:hint="eastAsia" w:ascii="宋体" w:hAnsi="宋体" w:cs="宋体"/>
          <w:bCs/>
          <w:sz w:val="24"/>
        </w:rPr>
        <w:t xml:space="preserve">    </w:t>
      </w:r>
      <w:r>
        <w:rPr>
          <w:rFonts w:hint="eastAsia" w:ascii="宋体" w:hAnsi="宋体" w:cs="宋体"/>
          <w:b/>
          <w:bCs/>
          <w:sz w:val="24"/>
        </w:rPr>
        <w:t xml:space="preserve">      </w:t>
      </w:r>
    </w:p>
    <w:p>
      <w:pPr>
        <w:spacing w:line="500" w:lineRule="exact"/>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10.其他</w:t>
      </w:r>
    </w:p>
    <w:p>
      <w:pPr>
        <w:spacing w:line="500" w:lineRule="exact"/>
        <w:ind w:firstLine="480" w:firstLineChars="200"/>
        <w:rPr>
          <w:rFonts w:hint="eastAsia" w:ascii="宋体" w:hAnsi="宋体" w:cs="宋体"/>
          <w:b/>
          <w:color w:val="000000"/>
          <w:sz w:val="24"/>
        </w:rPr>
      </w:pPr>
      <w:r>
        <w:rPr>
          <w:rFonts w:hint="eastAsia" w:ascii="宋体" w:hAnsi="宋体" w:cs="宋体"/>
          <w:sz w:val="24"/>
        </w:rPr>
        <w:t>10.1磋商步骤为：第一次报价---初步评审---分别磋商---最后报价---综合评审推荐成交候选人。</w:t>
      </w:r>
      <w:r>
        <w:rPr>
          <w:rFonts w:hint="eastAsia" w:ascii="宋体" w:hAnsi="宋体" w:cs="宋体"/>
          <w:b/>
          <w:sz w:val="24"/>
        </w:rPr>
        <w:t>（以供应商递交的磋商响应文件中的总报价为第一次报价。分别磋商后，</w:t>
      </w:r>
      <w:r>
        <w:rPr>
          <w:rFonts w:hint="eastAsia" w:ascii="宋体" w:hAnsi="宋体" w:cs="宋体"/>
          <w:b/>
          <w:color w:val="000000"/>
          <w:sz w:val="24"/>
        </w:rPr>
        <w:t>供应商现场最后填报的磋商响应总报价为最终报价。）</w:t>
      </w:r>
    </w:p>
    <w:p>
      <w:pPr>
        <w:spacing w:line="500" w:lineRule="exact"/>
        <w:ind w:firstLine="480" w:firstLineChars="200"/>
        <w:rPr>
          <w:rFonts w:hint="eastAsia" w:ascii="宋体" w:hAnsi="宋体" w:cs="宋体"/>
          <w:sz w:val="24"/>
        </w:rPr>
      </w:pPr>
      <w:r>
        <w:rPr>
          <w:rFonts w:hint="eastAsia" w:ascii="宋体" w:hAnsi="宋体" w:cs="宋体"/>
          <w:sz w:val="24"/>
        </w:rPr>
        <w:t>10.2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pacing w:line="500" w:lineRule="exact"/>
        <w:ind w:firstLine="480" w:firstLineChars="200"/>
        <w:jc w:val="left"/>
        <w:rPr>
          <w:rFonts w:hint="eastAsia" w:ascii="宋体" w:hAnsi="宋体" w:cs="宋体"/>
          <w:color w:val="000000"/>
          <w:sz w:val="24"/>
        </w:rPr>
      </w:pPr>
      <w:r>
        <w:rPr>
          <w:rFonts w:hint="eastAsia" w:ascii="宋体" w:hAnsi="宋体" w:cs="宋体"/>
          <w:color w:val="000000"/>
          <w:sz w:val="24"/>
        </w:rPr>
        <w:t>10.3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500" w:lineRule="exact"/>
        <w:ind w:firstLine="480" w:firstLineChars="200"/>
        <w:rPr>
          <w:rFonts w:hint="eastAsia" w:ascii="宋体" w:hAnsi="宋体" w:cs="宋体"/>
        </w:rPr>
      </w:pPr>
      <w:r>
        <w:rPr>
          <w:rFonts w:hint="eastAsia" w:ascii="宋体" w:hAnsi="宋体" w:cs="宋体"/>
          <w:sz w:val="24"/>
        </w:rPr>
        <w:t>10.4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pPr>
        <w:spacing w:beforeLines="50" w:afterLines="50" w:line="360" w:lineRule="auto"/>
        <w:rPr>
          <w:rFonts w:hint="eastAsia" w:ascii="宋体" w:hAnsi="宋体" w:cs="宋体"/>
          <w:b/>
          <w:bCs/>
          <w:sz w:val="24"/>
        </w:rPr>
      </w:pPr>
      <w:r>
        <w:rPr>
          <w:rFonts w:hint="eastAsia" w:ascii="宋体" w:hAnsi="宋体" w:cs="宋体"/>
          <w:b/>
          <w:bCs/>
          <w:sz w:val="24"/>
        </w:rPr>
        <w:t>11、需要补充的其他内容：</w:t>
      </w:r>
      <w:bookmarkStart w:id="49" w:name="_Toc356305901"/>
      <w:r>
        <w:rPr>
          <w:rFonts w:hint="eastAsia" w:ascii="宋体" w:hAnsi="宋体" w:cs="宋体"/>
          <w:b/>
          <w:bCs/>
          <w:sz w:val="24"/>
        </w:rPr>
        <w:t>详见供应商须知前附表</w:t>
      </w:r>
      <w:bookmarkEnd w:id="49"/>
      <w:r>
        <w:rPr>
          <w:rFonts w:hint="eastAsia" w:ascii="宋体" w:hAnsi="宋体" w:cs="宋体"/>
          <w:b/>
          <w:bCs/>
          <w:sz w:val="24"/>
        </w:rPr>
        <w:t>。</w:t>
      </w:r>
    </w:p>
    <w:p>
      <w:pPr>
        <w:rPr>
          <w:rFonts w:hint="eastAsia" w:ascii="宋体" w:hAnsi="宋体" w:cs="宋体"/>
        </w:rPr>
      </w:pPr>
    </w:p>
    <w:p>
      <w:pPr>
        <w:pStyle w:val="2"/>
        <w:rPr>
          <w:rFonts w:hint="eastAsia" w:cs="宋体"/>
        </w:rPr>
      </w:pPr>
    </w:p>
    <w:p>
      <w:pPr>
        <w:pStyle w:val="2"/>
        <w:rPr>
          <w:rFonts w:hint="eastAsia" w:cs="宋体"/>
        </w:rPr>
      </w:pPr>
    </w:p>
    <w:p>
      <w:pPr>
        <w:pStyle w:val="2"/>
        <w:rPr>
          <w:rFonts w:hint="eastAsia" w:cs="宋体"/>
        </w:rPr>
      </w:pPr>
    </w:p>
    <w:p>
      <w:pPr>
        <w:pStyle w:val="2"/>
        <w:rPr>
          <w:rFonts w:hint="eastAsia" w:cs="宋体"/>
        </w:rPr>
      </w:pPr>
    </w:p>
    <w:p>
      <w:pPr>
        <w:pStyle w:val="3"/>
        <w:spacing w:afterLines="50"/>
        <w:rPr>
          <w:rFonts w:hint="eastAsia" w:cs="宋体"/>
        </w:rPr>
      </w:pPr>
      <w:bookmarkStart w:id="50" w:name="_Toc6792"/>
      <w:bookmarkStart w:id="51" w:name="_Toc26300490"/>
      <w:r>
        <w:rPr>
          <w:rFonts w:hint="eastAsia" w:cs="宋体"/>
        </w:rPr>
        <w:br w:type="page"/>
      </w:r>
      <w:bookmarkStart w:id="52" w:name="_Toc27405"/>
      <w:r>
        <w:rPr>
          <w:rFonts w:hint="eastAsia" w:cs="宋体"/>
        </w:rPr>
        <w:t>第三章</w:t>
      </w:r>
      <w:bookmarkEnd w:id="48"/>
      <w:r>
        <w:rPr>
          <w:rFonts w:hint="eastAsia" w:cs="宋体"/>
        </w:rPr>
        <w:t xml:space="preserve">  评审方法</w:t>
      </w:r>
      <w:bookmarkEnd w:id="50"/>
      <w:bookmarkEnd w:id="51"/>
      <w:bookmarkEnd w:id="52"/>
    </w:p>
    <w:p>
      <w:pPr>
        <w:spacing w:line="360" w:lineRule="auto"/>
        <w:jc w:val="left"/>
        <w:rPr>
          <w:rFonts w:hint="eastAsia" w:ascii="宋体" w:hAnsi="宋体" w:cs="宋体"/>
          <w:b/>
          <w:bCs/>
          <w:sz w:val="24"/>
        </w:rPr>
      </w:pPr>
      <w:r>
        <w:rPr>
          <w:rFonts w:hint="eastAsia" w:ascii="宋体" w:hAnsi="宋体" w:cs="宋体"/>
          <w:b/>
          <w:bCs/>
          <w:sz w:val="24"/>
        </w:rPr>
        <w:t>一、评审方法</w:t>
      </w:r>
    </w:p>
    <w:p>
      <w:pPr>
        <w:spacing w:line="360" w:lineRule="auto"/>
        <w:ind w:right="40" w:rightChars="19" w:firstLine="480" w:firstLineChars="200"/>
        <w:rPr>
          <w:rFonts w:hint="eastAsia" w:ascii="宋体" w:hAnsi="宋体" w:cs="宋体"/>
          <w:sz w:val="24"/>
        </w:rPr>
      </w:pPr>
      <w:bookmarkStart w:id="53" w:name="_Toc465432103"/>
      <w:r>
        <w:rPr>
          <w:rFonts w:hint="eastAsia" w:ascii="宋体" w:hAnsi="宋体" w:cs="宋体"/>
          <w:sz w:val="24"/>
        </w:rPr>
        <w:t>本次评标采用综合评分法，即在最大限度地满足竞争性磋商文件实质性要求前提下，按照竞争性磋商文件中规定的各项因素和相应的权重分值进行综合评审后，以总得分最高的响应单位作为成交候选人并依次排序。</w:t>
      </w:r>
    </w:p>
    <w:p>
      <w:pPr>
        <w:spacing w:line="360" w:lineRule="auto"/>
        <w:ind w:right="40" w:rightChars="19"/>
        <w:rPr>
          <w:rFonts w:hint="eastAsia" w:ascii="宋体" w:hAnsi="宋体" w:cs="宋体"/>
          <w:b/>
          <w:bCs/>
          <w:sz w:val="24"/>
        </w:rPr>
      </w:pPr>
      <w:r>
        <w:rPr>
          <w:rFonts w:hint="eastAsia" w:ascii="宋体" w:hAnsi="宋体" w:cs="宋体"/>
          <w:b/>
          <w:bCs/>
          <w:sz w:val="24"/>
        </w:rPr>
        <w:t>二、评审原则</w:t>
      </w:r>
      <w:bookmarkEnd w:id="53"/>
    </w:p>
    <w:p>
      <w:pPr>
        <w:spacing w:line="360" w:lineRule="auto"/>
        <w:ind w:firstLine="480" w:firstLineChars="200"/>
        <w:rPr>
          <w:rFonts w:hint="eastAsia" w:ascii="宋体" w:hAnsi="宋体" w:cs="宋体"/>
          <w:kern w:val="0"/>
          <w:sz w:val="24"/>
        </w:rPr>
      </w:pPr>
      <w:r>
        <w:rPr>
          <w:rFonts w:hint="eastAsia" w:ascii="宋体" w:hAnsi="宋体" w:cs="宋体"/>
          <w:kern w:val="0"/>
          <w:sz w:val="24"/>
        </w:rPr>
        <w:t>按照竞争性磋商响应文件初审、澄清有关问题、分别磋商、最后报价、比较与评审、推荐成交候选人名单。在上一步评审中被认定为无效磋商者，不进入下一步的评审。</w:t>
      </w:r>
    </w:p>
    <w:p>
      <w:pPr>
        <w:spacing w:line="360" w:lineRule="auto"/>
        <w:rPr>
          <w:rFonts w:hint="eastAsia" w:ascii="宋体" w:hAnsi="宋体" w:cs="宋体"/>
          <w:b/>
          <w:sz w:val="24"/>
        </w:rPr>
      </w:pPr>
      <w:r>
        <w:rPr>
          <w:rFonts w:hint="eastAsia" w:ascii="宋体" w:hAnsi="宋体" w:cs="宋体"/>
          <w:b/>
          <w:sz w:val="24"/>
        </w:rPr>
        <w:t>三、政策性扣减</w:t>
      </w:r>
    </w:p>
    <w:p>
      <w:pPr>
        <w:spacing w:before="120" w:line="360" w:lineRule="auto"/>
        <w:ind w:firstLine="480" w:firstLineChars="200"/>
        <w:rPr>
          <w:rFonts w:hint="eastAsia" w:ascii="宋体" w:hAnsi="宋体" w:cs="宋体"/>
          <w:sz w:val="24"/>
        </w:rPr>
      </w:pPr>
      <w:r>
        <w:rPr>
          <w:rFonts w:hint="eastAsia" w:ascii="宋体" w:hAnsi="宋体" w:cs="宋体"/>
          <w:sz w:val="24"/>
        </w:rPr>
        <w:t>1.投标人符合小型、微型企业或监狱企业条件的，其投标报价价格评审时将按相应比例进行扣减。</w:t>
      </w:r>
    </w:p>
    <w:p>
      <w:pPr>
        <w:spacing w:before="120" w:line="360" w:lineRule="auto"/>
        <w:ind w:firstLine="480" w:firstLineChars="200"/>
        <w:rPr>
          <w:rFonts w:hint="eastAsia" w:ascii="宋体" w:hAnsi="宋体" w:cs="宋体"/>
          <w:sz w:val="24"/>
        </w:rPr>
      </w:pPr>
      <w:r>
        <w:rPr>
          <w:rFonts w:hint="eastAsia" w:ascii="宋体" w:hAnsi="宋体" w:cs="宋体"/>
          <w:sz w:val="24"/>
        </w:rPr>
        <w:t>2.在政府采购活动中，残疾人福利性单位视同小型、微型企业，残疾人福利性单位属于小型、微型企业的，不重复享受政策。</w:t>
      </w:r>
    </w:p>
    <w:p>
      <w:pPr>
        <w:spacing w:line="360" w:lineRule="auto"/>
        <w:ind w:firstLine="480" w:firstLineChars="200"/>
        <w:rPr>
          <w:rFonts w:hint="eastAsia" w:ascii="宋体" w:hAnsi="宋体" w:cs="宋体"/>
          <w:b/>
          <w:kern w:val="0"/>
          <w:sz w:val="24"/>
        </w:rPr>
      </w:pPr>
      <w:r>
        <w:rPr>
          <w:rFonts w:hint="eastAsia" w:ascii="宋体" w:hAnsi="宋体" w:cs="宋体"/>
          <w:sz w:val="24"/>
        </w:rPr>
        <w:t>3.</w:t>
      </w:r>
      <w:r>
        <w:rPr>
          <w:rFonts w:hint="eastAsia" w:ascii="宋体" w:hAnsi="宋体" w:cs="宋体"/>
          <w:b/>
          <w:kern w:val="0"/>
          <w:sz w:val="24"/>
        </w:rPr>
        <w:t>监狱企业、小微企业投标的，在计算价格分时，对小型和微型企业产品的价格给予6%的扣除后计算。</w:t>
      </w:r>
    </w:p>
    <w:p>
      <w:pPr>
        <w:spacing w:before="100" w:beforeAutospacing="1" w:line="240" w:lineRule="exact"/>
        <w:rPr>
          <w:rFonts w:hint="eastAsia" w:ascii="宋体" w:hAnsi="宋体" w:cs="宋体"/>
          <w:b/>
          <w:bCs/>
          <w:sz w:val="24"/>
        </w:rPr>
      </w:pPr>
      <w:bookmarkStart w:id="54" w:name="_Toc363463333"/>
      <w:r>
        <w:rPr>
          <w:rFonts w:hint="eastAsia" w:ascii="宋体" w:hAnsi="宋体" w:cs="宋体"/>
          <w:b/>
          <w:bCs/>
          <w:sz w:val="24"/>
        </w:rPr>
        <w:t>四、评审程序</w:t>
      </w:r>
      <w:bookmarkEnd w:id="54"/>
    </w:p>
    <w:p>
      <w:pPr>
        <w:pStyle w:val="35"/>
        <w:spacing w:line="500" w:lineRule="exact"/>
        <w:ind w:left="0" w:firstLine="496" w:firstLineChars="200"/>
        <w:rPr>
          <w:rFonts w:hint="eastAsia" w:hAnsi="宋体" w:cs="宋体"/>
          <w:bCs/>
          <w:spacing w:val="4"/>
        </w:rPr>
      </w:pPr>
      <w:r>
        <w:rPr>
          <w:rFonts w:hint="eastAsia" w:hAnsi="宋体" w:cs="宋体"/>
          <w:bCs/>
          <w:spacing w:val="4"/>
        </w:rPr>
        <w:t>按照竞争性磋商响应文件初审、澄清有关问题、分别磋商、最后报价、比较与评审、推荐成交候选人名单。在上一步评审中被认定为无效磋商者，不进入下一步的评审。</w:t>
      </w:r>
    </w:p>
    <w:p>
      <w:pPr>
        <w:tabs>
          <w:tab w:val="left" w:pos="0"/>
        </w:tabs>
        <w:adjustRightInd w:val="0"/>
        <w:snapToGrid w:val="0"/>
        <w:spacing w:line="500" w:lineRule="exact"/>
        <w:ind w:firstLine="472" w:firstLineChars="196"/>
        <w:rPr>
          <w:rFonts w:hint="eastAsia" w:ascii="宋体" w:hAnsi="宋体" w:cs="宋体"/>
          <w:b/>
          <w:bCs/>
          <w:color w:val="000000"/>
          <w:sz w:val="24"/>
        </w:rPr>
      </w:pPr>
      <w:r>
        <w:rPr>
          <w:rFonts w:hint="eastAsia" w:ascii="宋体" w:hAnsi="宋体" w:cs="宋体"/>
          <w:b/>
          <w:bCs/>
          <w:color w:val="000000"/>
          <w:sz w:val="24"/>
        </w:rPr>
        <w:t>1、对磋商响应文件的初审：</w:t>
      </w:r>
    </w:p>
    <w:p>
      <w:pPr>
        <w:tabs>
          <w:tab w:val="left" w:pos="0"/>
        </w:tabs>
        <w:adjustRightInd w:val="0"/>
        <w:snapToGrid w:val="0"/>
        <w:spacing w:line="500" w:lineRule="exact"/>
        <w:ind w:firstLine="472" w:firstLineChars="196"/>
        <w:rPr>
          <w:rFonts w:hint="eastAsia" w:ascii="宋体" w:hAnsi="宋体" w:cs="宋体"/>
          <w:b/>
          <w:bCs/>
          <w:color w:val="000000"/>
          <w:kern w:val="0"/>
          <w:sz w:val="24"/>
        </w:rPr>
      </w:pPr>
      <w:r>
        <w:rPr>
          <w:rFonts w:hint="eastAsia" w:ascii="宋体" w:hAnsi="宋体" w:cs="宋体"/>
          <w:b/>
          <w:bCs/>
          <w:color w:val="000000"/>
          <w:sz w:val="24"/>
        </w:rPr>
        <w:t>1.1资格性审查：磋商小组将依据本章附表1规定的评审标准对磋商响应文件进行资格性审查。有一项不符合评审标准的，</w:t>
      </w:r>
      <w:r>
        <w:rPr>
          <w:rFonts w:hint="eastAsia" w:ascii="宋体" w:hAnsi="宋体" w:cs="宋体"/>
          <w:b/>
          <w:bCs/>
          <w:color w:val="000000"/>
          <w:kern w:val="0"/>
          <w:sz w:val="24"/>
        </w:rPr>
        <w:t>将被视为未实质性响应磋商文件，其磋商响应文件将按无效文件处理。</w:t>
      </w:r>
    </w:p>
    <w:p>
      <w:pPr>
        <w:spacing w:line="500" w:lineRule="exact"/>
        <w:ind w:firstLine="482" w:firstLineChars="200"/>
        <w:rPr>
          <w:rFonts w:hint="eastAsia" w:ascii="宋体" w:hAnsi="宋体" w:cs="宋体"/>
          <w:color w:val="000000"/>
          <w:sz w:val="24"/>
        </w:rPr>
      </w:pPr>
      <w:r>
        <w:rPr>
          <w:rFonts w:hint="eastAsia" w:ascii="宋体" w:hAnsi="宋体" w:cs="宋体"/>
          <w:b/>
          <w:bCs/>
          <w:color w:val="000000"/>
          <w:sz w:val="24"/>
        </w:rPr>
        <w:t>1.2符合性审查：磋商小组根据本章附表2规定的评审标准对磋商响应文件进行符合性评审。有一项不符合评审标准的，将被视为未实质性响应磋商文件，其磋商响应文件将按无效文件处理。</w:t>
      </w:r>
    </w:p>
    <w:p>
      <w:pPr>
        <w:spacing w:line="500" w:lineRule="exact"/>
        <w:ind w:firstLine="482" w:firstLineChars="200"/>
        <w:rPr>
          <w:rFonts w:hint="eastAsia" w:ascii="宋体" w:hAnsi="宋体" w:cs="宋体"/>
          <w:b/>
          <w:bCs/>
          <w:sz w:val="24"/>
        </w:rPr>
      </w:pPr>
      <w:r>
        <w:rPr>
          <w:rFonts w:hint="eastAsia" w:ascii="宋体" w:hAnsi="宋体" w:cs="宋体"/>
          <w:b/>
          <w:bCs/>
          <w:color w:val="000000"/>
          <w:sz w:val="24"/>
        </w:rPr>
        <w:t>在资格性审查阶段，不符合磋商文件要求的，不得进入符合性审查，在符合性审查时未通过的，不得进入后续评审环节。</w:t>
      </w:r>
    </w:p>
    <w:p>
      <w:pPr>
        <w:spacing w:beforeLines="50" w:afterLines="50" w:line="500" w:lineRule="exact"/>
        <w:ind w:firstLine="482" w:firstLineChars="200"/>
        <w:rPr>
          <w:rFonts w:hint="eastAsia" w:ascii="宋体" w:hAnsi="宋体" w:cs="宋体"/>
          <w:b/>
          <w:color w:val="000000"/>
          <w:sz w:val="24"/>
        </w:rPr>
      </w:pPr>
      <w:r>
        <w:rPr>
          <w:rFonts w:hint="eastAsia" w:ascii="宋体" w:hAnsi="宋体" w:cs="宋体"/>
          <w:b/>
          <w:color w:val="000000"/>
          <w:sz w:val="24"/>
        </w:rPr>
        <w:t>2、磋商响应文件的澄清</w:t>
      </w:r>
    </w:p>
    <w:p>
      <w:pPr>
        <w:tabs>
          <w:tab w:val="left" w:pos="0"/>
        </w:tabs>
        <w:adjustRightInd w:val="0"/>
        <w:snapToGrid w:val="0"/>
        <w:spacing w:line="500" w:lineRule="exact"/>
        <w:ind w:firstLine="486" w:firstLineChars="196"/>
        <w:rPr>
          <w:rFonts w:hint="eastAsia" w:ascii="宋体" w:hAnsi="宋体" w:cs="宋体"/>
          <w:bCs/>
          <w:spacing w:val="4"/>
          <w:sz w:val="24"/>
        </w:rPr>
      </w:pPr>
      <w:r>
        <w:rPr>
          <w:rFonts w:hint="eastAsia" w:ascii="宋体" w:hAnsi="宋体" w:cs="宋体"/>
          <w:bCs/>
          <w:spacing w:val="4"/>
          <w:sz w:val="24"/>
        </w:rPr>
        <w:t>2.1磋商小组发现供应商的报价明显低于其他磋商报价、或明显低于市场价格，使得其磋商报价可能低于其成本的，有可能影响产品质量或者不能诚信履约的，应当要求其在合理的时间内做出书面说明，必要时提交相关证明材料。供应商不能证明其报价合理性的，由磋商小组将其作为无效响应处理。</w:t>
      </w:r>
    </w:p>
    <w:p>
      <w:pPr>
        <w:tabs>
          <w:tab w:val="left" w:pos="0"/>
        </w:tabs>
        <w:adjustRightInd w:val="0"/>
        <w:snapToGrid w:val="0"/>
        <w:spacing w:line="500" w:lineRule="exact"/>
        <w:ind w:firstLine="486" w:firstLineChars="196"/>
        <w:rPr>
          <w:rFonts w:hint="eastAsia" w:ascii="宋体" w:hAnsi="宋体" w:cs="宋体"/>
          <w:bCs/>
          <w:spacing w:val="4"/>
          <w:sz w:val="24"/>
        </w:rPr>
      </w:pPr>
      <w:r>
        <w:rPr>
          <w:rFonts w:hint="eastAsia" w:ascii="宋体" w:hAnsi="宋体" w:cs="宋体"/>
          <w:bCs/>
          <w:spacing w:val="4"/>
          <w:sz w:val="24"/>
        </w:rPr>
        <w:t>2.2有效的书面澄清材料，是磋商响应文件的补充材料，成为磋商响应文件的组成部分。</w:t>
      </w:r>
    </w:p>
    <w:p>
      <w:pPr>
        <w:spacing w:line="500" w:lineRule="exact"/>
        <w:ind w:firstLine="482" w:firstLineChars="200"/>
        <w:rPr>
          <w:rFonts w:hint="eastAsia" w:ascii="宋体" w:hAnsi="宋体" w:cs="宋体"/>
          <w:sz w:val="24"/>
        </w:rPr>
      </w:pPr>
      <w:r>
        <w:rPr>
          <w:rFonts w:hint="eastAsia" w:ascii="宋体" w:hAnsi="宋体" w:cs="宋体"/>
          <w:b/>
          <w:bCs/>
          <w:sz w:val="24"/>
        </w:rPr>
        <w:t>3、磋商：</w:t>
      </w:r>
      <w:r>
        <w:rPr>
          <w:rFonts w:hint="eastAsia" w:ascii="宋体" w:hAnsi="宋体" w:cs="宋体"/>
          <w:sz w:val="24"/>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的内容，需经采购人代表确认。</w:t>
      </w:r>
    </w:p>
    <w:p>
      <w:pPr>
        <w:spacing w:line="500" w:lineRule="exact"/>
        <w:ind w:firstLine="354" w:firstLineChars="147"/>
        <w:rPr>
          <w:rFonts w:hint="eastAsia" w:ascii="宋体" w:hAnsi="宋体" w:cs="宋体"/>
          <w:sz w:val="24"/>
        </w:rPr>
      </w:pPr>
      <w:r>
        <w:rPr>
          <w:rFonts w:hint="eastAsia" w:ascii="宋体" w:hAnsi="宋体" w:cs="宋体"/>
          <w:b/>
          <w:bCs/>
          <w:sz w:val="24"/>
        </w:rPr>
        <w:t>4、综合评审：</w:t>
      </w:r>
      <w:r>
        <w:rPr>
          <w:rFonts w:hint="eastAsia" w:ascii="宋体" w:hAnsi="宋体" w:cs="宋体"/>
          <w:sz w:val="24"/>
        </w:rPr>
        <w:t>对于经初审合格的所有供应商，由磋商小组各成员依据磋商响应文件和最终报价，按照附表三评审方法规定的内容独立进行综合评价、比较打分，然后汇总每个供应商的得分，从高到低依次排序，推荐成交候选人。</w:t>
      </w:r>
    </w:p>
    <w:p>
      <w:pPr>
        <w:tabs>
          <w:tab w:val="left" w:pos="-94"/>
          <w:tab w:val="left" w:pos="428"/>
        </w:tabs>
        <w:adjustRightInd w:val="0"/>
        <w:spacing w:line="360" w:lineRule="auto"/>
        <w:ind w:left="23" w:leftChars="11"/>
        <w:jc w:val="center"/>
        <w:textAlignment w:val="baseline"/>
        <w:outlineLvl w:val="1"/>
        <w:rPr>
          <w:rFonts w:hint="eastAsia" w:ascii="宋体" w:hAnsi="宋体" w:cs="宋体"/>
          <w:b/>
          <w:sz w:val="28"/>
          <w:szCs w:val="28"/>
        </w:rPr>
      </w:pPr>
      <w:bookmarkStart w:id="55" w:name="_Toc26298320"/>
      <w:bookmarkStart w:id="56" w:name="_Toc20241"/>
      <w:bookmarkStart w:id="57" w:name="_Toc25661895"/>
      <w:bookmarkStart w:id="58" w:name="_Toc17998927"/>
      <w:bookmarkStart w:id="59" w:name="_Toc26291036"/>
      <w:bookmarkStart w:id="60" w:name="_Toc26300491"/>
      <w:bookmarkStart w:id="61" w:name="_Toc26291136"/>
      <w:bookmarkStart w:id="62" w:name="_Toc17998754"/>
      <w:bookmarkStart w:id="63" w:name="_Toc17999489"/>
      <w:bookmarkStart w:id="64" w:name="_Toc28547"/>
      <w:r>
        <w:rPr>
          <w:rFonts w:hint="eastAsia" w:ascii="宋体" w:hAnsi="宋体" w:cs="宋体"/>
          <w:b/>
          <w:sz w:val="28"/>
          <w:szCs w:val="28"/>
        </w:rPr>
        <w:t>附表一  资格性审查表</w:t>
      </w:r>
      <w:bookmarkEnd w:id="55"/>
      <w:bookmarkEnd w:id="56"/>
      <w:bookmarkEnd w:id="57"/>
      <w:bookmarkEnd w:id="58"/>
      <w:bookmarkEnd w:id="59"/>
      <w:bookmarkEnd w:id="60"/>
      <w:bookmarkEnd w:id="61"/>
      <w:bookmarkEnd w:id="62"/>
      <w:bookmarkEnd w:id="63"/>
      <w:bookmarkEnd w:id="64"/>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835"/>
        <w:gridCol w:w="6201"/>
        <w:tblGridChange w:id="36">
          <w:tblGrid>
            <w:gridCol w:w="615"/>
            <w:gridCol w:w="2835"/>
            <w:gridCol w:w="620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615" w:type="dxa"/>
            <w:vAlign w:val="center"/>
          </w:tcPr>
          <w:p>
            <w:pPr>
              <w:tabs>
                <w:tab w:val="left" w:pos="0"/>
              </w:tabs>
              <w:adjustRightInd w:val="0"/>
              <w:snapToGrid w:val="0"/>
              <w:jc w:val="center"/>
              <w:rPr>
                <w:rFonts w:hint="eastAsia" w:ascii="宋体" w:hAnsi="宋体" w:cs="宋体"/>
                <w:bCs/>
              </w:rPr>
            </w:pPr>
            <w:r>
              <w:rPr>
                <w:rFonts w:hint="eastAsia" w:ascii="宋体" w:hAnsi="宋体" w:cs="宋体"/>
                <w:bCs/>
              </w:rPr>
              <w:t>序号</w:t>
            </w:r>
          </w:p>
        </w:tc>
        <w:tc>
          <w:tcPr>
            <w:tcW w:w="2835" w:type="dxa"/>
            <w:vAlign w:val="center"/>
          </w:tcPr>
          <w:p>
            <w:pPr>
              <w:tabs>
                <w:tab w:val="left" w:pos="0"/>
              </w:tabs>
              <w:adjustRightInd w:val="0"/>
              <w:snapToGrid w:val="0"/>
              <w:jc w:val="center"/>
              <w:rPr>
                <w:rFonts w:hint="eastAsia" w:ascii="宋体" w:hAnsi="宋体" w:cs="宋体"/>
                <w:bCs/>
              </w:rPr>
            </w:pPr>
            <w:r>
              <w:rPr>
                <w:rFonts w:hint="eastAsia" w:ascii="宋体" w:hAnsi="宋体" w:cs="宋体"/>
                <w:bCs/>
              </w:rPr>
              <w:t>评审因素</w:t>
            </w:r>
          </w:p>
        </w:tc>
        <w:tc>
          <w:tcPr>
            <w:tcW w:w="6201" w:type="dxa"/>
            <w:vAlign w:val="center"/>
          </w:tcPr>
          <w:p>
            <w:pPr>
              <w:tabs>
                <w:tab w:val="left" w:pos="0"/>
              </w:tabs>
              <w:adjustRightInd w:val="0"/>
              <w:snapToGrid w:val="0"/>
              <w:jc w:val="center"/>
              <w:rPr>
                <w:rFonts w:hint="eastAsia" w:ascii="宋体" w:hAnsi="宋体" w:cs="宋体"/>
                <w:bCs/>
              </w:rPr>
            </w:pPr>
            <w:r>
              <w:rPr>
                <w:rFonts w:hint="eastAsia" w:ascii="宋体" w:hAnsi="宋体" w:cs="宋体"/>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15" w:type="dxa"/>
            <w:vAlign w:val="center"/>
          </w:tcPr>
          <w:p>
            <w:pPr>
              <w:tabs>
                <w:tab w:val="left" w:pos="0"/>
              </w:tabs>
              <w:adjustRightInd w:val="0"/>
              <w:snapToGrid w:val="0"/>
              <w:jc w:val="center"/>
              <w:rPr>
                <w:rFonts w:hint="eastAsia" w:ascii="宋体" w:hAnsi="宋体" w:cs="宋体"/>
                <w:color w:val="000000"/>
              </w:rPr>
            </w:pPr>
            <w:r>
              <w:rPr>
                <w:rFonts w:hint="eastAsia" w:ascii="宋体" w:hAnsi="宋体" w:cs="宋体"/>
                <w:color w:val="000000"/>
              </w:rPr>
              <w:t>1</w:t>
            </w:r>
          </w:p>
        </w:tc>
        <w:tc>
          <w:tcPr>
            <w:tcW w:w="2835" w:type="dxa"/>
            <w:vAlign w:val="center"/>
          </w:tcPr>
          <w:p>
            <w:pPr>
              <w:tabs>
                <w:tab w:val="left" w:pos="0"/>
              </w:tabs>
              <w:adjustRightInd w:val="0"/>
              <w:snapToGrid w:val="0"/>
              <w:jc w:val="center"/>
              <w:rPr>
                <w:rFonts w:hint="eastAsia" w:ascii="宋体" w:hAnsi="宋体" w:cs="宋体"/>
                <w:color w:val="000000"/>
              </w:rPr>
            </w:pPr>
            <w:r>
              <w:rPr>
                <w:rFonts w:hint="eastAsia" w:ascii="宋体" w:hAnsi="宋体" w:cs="宋体"/>
                <w:color w:val="000000"/>
              </w:rPr>
              <w:t>具有独立承担</w:t>
            </w:r>
          </w:p>
          <w:p>
            <w:pPr>
              <w:tabs>
                <w:tab w:val="left" w:pos="0"/>
              </w:tabs>
              <w:adjustRightInd w:val="0"/>
              <w:snapToGrid w:val="0"/>
              <w:jc w:val="center"/>
              <w:rPr>
                <w:rFonts w:hint="eastAsia" w:ascii="宋体" w:hAnsi="宋体" w:cs="宋体"/>
                <w:bCs/>
              </w:rPr>
            </w:pPr>
            <w:r>
              <w:rPr>
                <w:rFonts w:hint="eastAsia" w:ascii="宋体" w:hAnsi="宋体" w:cs="宋体"/>
                <w:color w:val="000000"/>
              </w:rPr>
              <w:t>民事责任的能力</w:t>
            </w:r>
          </w:p>
        </w:tc>
        <w:tc>
          <w:tcPr>
            <w:tcW w:w="6201" w:type="dxa"/>
            <w:vAlign w:val="center"/>
          </w:tcPr>
          <w:p>
            <w:pPr>
              <w:tabs>
                <w:tab w:val="left" w:pos="0"/>
              </w:tabs>
              <w:adjustRightInd w:val="0"/>
              <w:snapToGrid w:val="0"/>
              <w:jc w:val="left"/>
              <w:rPr>
                <w:rFonts w:hint="eastAsia" w:ascii="宋体" w:hAnsi="宋体" w:cs="宋体"/>
              </w:rPr>
            </w:pPr>
            <w:r>
              <w:rPr>
                <w:rFonts w:hint="eastAsia" w:ascii="宋体" w:hAnsi="宋体" w:cs="宋体"/>
              </w:rPr>
              <w:t>具有独立承担民事责任能力的法人、其他组织或自然人，提供营业执照/事业单位法人证书/非企业专业服务机构执业许可证/自然人身份证；</w:t>
            </w:r>
          </w:p>
          <w:p>
            <w:pPr>
              <w:pStyle w:val="89"/>
              <w:ind w:firstLine="0" w:firstLineChars="0"/>
              <w:rPr>
                <w:rFonts w:hint="eastAsia" w:ascii="宋体" w:hAnsi="宋体" w:cs="宋体"/>
              </w:rPr>
            </w:pPr>
            <w:r>
              <w:rPr>
                <w:rFonts w:hint="eastAsia" w:ascii="宋体" w:hAnsi="宋体" w:cs="宋体"/>
                <w:b/>
                <w:bCs/>
                <w:color w:val="000000"/>
              </w:rPr>
              <w:t>评审依据：提供相关证明资料复印件并加盖投标人公章。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15" w:type="dxa"/>
            <w:vAlign w:val="center"/>
          </w:tcPr>
          <w:p>
            <w:pPr>
              <w:tabs>
                <w:tab w:val="left" w:pos="0"/>
              </w:tabs>
              <w:adjustRightInd w:val="0"/>
              <w:snapToGrid w:val="0"/>
              <w:jc w:val="center"/>
              <w:rPr>
                <w:rFonts w:hint="eastAsia" w:ascii="宋体" w:hAnsi="宋体" w:cs="宋体"/>
                <w:color w:val="000000"/>
              </w:rPr>
            </w:pPr>
            <w:r>
              <w:rPr>
                <w:rFonts w:hint="eastAsia" w:ascii="宋体" w:hAnsi="宋体" w:cs="宋体"/>
                <w:color w:val="000000"/>
              </w:rPr>
              <w:t>2</w:t>
            </w:r>
          </w:p>
        </w:tc>
        <w:tc>
          <w:tcPr>
            <w:tcW w:w="2835" w:type="dxa"/>
            <w:vAlign w:val="center"/>
          </w:tcPr>
          <w:p>
            <w:pPr>
              <w:tabs>
                <w:tab w:val="left" w:pos="0"/>
              </w:tabs>
              <w:adjustRightInd w:val="0"/>
              <w:snapToGrid w:val="0"/>
              <w:jc w:val="center"/>
              <w:rPr>
                <w:rFonts w:hint="eastAsia" w:ascii="宋体" w:hAnsi="宋体" w:cs="宋体"/>
                <w:bCs/>
              </w:rPr>
            </w:pPr>
            <w:r>
              <w:rPr>
                <w:rFonts w:hint="eastAsia" w:ascii="宋体" w:hAnsi="宋体" w:cs="宋体"/>
                <w:color w:val="000000"/>
              </w:rPr>
              <w:t>具有良好的商业信誉和健全的财务会计制度</w:t>
            </w:r>
          </w:p>
        </w:tc>
        <w:tc>
          <w:tcPr>
            <w:tcW w:w="6201" w:type="dxa"/>
            <w:vAlign w:val="center"/>
          </w:tcPr>
          <w:p>
            <w:pPr>
              <w:tabs>
                <w:tab w:val="left" w:pos="0"/>
              </w:tabs>
              <w:adjustRightInd w:val="0"/>
              <w:snapToGrid w:val="0"/>
              <w:jc w:val="left"/>
              <w:rPr>
                <w:rFonts w:hint="eastAsia" w:ascii="宋体" w:hAnsi="宋体" w:cs="宋体"/>
              </w:rPr>
            </w:pPr>
            <w:r>
              <w:rPr>
                <w:rFonts w:hint="eastAsia" w:ascii="宋体" w:hAnsi="宋体" w:cs="宋体"/>
              </w:rPr>
              <w:t>提供财务审计资质的单位出具的2020年财务报告，或投标截止时间前三个月内公司存款账户开户银行出具的资信证明，或信用担保机构出具的投标担保函；</w:t>
            </w:r>
          </w:p>
          <w:p>
            <w:pPr>
              <w:pStyle w:val="89"/>
              <w:ind w:firstLine="0" w:firstLineChars="0"/>
              <w:rPr>
                <w:rFonts w:hint="eastAsia" w:ascii="宋体" w:hAnsi="宋体" w:cs="宋体"/>
              </w:rPr>
            </w:pPr>
            <w:r>
              <w:rPr>
                <w:rFonts w:hint="eastAsia" w:ascii="宋体" w:hAnsi="宋体" w:cs="宋体"/>
                <w:b/>
                <w:bCs/>
                <w:color w:val="000000"/>
              </w:rPr>
              <w:t>评审依据：提供相关证明资料复印件并加盖投标人公章。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615" w:type="dxa"/>
            <w:vAlign w:val="center"/>
          </w:tcPr>
          <w:p>
            <w:pPr>
              <w:tabs>
                <w:tab w:val="left" w:pos="0"/>
              </w:tabs>
              <w:adjustRightInd w:val="0"/>
              <w:snapToGrid w:val="0"/>
              <w:jc w:val="center"/>
              <w:rPr>
                <w:rFonts w:hint="eastAsia" w:ascii="宋体" w:hAnsi="宋体" w:cs="宋体"/>
                <w:color w:val="000000"/>
              </w:rPr>
            </w:pPr>
            <w:r>
              <w:rPr>
                <w:rFonts w:hint="eastAsia" w:ascii="宋体" w:hAnsi="宋体" w:cs="宋体"/>
                <w:color w:val="000000"/>
              </w:rPr>
              <w:t>3</w:t>
            </w:r>
          </w:p>
        </w:tc>
        <w:tc>
          <w:tcPr>
            <w:tcW w:w="2835" w:type="dxa"/>
            <w:vAlign w:val="center"/>
          </w:tcPr>
          <w:p>
            <w:pPr>
              <w:tabs>
                <w:tab w:val="left" w:pos="0"/>
              </w:tabs>
              <w:adjustRightInd w:val="0"/>
              <w:snapToGrid w:val="0"/>
              <w:jc w:val="center"/>
              <w:rPr>
                <w:rFonts w:hint="eastAsia" w:ascii="宋体" w:hAnsi="宋体" w:cs="宋体"/>
                <w:color w:val="000000"/>
              </w:rPr>
            </w:pPr>
            <w:r>
              <w:rPr>
                <w:rFonts w:hint="eastAsia" w:ascii="宋体" w:hAnsi="宋体" w:cs="宋体"/>
                <w:color w:val="000000"/>
              </w:rPr>
              <w:t>有依法缴纳税收和社会保障资金的良好记录</w:t>
            </w:r>
          </w:p>
        </w:tc>
        <w:tc>
          <w:tcPr>
            <w:tcW w:w="6201" w:type="dxa"/>
            <w:vAlign w:val="center"/>
          </w:tcPr>
          <w:p>
            <w:pPr>
              <w:tabs>
                <w:tab w:val="left" w:pos="0"/>
              </w:tabs>
              <w:adjustRightInd w:val="0"/>
              <w:snapToGrid w:val="0"/>
              <w:jc w:val="left"/>
              <w:rPr>
                <w:rFonts w:hint="eastAsia" w:ascii="宋体" w:hAnsi="宋体" w:cs="宋体"/>
                <w:color w:val="000000"/>
              </w:rPr>
            </w:pPr>
            <w:r>
              <w:rPr>
                <w:rFonts w:hint="eastAsia" w:ascii="宋体" w:hAnsi="宋体" w:cs="宋体"/>
                <w:color w:val="000000"/>
              </w:rPr>
              <w:t>1.提供</w:t>
            </w:r>
            <w:r>
              <w:rPr>
                <w:rFonts w:hint="eastAsia" w:ascii="宋体" w:hAnsi="宋体" w:cs="宋体"/>
              </w:rPr>
              <w:t>投标</w:t>
            </w:r>
            <w:r>
              <w:rPr>
                <w:rFonts w:hint="eastAsia" w:ascii="宋体" w:hAnsi="宋体" w:cs="宋体"/>
                <w:kern w:val="0"/>
              </w:rPr>
              <w:t>截止时间前12个月内任三个月份</w:t>
            </w:r>
            <w:r>
              <w:rPr>
                <w:rFonts w:hint="eastAsia" w:ascii="宋体" w:hAnsi="宋体" w:cs="宋体"/>
                <w:color w:val="000000"/>
              </w:rPr>
              <w:t>的税收完税证明或免税书面声明；</w:t>
            </w:r>
          </w:p>
          <w:p>
            <w:pPr>
              <w:tabs>
                <w:tab w:val="left" w:pos="0"/>
              </w:tabs>
              <w:adjustRightInd w:val="0"/>
              <w:snapToGrid w:val="0"/>
              <w:jc w:val="left"/>
              <w:rPr>
                <w:rFonts w:hint="eastAsia" w:ascii="宋体" w:hAnsi="宋体" w:cs="宋体"/>
              </w:rPr>
            </w:pPr>
            <w:r>
              <w:rPr>
                <w:rFonts w:hint="eastAsia" w:ascii="宋体" w:hAnsi="宋体" w:cs="宋体"/>
              </w:rPr>
              <w:t>2.</w:t>
            </w:r>
            <w:r>
              <w:rPr>
                <w:rFonts w:hint="eastAsia" w:ascii="宋体" w:hAnsi="宋体" w:cs="宋体"/>
                <w:color w:val="000000"/>
              </w:rPr>
              <w:t>提供</w:t>
            </w:r>
            <w:r>
              <w:rPr>
                <w:rFonts w:hint="eastAsia" w:ascii="宋体" w:hAnsi="宋体" w:cs="宋体"/>
              </w:rPr>
              <w:t>投标</w:t>
            </w:r>
            <w:r>
              <w:rPr>
                <w:rFonts w:hint="eastAsia" w:ascii="宋体" w:hAnsi="宋体" w:cs="宋体"/>
                <w:kern w:val="0"/>
              </w:rPr>
              <w:t>截止时间前12个月内任三个月份</w:t>
            </w:r>
            <w:r>
              <w:rPr>
                <w:rFonts w:hint="eastAsia" w:ascii="宋体" w:hAnsi="宋体" w:cs="宋体"/>
                <w:color w:val="000000"/>
              </w:rPr>
              <w:t>的社会保障资金缴纳专用收据或社会保险缴纳清单或社会保障资金免缴纳书面声明</w:t>
            </w:r>
            <w:r>
              <w:rPr>
                <w:rFonts w:hint="eastAsia" w:ascii="宋体" w:hAnsi="宋体" w:cs="宋体"/>
              </w:rPr>
              <w:t>；</w:t>
            </w:r>
          </w:p>
          <w:p>
            <w:pPr>
              <w:pStyle w:val="89"/>
              <w:ind w:firstLine="0" w:firstLineChars="0"/>
              <w:rPr>
                <w:rFonts w:hint="eastAsia" w:ascii="宋体" w:hAnsi="宋体" w:cs="宋体"/>
              </w:rPr>
            </w:pPr>
            <w:r>
              <w:rPr>
                <w:rFonts w:hint="eastAsia" w:ascii="宋体" w:hAnsi="宋体" w:cs="宋体"/>
                <w:b/>
                <w:bCs/>
                <w:color w:val="000000"/>
              </w:rPr>
              <w:t>评审依据：提供相关证明资料复印件并加盖投标人公章。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 w:author="遇见@多多" w:date="2021-07-27T11:13: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2" w:hRule="atLeast"/>
          <w:jc w:val="center"/>
          <w:trPrChange w:id="37" w:author="遇见@多多" w:date="2021-07-27T11:13:50Z">
            <w:trPr>
              <w:trHeight w:val="849" w:hRule="atLeast"/>
              <w:jc w:val="center"/>
            </w:trPr>
          </w:trPrChange>
        </w:trPr>
        <w:tc>
          <w:tcPr>
            <w:tcW w:w="615" w:type="dxa"/>
            <w:vAlign w:val="center"/>
            <w:tcPrChange w:id="38" w:author="遇见@多多" w:date="2021-07-27T11:13:50Z">
              <w:tcPr>
                <w:tcW w:w="615" w:type="dxa"/>
                <w:vAlign w:val="center"/>
                <w:tcPrChange w:id="39" w:author="遇见@多多" w:date="2021-07-27T11:13:50Z">
                  <w:tcPr>
                    <w:tcW w:w="615" w:type="dxa"/>
                    <w:vAlign w:val="center"/>
                  </w:tcPr>
                </w:tcPrChange>
              </w:tcPr>
            </w:tcPrChange>
          </w:tcPr>
          <w:p>
            <w:pPr>
              <w:tabs>
                <w:tab w:val="left" w:pos="0"/>
              </w:tabs>
              <w:adjustRightInd w:val="0"/>
              <w:snapToGrid w:val="0"/>
              <w:jc w:val="center"/>
              <w:rPr>
                <w:rFonts w:hint="eastAsia" w:ascii="宋体" w:hAnsi="宋体" w:cs="宋体"/>
                <w:color w:val="000000"/>
              </w:rPr>
            </w:pPr>
            <w:r>
              <w:rPr>
                <w:rFonts w:hint="eastAsia" w:ascii="宋体" w:hAnsi="宋体" w:cs="宋体"/>
                <w:color w:val="000000"/>
              </w:rPr>
              <w:t>4</w:t>
            </w:r>
          </w:p>
        </w:tc>
        <w:tc>
          <w:tcPr>
            <w:tcW w:w="2835" w:type="dxa"/>
            <w:vAlign w:val="center"/>
            <w:tcPrChange w:id="40" w:author="遇见@多多" w:date="2021-07-27T11:13:50Z">
              <w:tcPr>
                <w:tcW w:w="2835" w:type="dxa"/>
                <w:vAlign w:val="center"/>
                <w:tcPrChange w:id="41" w:author="遇见@多多" w:date="2021-07-27T11:13:50Z">
                  <w:tcPr>
                    <w:tcW w:w="2835" w:type="dxa"/>
                    <w:vAlign w:val="center"/>
                  </w:tcPr>
                </w:tcPrChange>
              </w:tcPr>
            </w:tcPrChange>
          </w:tcPr>
          <w:p>
            <w:pPr>
              <w:tabs>
                <w:tab w:val="left" w:pos="0"/>
              </w:tabs>
              <w:adjustRightInd w:val="0"/>
              <w:snapToGrid w:val="0"/>
              <w:jc w:val="center"/>
              <w:rPr>
                <w:rFonts w:hint="eastAsia" w:ascii="宋体" w:hAnsi="宋体" w:cs="宋体"/>
                <w:color w:val="000000"/>
              </w:rPr>
            </w:pPr>
            <w:r>
              <w:rPr>
                <w:rFonts w:hint="eastAsia" w:ascii="宋体" w:hAnsi="宋体" w:cs="宋体"/>
                <w:color w:val="000000"/>
              </w:rPr>
              <w:t>具有履行合同所必需的设备和专业技术能力</w:t>
            </w:r>
          </w:p>
        </w:tc>
        <w:tc>
          <w:tcPr>
            <w:tcW w:w="6201" w:type="dxa"/>
            <w:vAlign w:val="center"/>
            <w:tcPrChange w:id="42" w:author="遇见@多多" w:date="2021-07-27T11:13:50Z">
              <w:tcPr>
                <w:tcW w:w="6201" w:type="dxa"/>
                <w:vAlign w:val="center"/>
                <w:tcPrChange w:id="43" w:author="遇见@多多" w:date="2021-07-27T11:13:50Z">
                  <w:tcPr>
                    <w:tcW w:w="6201" w:type="dxa"/>
                    <w:vAlign w:val="center"/>
                  </w:tcPr>
                </w:tcPrChange>
              </w:tcPr>
            </w:tcPrChange>
          </w:tcPr>
          <w:p>
            <w:pPr>
              <w:tabs>
                <w:tab w:val="left" w:pos="0"/>
              </w:tabs>
              <w:adjustRightInd w:val="0"/>
              <w:snapToGrid w:val="0"/>
              <w:jc w:val="left"/>
              <w:rPr>
                <w:rFonts w:hint="eastAsia" w:ascii="宋体" w:hAnsi="宋体" w:cs="宋体"/>
                <w:color w:val="000000"/>
              </w:rPr>
            </w:pPr>
            <w:r>
              <w:rPr>
                <w:rFonts w:hint="eastAsia" w:ascii="宋体" w:hAnsi="宋体" w:cs="宋体"/>
                <w:color w:val="000000"/>
              </w:rPr>
              <w:t>提供可充分满足履行合同所需设备和专业技术能力的证明材料或承诺书；</w:t>
            </w:r>
          </w:p>
          <w:p>
            <w:pPr>
              <w:tabs>
                <w:tab w:val="left" w:pos="0"/>
              </w:tabs>
              <w:adjustRightInd w:val="0"/>
              <w:snapToGrid w:val="0"/>
              <w:jc w:val="left"/>
              <w:rPr>
                <w:rFonts w:hint="eastAsia" w:ascii="宋体" w:hAnsi="宋体" w:cs="宋体"/>
              </w:rPr>
            </w:pPr>
            <w:r>
              <w:rPr>
                <w:rFonts w:hint="eastAsia" w:ascii="宋体" w:hAnsi="宋体" w:cs="宋体"/>
                <w:b/>
                <w:bCs/>
                <w:color w:val="000000"/>
              </w:rPr>
              <w:t>评审依据：提供相关证明材料复印件并加盖投标人公章或提供合法有效的承诺书原件。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15" w:type="dxa"/>
            <w:vAlign w:val="center"/>
          </w:tcPr>
          <w:p>
            <w:pPr>
              <w:tabs>
                <w:tab w:val="left" w:pos="0"/>
              </w:tabs>
              <w:adjustRightInd w:val="0"/>
              <w:snapToGrid w:val="0"/>
              <w:jc w:val="center"/>
              <w:rPr>
                <w:rFonts w:hint="eastAsia" w:ascii="宋体" w:hAnsi="宋体" w:cs="宋体"/>
                <w:color w:val="000000"/>
              </w:rPr>
            </w:pPr>
            <w:r>
              <w:rPr>
                <w:rFonts w:hint="eastAsia" w:ascii="宋体" w:hAnsi="宋体" w:cs="宋体"/>
                <w:color w:val="000000"/>
              </w:rPr>
              <w:t>5</w:t>
            </w:r>
          </w:p>
        </w:tc>
        <w:tc>
          <w:tcPr>
            <w:tcW w:w="2835" w:type="dxa"/>
            <w:vAlign w:val="center"/>
          </w:tcPr>
          <w:p>
            <w:pPr>
              <w:tabs>
                <w:tab w:val="left" w:pos="0"/>
              </w:tabs>
              <w:adjustRightInd w:val="0"/>
              <w:snapToGrid w:val="0"/>
              <w:jc w:val="center"/>
              <w:rPr>
                <w:rFonts w:hint="eastAsia" w:ascii="宋体" w:hAnsi="宋体" w:cs="宋体"/>
                <w:color w:val="000000"/>
              </w:rPr>
            </w:pPr>
            <w:r>
              <w:rPr>
                <w:rFonts w:hint="eastAsia" w:ascii="宋体" w:hAnsi="宋体" w:cs="宋体"/>
                <w:color w:val="000000"/>
              </w:rPr>
              <w:t>参加政府采购活动前三年内，在经营活动中没有重大违法记录</w:t>
            </w:r>
          </w:p>
        </w:tc>
        <w:tc>
          <w:tcPr>
            <w:tcW w:w="6201" w:type="dxa"/>
            <w:vAlign w:val="center"/>
          </w:tcPr>
          <w:p>
            <w:pPr>
              <w:tabs>
                <w:tab w:val="left" w:pos="0"/>
              </w:tabs>
              <w:adjustRightInd w:val="0"/>
              <w:snapToGrid w:val="0"/>
              <w:jc w:val="left"/>
              <w:rPr>
                <w:rFonts w:hint="eastAsia" w:ascii="宋体" w:hAnsi="宋体" w:cs="宋体"/>
              </w:rPr>
            </w:pPr>
            <w:r>
              <w:rPr>
                <w:rFonts w:hint="eastAsia" w:ascii="宋体" w:hAnsi="宋体" w:cs="宋体"/>
              </w:rPr>
              <w:t>提供合法有效的参加政府采购活动前3年内在经营活动中没有重大违法记录的书面声明书；</w:t>
            </w:r>
          </w:p>
          <w:p>
            <w:pPr>
              <w:pStyle w:val="89"/>
              <w:ind w:firstLine="0" w:firstLineChars="0"/>
              <w:rPr>
                <w:rFonts w:hint="eastAsia" w:ascii="宋体" w:hAnsi="宋体" w:cs="宋体"/>
              </w:rPr>
            </w:pPr>
            <w:r>
              <w:rPr>
                <w:rFonts w:hint="eastAsia" w:ascii="宋体" w:hAnsi="宋体" w:cs="宋体"/>
                <w:b/>
                <w:bCs/>
                <w:color w:val="000000"/>
              </w:rPr>
              <w:t>评审依据：提供合法有效的书面声明书原件。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15" w:type="dxa"/>
            <w:vAlign w:val="center"/>
          </w:tcPr>
          <w:p>
            <w:pPr>
              <w:tabs>
                <w:tab w:val="left" w:pos="0"/>
              </w:tabs>
              <w:adjustRightInd w:val="0"/>
              <w:snapToGrid w:val="0"/>
              <w:jc w:val="center"/>
              <w:rPr>
                <w:rFonts w:hint="eastAsia" w:ascii="宋体" w:hAnsi="宋体" w:cs="宋体"/>
                <w:color w:val="000000"/>
              </w:rPr>
            </w:pPr>
            <w:r>
              <w:rPr>
                <w:rFonts w:hint="eastAsia" w:ascii="宋体" w:hAnsi="宋体" w:cs="宋体"/>
                <w:color w:val="000000"/>
              </w:rPr>
              <w:t>6</w:t>
            </w:r>
          </w:p>
        </w:tc>
        <w:tc>
          <w:tcPr>
            <w:tcW w:w="2835" w:type="dxa"/>
            <w:vAlign w:val="center"/>
          </w:tcPr>
          <w:p>
            <w:pPr>
              <w:tabs>
                <w:tab w:val="left" w:pos="0"/>
              </w:tabs>
              <w:adjustRightInd w:val="0"/>
              <w:snapToGrid w:val="0"/>
              <w:jc w:val="center"/>
              <w:rPr>
                <w:rFonts w:hint="eastAsia" w:ascii="宋体" w:hAnsi="宋体" w:cs="宋体"/>
                <w:bCs/>
              </w:rPr>
            </w:pPr>
            <w:r>
              <w:rPr>
                <w:rFonts w:hint="eastAsia" w:ascii="宋体" w:hAnsi="宋体" w:cs="宋体"/>
                <w:color w:val="000000"/>
              </w:rPr>
              <w:t>“信用中国”网站和“中国政府采购网”查询记录</w:t>
            </w:r>
          </w:p>
        </w:tc>
        <w:tc>
          <w:tcPr>
            <w:tcW w:w="6201" w:type="dxa"/>
            <w:vAlign w:val="center"/>
          </w:tcPr>
          <w:p>
            <w:pPr>
              <w:tabs>
                <w:tab w:val="left" w:pos="0"/>
              </w:tabs>
              <w:adjustRightInd w:val="0"/>
              <w:snapToGrid w:val="0"/>
              <w:jc w:val="left"/>
              <w:rPr>
                <w:rFonts w:hint="eastAsia" w:ascii="宋体" w:hAnsi="宋体" w:cs="宋体"/>
                <w:bCs/>
              </w:rPr>
            </w:pPr>
            <w:r>
              <w:rPr>
                <w:rFonts w:hint="eastAsia" w:ascii="宋体" w:hAnsi="宋体" w:cs="宋体"/>
                <w:color w:val="000000"/>
              </w:rPr>
              <w:t>未被“信用中国”网站</w:t>
            </w:r>
            <w:r>
              <w:fldChar w:fldCharType="begin"/>
            </w:r>
            <w:r>
              <w:instrText xml:space="preserve"> HYPERLINK "http://www.creditchina.gov.cn）中列入失信被执行人和/" </w:instrText>
            </w:r>
            <w:r>
              <w:fldChar w:fldCharType="separate"/>
            </w:r>
            <w:r>
              <w:rPr>
                <w:rFonts w:hint="eastAsia" w:ascii="宋体" w:hAnsi="宋体" w:cs="宋体"/>
                <w:color w:val="000000"/>
              </w:rPr>
              <w:t>中列入失信被执行人和</w:t>
            </w:r>
            <w:r>
              <w:rPr>
                <w:rFonts w:hint="eastAsia" w:ascii="宋体" w:hAnsi="宋体" w:cs="宋体"/>
                <w:color w:val="000000"/>
              </w:rPr>
              <w:fldChar w:fldCharType="end"/>
            </w:r>
            <w:r>
              <w:rPr>
                <w:rFonts w:hint="eastAsia" w:ascii="宋体" w:hAnsi="宋体" w:cs="宋体"/>
                <w:color w:val="000000"/>
              </w:rPr>
              <w:t>重大税收违法案件当事人名单的供应商、未被“中国政府采购网”列入政府采购严重违法失信行为记录名单中被财政部门禁止参加政府采购活动的供应商。</w:t>
            </w:r>
            <w:r>
              <w:rPr>
                <w:rFonts w:hint="eastAsia" w:ascii="宋体" w:hAnsi="宋体" w:cs="宋体"/>
                <w:b/>
                <w:bCs/>
                <w:color w:val="000000"/>
                <w:kern w:val="0"/>
              </w:rPr>
              <w:t>以开标现场网上查询结果为评审依据，投标文件中可不提供。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15" w:type="dxa"/>
            <w:vAlign w:val="center"/>
          </w:tcPr>
          <w:p>
            <w:pPr>
              <w:tabs>
                <w:tab w:val="left" w:pos="0"/>
              </w:tabs>
              <w:adjustRightInd w:val="0"/>
              <w:snapToGrid w:val="0"/>
              <w:jc w:val="center"/>
              <w:rPr>
                <w:rFonts w:hint="eastAsia" w:ascii="宋体" w:hAnsi="宋体" w:cs="宋体"/>
                <w:color w:val="000000"/>
              </w:rPr>
            </w:pPr>
            <w:r>
              <w:rPr>
                <w:rFonts w:hint="eastAsia" w:ascii="宋体" w:hAnsi="宋体" w:cs="宋体"/>
                <w:color w:val="000000"/>
              </w:rPr>
              <w:t>7</w:t>
            </w:r>
          </w:p>
        </w:tc>
        <w:tc>
          <w:tcPr>
            <w:tcW w:w="2835" w:type="dxa"/>
            <w:vAlign w:val="center"/>
          </w:tcPr>
          <w:p>
            <w:pPr>
              <w:tabs>
                <w:tab w:val="left" w:pos="0"/>
              </w:tabs>
              <w:adjustRightInd w:val="0"/>
              <w:snapToGrid w:val="0"/>
              <w:jc w:val="center"/>
              <w:rPr>
                <w:rFonts w:hint="eastAsia" w:ascii="宋体" w:hAnsi="宋体" w:cs="宋体"/>
                <w:bCs/>
              </w:rPr>
            </w:pPr>
            <w:r>
              <w:rPr>
                <w:rFonts w:hint="eastAsia" w:ascii="宋体" w:hAnsi="宋体" w:cs="宋体"/>
                <w:color w:val="000000"/>
              </w:rPr>
              <w:t>单位负责人为同一人或者存在直接控股、管理关系的不同投标人，不得同时参加同一标项投标。</w:t>
            </w:r>
          </w:p>
        </w:tc>
        <w:tc>
          <w:tcPr>
            <w:tcW w:w="6201" w:type="dxa"/>
            <w:vAlign w:val="center"/>
          </w:tcPr>
          <w:p>
            <w:pPr>
              <w:tabs>
                <w:tab w:val="left" w:pos="0"/>
              </w:tabs>
              <w:adjustRightInd w:val="0"/>
              <w:snapToGrid w:val="0"/>
              <w:jc w:val="left"/>
              <w:rPr>
                <w:rFonts w:hint="eastAsia" w:ascii="宋体" w:hAnsi="宋体" w:cs="宋体"/>
                <w:color w:val="000000"/>
              </w:rPr>
            </w:pPr>
            <w:r>
              <w:rPr>
                <w:rFonts w:hint="eastAsia" w:ascii="宋体" w:hAnsi="宋体" w:cs="宋体"/>
                <w:color w:val="000000"/>
              </w:rPr>
              <w:t>提供“供应商关联企业情况声明书”。各投标人之间不存在单位负责人为同一人或者存在控股、管理关系情形。</w:t>
            </w:r>
          </w:p>
          <w:p>
            <w:pPr>
              <w:tabs>
                <w:tab w:val="left" w:pos="0"/>
              </w:tabs>
              <w:adjustRightInd w:val="0"/>
              <w:snapToGrid w:val="0"/>
              <w:jc w:val="left"/>
              <w:rPr>
                <w:rFonts w:hint="eastAsia" w:ascii="宋体" w:hAnsi="宋体" w:cs="宋体"/>
                <w:bCs/>
              </w:rPr>
            </w:pPr>
            <w:r>
              <w:rPr>
                <w:rFonts w:hint="eastAsia" w:ascii="宋体" w:hAnsi="宋体" w:cs="宋体"/>
                <w:b/>
                <w:bCs/>
                <w:color w:val="000000"/>
                <w:kern w:val="0"/>
              </w:rPr>
              <w:t>评审依据：提供合法有效的声明书原件。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tcPr>
          <w:p>
            <w:pPr>
              <w:tabs>
                <w:tab w:val="left" w:pos="0"/>
              </w:tabs>
              <w:adjustRightInd w:val="0"/>
              <w:snapToGrid w:val="0"/>
              <w:jc w:val="left"/>
              <w:rPr>
                <w:rFonts w:hint="eastAsia" w:ascii="宋体" w:hAnsi="宋体" w:cs="宋体"/>
                <w:bCs/>
              </w:rPr>
            </w:pPr>
          </w:p>
        </w:tc>
        <w:tc>
          <w:tcPr>
            <w:tcW w:w="9036" w:type="dxa"/>
            <w:gridSpan w:val="2"/>
            <w:vAlign w:val="center"/>
          </w:tcPr>
          <w:p>
            <w:pPr>
              <w:tabs>
                <w:tab w:val="left" w:pos="0"/>
              </w:tabs>
              <w:adjustRightInd w:val="0"/>
              <w:snapToGrid w:val="0"/>
              <w:jc w:val="left"/>
              <w:rPr>
                <w:rFonts w:hint="eastAsia" w:ascii="宋体" w:hAnsi="宋体" w:cs="宋体"/>
                <w:b/>
                <w:bCs/>
              </w:rPr>
            </w:pPr>
            <w:r>
              <w:rPr>
                <w:rFonts w:hint="eastAsia" w:ascii="宋体" w:hAnsi="宋体" w:cs="宋体"/>
                <w:b/>
                <w:bCs/>
              </w:rPr>
              <w:t>注：以上为必备资质，缺一项或某项达不到要求，按无效投标处理，不再进入后续评审阶段。</w:t>
            </w:r>
          </w:p>
        </w:tc>
      </w:tr>
    </w:tbl>
    <w:p>
      <w:pPr>
        <w:spacing w:line="360" w:lineRule="auto"/>
        <w:ind w:right="40" w:rightChars="19"/>
        <w:rPr>
          <w:rFonts w:hint="eastAsia" w:ascii="宋体" w:hAnsi="宋体" w:cs="宋体"/>
          <w:sz w:val="24"/>
          <w:highlight w:val="yellow"/>
        </w:rPr>
      </w:pPr>
      <w:r>
        <w:rPr>
          <w:rFonts w:hint="eastAsia" w:ascii="宋体" w:hAnsi="宋体" w:cs="宋体"/>
          <w:sz w:val="24"/>
          <w:highlight w:val="yellow"/>
        </w:rPr>
        <w:br w:type="page"/>
      </w:r>
    </w:p>
    <w:p>
      <w:pPr>
        <w:tabs>
          <w:tab w:val="left" w:pos="-94"/>
          <w:tab w:val="left" w:pos="428"/>
        </w:tabs>
        <w:adjustRightInd w:val="0"/>
        <w:spacing w:line="360" w:lineRule="auto"/>
        <w:ind w:left="23" w:leftChars="11"/>
        <w:jc w:val="center"/>
        <w:textAlignment w:val="baseline"/>
        <w:outlineLvl w:val="1"/>
        <w:rPr>
          <w:rFonts w:hint="eastAsia" w:ascii="宋体" w:hAnsi="宋体" w:cs="宋体"/>
          <w:b/>
          <w:sz w:val="28"/>
          <w:szCs w:val="28"/>
        </w:rPr>
      </w:pPr>
      <w:bookmarkStart w:id="65" w:name="_Toc26298321"/>
      <w:bookmarkStart w:id="66" w:name="_Toc9968170"/>
      <w:bookmarkStart w:id="67" w:name="_Toc23856"/>
      <w:bookmarkStart w:id="68" w:name="_Toc26300492"/>
      <w:bookmarkStart w:id="69" w:name="_Toc13385"/>
      <w:bookmarkStart w:id="70" w:name="_Toc26291037"/>
      <w:bookmarkStart w:id="71" w:name="_Toc17998928"/>
      <w:bookmarkStart w:id="72" w:name="_Toc410631197"/>
      <w:bookmarkStart w:id="73" w:name="_Toc25661896"/>
      <w:bookmarkStart w:id="74" w:name="_Toc9850586"/>
      <w:bookmarkStart w:id="75" w:name="_Toc17999490"/>
      <w:bookmarkStart w:id="76" w:name="_Toc17998755"/>
      <w:bookmarkStart w:id="77" w:name="_Toc516190892"/>
      <w:bookmarkStart w:id="78" w:name="_Toc26291137"/>
      <w:bookmarkStart w:id="79" w:name="_Toc414446033"/>
      <w:bookmarkStart w:id="80" w:name="_Toc14084"/>
      <w:r>
        <w:rPr>
          <w:rFonts w:hint="eastAsia" w:ascii="宋体" w:hAnsi="宋体" w:cs="宋体"/>
          <w:b/>
          <w:sz w:val="28"/>
          <w:szCs w:val="28"/>
        </w:rPr>
        <w:t>附表二 符合性审查表</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Style w:val="44"/>
        <w:tblW w:w="94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7"/>
        <w:gridCol w:w="2984"/>
        <w:gridCol w:w="5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260"/>
                <w:tab w:val="left" w:pos="1620"/>
              </w:tabs>
              <w:adjustRightInd w:val="0"/>
              <w:snapToGrid w:val="0"/>
              <w:spacing w:line="440" w:lineRule="exact"/>
              <w:jc w:val="center"/>
              <w:textAlignment w:val="baseline"/>
              <w:rPr>
                <w:rFonts w:hint="eastAsia" w:ascii="宋体" w:hAnsi="宋体" w:cs="宋体"/>
                <w:b/>
                <w:caps/>
                <w:szCs w:val="21"/>
              </w:rPr>
            </w:pPr>
            <w:r>
              <w:rPr>
                <w:rFonts w:hint="eastAsia" w:ascii="宋体" w:hAnsi="宋体" w:cs="宋体"/>
                <w:b/>
                <w:caps/>
                <w:szCs w:val="21"/>
              </w:rPr>
              <w:t>序号</w:t>
            </w:r>
          </w:p>
        </w:tc>
        <w:tc>
          <w:tcPr>
            <w:tcW w:w="2984" w:type="dxa"/>
            <w:vAlign w:val="center"/>
          </w:tcPr>
          <w:p>
            <w:pPr>
              <w:tabs>
                <w:tab w:val="left" w:pos="1260"/>
                <w:tab w:val="left" w:pos="1620"/>
              </w:tabs>
              <w:adjustRightInd w:val="0"/>
              <w:snapToGrid w:val="0"/>
              <w:spacing w:line="440" w:lineRule="exact"/>
              <w:jc w:val="center"/>
              <w:textAlignment w:val="baseline"/>
              <w:rPr>
                <w:rFonts w:hint="eastAsia" w:ascii="宋体" w:hAnsi="宋体" w:cs="宋体"/>
                <w:b/>
                <w:caps/>
                <w:szCs w:val="21"/>
              </w:rPr>
            </w:pPr>
            <w:r>
              <w:rPr>
                <w:rFonts w:hint="eastAsia" w:ascii="宋体" w:hAnsi="宋体" w:cs="宋体"/>
                <w:b/>
                <w:caps/>
                <w:szCs w:val="21"/>
              </w:rPr>
              <w:t>评审因素</w:t>
            </w:r>
          </w:p>
        </w:tc>
        <w:tc>
          <w:tcPr>
            <w:tcW w:w="5643" w:type="dxa"/>
            <w:vAlign w:val="center"/>
          </w:tcPr>
          <w:p>
            <w:pPr>
              <w:tabs>
                <w:tab w:val="left" w:pos="1260"/>
                <w:tab w:val="left" w:pos="1620"/>
              </w:tabs>
              <w:adjustRightInd w:val="0"/>
              <w:snapToGrid w:val="0"/>
              <w:spacing w:line="440" w:lineRule="exact"/>
              <w:jc w:val="center"/>
              <w:textAlignment w:val="baseline"/>
              <w:rPr>
                <w:rFonts w:hint="eastAsia" w:ascii="宋体" w:hAnsi="宋体" w:cs="宋体"/>
                <w:b/>
                <w:caps/>
                <w:szCs w:val="21"/>
              </w:rPr>
            </w:pPr>
            <w:r>
              <w:rPr>
                <w:rFonts w:hint="eastAsia" w:ascii="宋体" w:hAnsi="宋体" w:cs="宋体"/>
                <w:b/>
                <w:caps/>
                <w:szCs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9" w:hRule="atLeast"/>
          <w:jc w:val="center"/>
        </w:trPr>
        <w:tc>
          <w:tcPr>
            <w:tcW w:w="827" w:type="dxa"/>
            <w:vAlign w:val="center"/>
          </w:tcPr>
          <w:p>
            <w:pPr>
              <w:tabs>
                <w:tab w:val="left" w:pos="1260"/>
                <w:tab w:val="left" w:pos="1620"/>
              </w:tabs>
              <w:adjustRightInd w:val="0"/>
              <w:snapToGrid w:val="0"/>
              <w:spacing w:line="440" w:lineRule="exact"/>
              <w:jc w:val="center"/>
              <w:textAlignment w:val="baseline"/>
              <w:rPr>
                <w:rFonts w:hint="eastAsia" w:ascii="宋体" w:hAnsi="宋体" w:cs="宋体"/>
                <w:szCs w:val="21"/>
              </w:rPr>
            </w:pPr>
            <w:r>
              <w:rPr>
                <w:rFonts w:hint="eastAsia" w:ascii="宋体" w:hAnsi="宋体" w:cs="宋体"/>
                <w:szCs w:val="21"/>
              </w:rPr>
              <w:t>1</w:t>
            </w:r>
          </w:p>
        </w:tc>
        <w:tc>
          <w:tcPr>
            <w:tcW w:w="2984"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响应文件签署盖章</w:t>
            </w:r>
          </w:p>
        </w:tc>
        <w:tc>
          <w:tcPr>
            <w:tcW w:w="5643"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按</w:t>
            </w:r>
            <w:r>
              <w:rPr>
                <w:rFonts w:hint="eastAsia" w:ascii="宋体" w:hAnsi="宋体" w:cs="宋体"/>
                <w:color w:val="000000"/>
                <w:szCs w:val="21"/>
              </w:rPr>
              <w:t>磋商</w:t>
            </w:r>
            <w:r>
              <w:rPr>
                <w:rFonts w:hint="eastAsia" w:ascii="宋体" w:hAnsi="宋体" w:cs="宋体"/>
                <w:szCs w:val="21"/>
              </w:rPr>
              <w:t>文件要求在规定位置加盖供应商公章和有法定代表人或其授权代表签字的；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260"/>
                <w:tab w:val="left" w:pos="1620"/>
              </w:tabs>
              <w:adjustRightInd w:val="0"/>
              <w:snapToGrid w:val="0"/>
              <w:spacing w:line="440" w:lineRule="exact"/>
              <w:jc w:val="center"/>
              <w:textAlignment w:val="baseline"/>
              <w:rPr>
                <w:rFonts w:hint="eastAsia" w:ascii="宋体" w:hAnsi="宋体" w:cs="宋体"/>
                <w:szCs w:val="21"/>
              </w:rPr>
            </w:pPr>
            <w:r>
              <w:rPr>
                <w:rFonts w:hint="eastAsia" w:ascii="宋体" w:hAnsi="宋体" w:cs="宋体"/>
                <w:szCs w:val="21"/>
              </w:rPr>
              <w:t>2</w:t>
            </w:r>
          </w:p>
        </w:tc>
        <w:tc>
          <w:tcPr>
            <w:tcW w:w="2984"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磋商报价</w:t>
            </w:r>
          </w:p>
        </w:tc>
        <w:tc>
          <w:tcPr>
            <w:tcW w:w="5643"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bCs/>
              </w:rPr>
              <w:t>只能有一个有效报价，不得提交选择性报价，且报价不超过最高限价；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260"/>
                <w:tab w:val="left" w:pos="1620"/>
              </w:tabs>
              <w:adjustRightInd w:val="0"/>
              <w:snapToGrid w:val="0"/>
              <w:spacing w:line="440" w:lineRule="exact"/>
              <w:jc w:val="center"/>
              <w:textAlignment w:val="baseline"/>
              <w:rPr>
                <w:rFonts w:hint="eastAsia" w:ascii="宋体" w:hAnsi="宋体" w:cs="宋体"/>
                <w:szCs w:val="21"/>
              </w:rPr>
            </w:pPr>
            <w:r>
              <w:rPr>
                <w:rFonts w:hint="eastAsia" w:ascii="宋体" w:hAnsi="宋体" w:cs="宋体"/>
                <w:szCs w:val="21"/>
              </w:rPr>
              <w:t>3</w:t>
            </w:r>
          </w:p>
        </w:tc>
        <w:tc>
          <w:tcPr>
            <w:tcW w:w="2984"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报价修正</w:t>
            </w:r>
          </w:p>
        </w:tc>
        <w:tc>
          <w:tcPr>
            <w:tcW w:w="5643"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报价出现前后不一致时，供应商按照磋商文件磋商办法要求确认修正后的报价；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827" w:type="dxa"/>
            <w:vAlign w:val="center"/>
          </w:tcPr>
          <w:p>
            <w:pPr>
              <w:tabs>
                <w:tab w:val="left" w:pos="1260"/>
                <w:tab w:val="left" w:pos="1620"/>
              </w:tabs>
              <w:adjustRightInd w:val="0"/>
              <w:snapToGrid w:val="0"/>
              <w:spacing w:line="440" w:lineRule="exact"/>
              <w:jc w:val="center"/>
              <w:textAlignment w:val="baseline"/>
              <w:rPr>
                <w:rFonts w:hint="eastAsia" w:ascii="宋体" w:hAnsi="宋体" w:cs="宋体"/>
                <w:szCs w:val="21"/>
              </w:rPr>
            </w:pPr>
            <w:r>
              <w:rPr>
                <w:rFonts w:hint="eastAsia" w:ascii="宋体" w:hAnsi="宋体" w:cs="宋体"/>
                <w:szCs w:val="21"/>
              </w:rPr>
              <w:t>4</w:t>
            </w:r>
          </w:p>
        </w:tc>
        <w:tc>
          <w:tcPr>
            <w:tcW w:w="2984"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附加条件</w:t>
            </w:r>
          </w:p>
        </w:tc>
        <w:tc>
          <w:tcPr>
            <w:tcW w:w="5643"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color w:val="000000"/>
                <w:szCs w:val="21"/>
              </w:rPr>
              <w:t>响应</w:t>
            </w:r>
            <w:r>
              <w:rPr>
                <w:rFonts w:hint="eastAsia" w:ascii="宋体" w:hAnsi="宋体" w:cs="宋体"/>
                <w:szCs w:val="21"/>
              </w:rPr>
              <w:t>文件不含有采购人不能接受的附加条件；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827" w:type="dxa"/>
            <w:vAlign w:val="center"/>
          </w:tcPr>
          <w:p>
            <w:pPr>
              <w:tabs>
                <w:tab w:val="left" w:pos="1260"/>
                <w:tab w:val="left" w:pos="1620"/>
              </w:tabs>
              <w:adjustRightInd w:val="0"/>
              <w:snapToGrid w:val="0"/>
              <w:spacing w:line="440" w:lineRule="exact"/>
              <w:jc w:val="center"/>
              <w:textAlignment w:val="baseline"/>
              <w:rPr>
                <w:rFonts w:hint="eastAsia" w:ascii="宋体" w:hAnsi="宋体" w:cs="宋体"/>
                <w:szCs w:val="21"/>
              </w:rPr>
            </w:pPr>
            <w:r>
              <w:rPr>
                <w:rFonts w:hint="eastAsia" w:ascii="宋体" w:hAnsi="宋体" w:cs="宋体"/>
                <w:szCs w:val="21"/>
              </w:rPr>
              <w:t>5</w:t>
            </w:r>
          </w:p>
        </w:tc>
        <w:tc>
          <w:tcPr>
            <w:tcW w:w="2984"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磋商有效期</w:t>
            </w:r>
          </w:p>
        </w:tc>
        <w:tc>
          <w:tcPr>
            <w:tcW w:w="5643"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磋商有效期满足磋商文件要求的；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827" w:type="dxa"/>
            <w:vAlign w:val="center"/>
          </w:tcPr>
          <w:p>
            <w:pPr>
              <w:tabs>
                <w:tab w:val="left" w:pos="1260"/>
                <w:tab w:val="left" w:pos="1620"/>
              </w:tabs>
              <w:adjustRightInd w:val="0"/>
              <w:snapToGrid w:val="0"/>
              <w:spacing w:line="440" w:lineRule="exact"/>
              <w:jc w:val="center"/>
              <w:textAlignment w:val="baseline"/>
              <w:rPr>
                <w:rFonts w:hint="eastAsia" w:ascii="宋体" w:hAnsi="宋体" w:cs="宋体"/>
                <w:szCs w:val="21"/>
              </w:rPr>
            </w:pPr>
            <w:r>
              <w:rPr>
                <w:rFonts w:hint="eastAsia" w:ascii="宋体" w:hAnsi="宋体" w:cs="宋体"/>
                <w:szCs w:val="21"/>
              </w:rPr>
              <w:t>6</w:t>
            </w:r>
          </w:p>
        </w:tc>
        <w:tc>
          <w:tcPr>
            <w:tcW w:w="2984"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响应文件份数、装订方式</w:t>
            </w:r>
          </w:p>
        </w:tc>
        <w:tc>
          <w:tcPr>
            <w:tcW w:w="5643"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827" w:type="dxa"/>
            <w:vAlign w:val="center"/>
          </w:tcPr>
          <w:p>
            <w:pPr>
              <w:tabs>
                <w:tab w:val="left" w:pos="1260"/>
                <w:tab w:val="left" w:pos="1620"/>
              </w:tabs>
              <w:adjustRightInd w:val="0"/>
              <w:snapToGrid w:val="0"/>
              <w:spacing w:line="440" w:lineRule="exact"/>
              <w:jc w:val="center"/>
              <w:textAlignment w:val="baseline"/>
              <w:rPr>
                <w:rFonts w:hint="eastAsia" w:ascii="宋体" w:hAnsi="宋体" w:cs="宋体"/>
                <w:szCs w:val="21"/>
              </w:rPr>
            </w:pPr>
            <w:r>
              <w:rPr>
                <w:rFonts w:hint="eastAsia" w:ascii="宋体" w:hAnsi="宋体" w:cs="宋体"/>
                <w:szCs w:val="21"/>
              </w:rPr>
              <w:t>7</w:t>
            </w:r>
          </w:p>
        </w:tc>
        <w:tc>
          <w:tcPr>
            <w:tcW w:w="2984"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投标内容</w:t>
            </w:r>
          </w:p>
        </w:tc>
        <w:tc>
          <w:tcPr>
            <w:tcW w:w="5643"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磋商响应文件无实质性遗漏；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827" w:type="dxa"/>
            <w:vAlign w:val="center"/>
          </w:tcPr>
          <w:p>
            <w:pPr>
              <w:tabs>
                <w:tab w:val="left" w:pos="1260"/>
                <w:tab w:val="left" w:pos="1620"/>
              </w:tabs>
              <w:adjustRightInd w:val="0"/>
              <w:snapToGrid w:val="0"/>
              <w:spacing w:line="440" w:lineRule="exact"/>
              <w:jc w:val="center"/>
              <w:textAlignment w:val="baseline"/>
              <w:rPr>
                <w:rFonts w:hint="eastAsia" w:ascii="宋体" w:hAnsi="宋体" w:cs="宋体"/>
                <w:szCs w:val="21"/>
              </w:rPr>
            </w:pPr>
            <w:r>
              <w:rPr>
                <w:rFonts w:hint="eastAsia" w:ascii="宋体" w:hAnsi="宋体" w:cs="宋体"/>
                <w:szCs w:val="21"/>
              </w:rPr>
              <w:t>8</w:t>
            </w:r>
          </w:p>
        </w:tc>
        <w:tc>
          <w:tcPr>
            <w:tcW w:w="2984"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服务期</w:t>
            </w:r>
          </w:p>
        </w:tc>
        <w:tc>
          <w:tcPr>
            <w:tcW w:w="5643" w:type="dxa"/>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szCs w:val="21"/>
              </w:rPr>
              <w:t>满足竞争性磋商文件要求；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454" w:type="dxa"/>
            <w:gridSpan w:val="3"/>
            <w:vAlign w:val="center"/>
          </w:tcPr>
          <w:p>
            <w:pPr>
              <w:tabs>
                <w:tab w:val="left" w:pos="1260"/>
                <w:tab w:val="left" w:pos="1620"/>
              </w:tabs>
              <w:adjustRightInd w:val="0"/>
              <w:snapToGrid w:val="0"/>
              <w:spacing w:line="440" w:lineRule="exact"/>
              <w:textAlignment w:val="baseline"/>
              <w:rPr>
                <w:rFonts w:hint="eastAsia" w:ascii="宋体" w:hAnsi="宋体" w:cs="宋体"/>
                <w:szCs w:val="21"/>
              </w:rPr>
            </w:pPr>
            <w:r>
              <w:rPr>
                <w:rFonts w:hint="eastAsia" w:ascii="宋体" w:hAnsi="宋体" w:cs="宋体"/>
                <w:b/>
                <w:szCs w:val="21"/>
              </w:rPr>
              <w:t>注：以上内容</w:t>
            </w:r>
            <w:r>
              <w:rPr>
                <w:rFonts w:hint="eastAsia" w:ascii="宋体" w:hAnsi="宋体" w:cs="宋体"/>
                <w:b/>
                <w:bCs/>
                <w:szCs w:val="21"/>
              </w:rPr>
              <w:t>有一项不符合评审标准的，将被视为未实质性响应磋商文件，将按无效文件处理。</w:t>
            </w:r>
          </w:p>
        </w:tc>
      </w:tr>
    </w:tbl>
    <w:p>
      <w:pPr>
        <w:spacing w:line="360" w:lineRule="auto"/>
        <w:rPr>
          <w:rFonts w:hint="eastAsia" w:ascii="宋体" w:hAnsi="宋体" w:cs="宋体"/>
          <w:b/>
          <w:spacing w:val="4"/>
          <w:sz w:val="24"/>
        </w:rPr>
      </w:pPr>
      <w:r>
        <w:rPr>
          <w:rFonts w:hint="eastAsia" w:ascii="宋体" w:hAnsi="宋体" w:cs="宋体"/>
          <w:b/>
          <w:spacing w:val="4"/>
          <w:sz w:val="24"/>
        </w:rPr>
        <w:t>附表三</w:t>
      </w:r>
    </w:p>
    <w:p>
      <w:pPr>
        <w:spacing w:line="360" w:lineRule="auto"/>
        <w:jc w:val="center"/>
        <w:rPr>
          <w:rFonts w:hint="eastAsia" w:ascii="宋体" w:hAnsi="宋体" w:cs="宋体"/>
          <w:b/>
          <w:spacing w:val="4"/>
          <w:sz w:val="24"/>
        </w:rPr>
      </w:pPr>
      <w:r>
        <w:rPr>
          <w:rFonts w:hint="eastAsia" w:ascii="宋体" w:hAnsi="宋体" w:cs="宋体"/>
          <w:b/>
          <w:spacing w:val="4"/>
          <w:sz w:val="24"/>
        </w:rPr>
        <w:t>评标因素及权重分值表</w:t>
      </w:r>
    </w:p>
    <w:tbl>
      <w:tblPr>
        <w:tblStyle w:val="44"/>
        <w:tblpPr w:leftFromText="180" w:rightFromText="180" w:vertAnchor="text" w:horzAnchor="page" w:tblpX="1563" w:tblpY="468"/>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9"/>
        <w:gridCol w:w="5235"/>
        <w:gridCol w:w="956"/>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trPr>
        <w:tc>
          <w:tcPr>
            <w:tcW w:w="846" w:type="dxa"/>
            <w:vAlign w:val="center"/>
          </w:tcPr>
          <w:p>
            <w:pPr>
              <w:pStyle w:val="25"/>
              <w:ind w:left="5250"/>
              <w:jc w:val="center"/>
              <w:rPr>
                <w:rFonts w:hint="eastAsia" w:ascii="宋体" w:hAnsi="宋体" w:cs="宋体"/>
                <w:b/>
                <w:bCs/>
                <w:kern w:val="0"/>
                <w:sz w:val="24"/>
              </w:rPr>
            </w:pPr>
            <w:r>
              <w:rPr>
                <w:rFonts w:hint="eastAsia" w:ascii="宋体" w:hAnsi="宋体" w:cs="宋体"/>
                <w:b/>
                <w:bCs/>
                <w:kern w:val="0"/>
                <w:sz w:val="24"/>
              </w:rPr>
              <w:t>类别</w:t>
            </w:r>
          </w:p>
        </w:tc>
        <w:tc>
          <w:tcPr>
            <w:tcW w:w="1279" w:type="dxa"/>
            <w:vAlign w:val="center"/>
          </w:tcPr>
          <w:p>
            <w:pPr>
              <w:jc w:val="center"/>
              <w:rPr>
                <w:rFonts w:hint="eastAsia" w:ascii="宋体" w:hAnsi="宋体" w:cs="宋体"/>
                <w:b/>
                <w:bCs/>
                <w:sz w:val="24"/>
              </w:rPr>
            </w:pPr>
            <w:r>
              <w:rPr>
                <w:rFonts w:hint="eastAsia" w:ascii="宋体" w:hAnsi="宋体" w:cs="宋体"/>
                <w:b/>
                <w:bCs/>
                <w:sz w:val="24"/>
              </w:rPr>
              <w:t>总分</w:t>
            </w:r>
          </w:p>
        </w:tc>
        <w:tc>
          <w:tcPr>
            <w:tcW w:w="5235" w:type="dxa"/>
            <w:vAlign w:val="center"/>
          </w:tcPr>
          <w:p>
            <w:pPr>
              <w:jc w:val="center"/>
              <w:rPr>
                <w:rFonts w:hint="eastAsia" w:ascii="宋体" w:hAnsi="宋体" w:cs="宋体"/>
                <w:b/>
                <w:bCs/>
                <w:sz w:val="24"/>
              </w:rPr>
            </w:pPr>
            <w:r>
              <w:rPr>
                <w:rFonts w:hint="eastAsia" w:ascii="宋体" w:hAnsi="宋体" w:cs="宋体"/>
                <w:b/>
                <w:bCs/>
                <w:sz w:val="24"/>
              </w:rPr>
              <w:t>评标因素</w:t>
            </w:r>
          </w:p>
        </w:tc>
        <w:tc>
          <w:tcPr>
            <w:tcW w:w="956" w:type="dxa"/>
            <w:vAlign w:val="center"/>
          </w:tcPr>
          <w:p>
            <w:pPr>
              <w:jc w:val="center"/>
              <w:rPr>
                <w:rFonts w:hint="eastAsia" w:ascii="宋体" w:hAnsi="宋体" w:cs="宋体"/>
                <w:b/>
                <w:bCs/>
                <w:sz w:val="24"/>
              </w:rPr>
            </w:pPr>
            <w:r>
              <w:rPr>
                <w:rFonts w:hint="eastAsia" w:ascii="宋体" w:hAnsi="宋体" w:cs="宋体"/>
                <w:b/>
                <w:bCs/>
                <w:sz w:val="24"/>
              </w:rPr>
              <w:t>最高</w:t>
            </w:r>
          </w:p>
          <w:p>
            <w:pPr>
              <w:jc w:val="center"/>
              <w:rPr>
                <w:rFonts w:hint="eastAsia" w:ascii="宋体" w:hAnsi="宋体" w:cs="宋体"/>
                <w:b/>
                <w:bCs/>
                <w:sz w:val="24"/>
              </w:rPr>
            </w:pPr>
            <w:r>
              <w:rPr>
                <w:rFonts w:hint="eastAsia" w:ascii="宋体" w:hAnsi="宋体" w:cs="宋体"/>
                <w:b/>
                <w:bCs/>
                <w:sz w:val="24"/>
              </w:rPr>
              <w:t>得分</w:t>
            </w:r>
          </w:p>
        </w:tc>
        <w:tc>
          <w:tcPr>
            <w:tcW w:w="944" w:type="dxa"/>
            <w:vAlign w:val="center"/>
          </w:tcPr>
          <w:p>
            <w:pPr>
              <w:jc w:val="center"/>
              <w:rPr>
                <w:rFonts w:hint="eastAsia"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46" w:type="dxa"/>
            <w:vAlign w:val="center"/>
          </w:tcPr>
          <w:p>
            <w:pPr>
              <w:spacing w:line="360" w:lineRule="auto"/>
              <w:jc w:val="center"/>
              <w:rPr>
                <w:rFonts w:hint="eastAsia" w:ascii="宋体" w:hAnsi="宋体" w:cs="宋体"/>
                <w:b/>
                <w:bCs/>
                <w:sz w:val="24"/>
              </w:rPr>
            </w:pPr>
            <w:r>
              <w:rPr>
                <w:rFonts w:hint="eastAsia" w:ascii="宋体" w:hAnsi="宋体" w:cs="宋体"/>
                <w:b/>
                <w:bCs/>
                <w:sz w:val="24"/>
              </w:rPr>
              <w:t>价格</w:t>
            </w:r>
          </w:p>
        </w:tc>
        <w:tc>
          <w:tcPr>
            <w:tcW w:w="1279" w:type="dxa"/>
            <w:vAlign w:val="center"/>
          </w:tcPr>
          <w:p>
            <w:pPr>
              <w:spacing w:line="360" w:lineRule="auto"/>
              <w:ind w:firstLine="118" w:firstLineChars="49"/>
              <w:rPr>
                <w:rFonts w:hint="eastAsia" w:ascii="宋体" w:hAnsi="宋体" w:cs="宋体"/>
                <w:b/>
                <w:bCs/>
                <w:sz w:val="24"/>
              </w:rPr>
            </w:pPr>
            <w:r>
              <w:rPr>
                <w:rFonts w:hint="eastAsia" w:ascii="宋体" w:hAnsi="宋体" w:cs="宋体"/>
                <w:b/>
                <w:bCs/>
                <w:sz w:val="24"/>
              </w:rPr>
              <w:t>30分</w:t>
            </w:r>
          </w:p>
        </w:tc>
        <w:tc>
          <w:tcPr>
            <w:tcW w:w="5235" w:type="dxa"/>
            <w:vAlign w:val="center"/>
          </w:tcPr>
          <w:p>
            <w:pPr>
              <w:pStyle w:val="43"/>
              <w:spacing w:line="360" w:lineRule="auto"/>
              <w:ind w:firstLine="0"/>
              <w:jc w:val="left"/>
              <w:rPr>
                <w:rFonts w:hint="eastAsia" w:ascii="宋体" w:hAnsi="宋体" w:cs="宋体"/>
                <w:b/>
                <w:color w:val="000000"/>
                <w:sz w:val="24"/>
              </w:rPr>
            </w:pPr>
            <w:r>
              <w:rPr>
                <w:rFonts w:hint="eastAsia" w:ascii="宋体" w:hAnsi="宋体" w:cs="宋体"/>
                <w:b/>
                <w:color w:val="000000"/>
                <w:sz w:val="24"/>
              </w:rPr>
              <w:t>投标总报价（30分）：</w:t>
            </w:r>
          </w:p>
          <w:p>
            <w:pPr>
              <w:pStyle w:val="43"/>
              <w:spacing w:line="360" w:lineRule="auto"/>
              <w:ind w:firstLine="0"/>
              <w:jc w:val="left"/>
              <w:rPr>
                <w:rFonts w:hint="eastAsia" w:ascii="宋体" w:hAnsi="宋体" w:cs="宋体"/>
              </w:rPr>
            </w:pPr>
            <w:r>
              <w:rPr>
                <w:rFonts w:hint="eastAsia" w:ascii="宋体" w:hAnsi="宋体" w:cs="宋体"/>
              </w:rPr>
              <w:t>1.满足招标文件实质性要求且最终报价最低的投标人的价格为投标基准价，其价格分为满分30分。</w:t>
            </w:r>
          </w:p>
          <w:p>
            <w:pPr>
              <w:pStyle w:val="43"/>
              <w:spacing w:line="360" w:lineRule="auto"/>
              <w:ind w:firstLine="0"/>
              <w:jc w:val="left"/>
              <w:rPr>
                <w:rFonts w:hint="eastAsia" w:ascii="宋体" w:hAnsi="宋体" w:cs="宋体"/>
              </w:rPr>
            </w:pPr>
            <w:r>
              <w:rPr>
                <w:rFonts w:hint="eastAsia" w:ascii="宋体" w:hAnsi="宋体" w:cs="宋体"/>
              </w:rPr>
              <w:t>2.投标报价得分=（投标基准价/最终投标报价）×30的公式计算得分。</w:t>
            </w:r>
          </w:p>
          <w:p>
            <w:pPr>
              <w:pStyle w:val="43"/>
              <w:spacing w:line="360" w:lineRule="auto"/>
              <w:ind w:firstLine="0"/>
              <w:jc w:val="left"/>
              <w:rPr>
                <w:rFonts w:hint="eastAsia" w:ascii="宋体" w:hAnsi="宋体" w:cs="宋体"/>
              </w:rPr>
            </w:pPr>
            <w:r>
              <w:rPr>
                <w:rFonts w:hint="eastAsia" w:ascii="宋体" w:hAnsi="宋体" w:cs="宋体"/>
              </w:rPr>
              <w:t xml:space="preserve">注：投标基准价即实质性响应招标文件要求的投标人的最低投标报价。超出采购预算的投标报价在评审过程中报价按废标处理。因落实政府采购政策进行价格调整的，以调整后的价格计算评标基准价和投标报价。  </w:t>
            </w:r>
          </w:p>
          <w:p>
            <w:pPr>
              <w:pStyle w:val="43"/>
              <w:spacing w:line="360" w:lineRule="auto"/>
              <w:ind w:firstLine="0"/>
              <w:jc w:val="left"/>
              <w:rPr>
                <w:rFonts w:hint="eastAsia" w:ascii="宋体" w:hAnsi="宋体" w:cs="宋体"/>
              </w:rPr>
            </w:pPr>
            <w:r>
              <w:rPr>
                <w:rFonts w:hint="eastAsia" w:ascii="宋体" w:hAnsi="宋体" w:cs="宋体"/>
              </w:rPr>
              <w:t>3.投标报价不完整的，不进入评标标准价的计算，本项得0分。</w:t>
            </w:r>
          </w:p>
          <w:p>
            <w:pPr>
              <w:pStyle w:val="43"/>
              <w:spacing w:line="360" w:lineRule="auto"/>
              <w:ind w:firstLine="0"/>
              <w:jc w:val="left"/>
              <w:rPr>
                <w:rFonts w:hint="eastAsia" w:ascii="宋体" w:hAnsi="宋体" w:cs="宋体"/>
                <w:color w:val="000000"/>
                <w:sz w:val="24"/>
              </w:rPr>
            </w:pPr>
            <w:r>
              <w:rPr>
                <w:rFonts w:hint="eastAsia" w:ascii="宋体" w:hAnsi="宋体" w:cs="宋体"/>
              </w:rPr>
              <w:t xml:space="preserve">4.经评委一致认定，投标人的投标最终总报价低于公认市场成本，或超过采购预算,其投标将被拒绝。  </w:t>
            </w:r>
            <w:r>
              <w:rPr>
                <w:rFonts w:hint="eastAsia" w:ascii="宋体" w:hAnsi="宋体" w:cs="宋体"/>
                <w:b/>
                <w:color w:val="000000"/>
                <w:sz w:val="24"/>
              </w:rPr>
              <w:t xml:space="preserve">                       </w:t>
            </w:r>
          </w:p>
        </w:tc>
        <w:tc>
          <w:tcPr>
            <w:tcW w:w="956" w:type="dxa"/>
            <w:vAlign w:val="center"/>
          </w:tcPr>
          <w:p>
            <w:pPr>
              <w:spacing w:line="360" w:lineRule="auto"/>
              <w:jc w:val="center"/>
              <w:rPr>
                <w:rFonts w:hint="eastAsia" w:ascii="宋体" w:hAnsi="宋体" w:cs="宋体"/>
                <w:sz w:val="24"/>
              </w:rPr>
            </w:pPr>
            <w:r>
              <w:rPr>
                <w:rFonts w:hint="eastAsia" w:ascii="宋体" w:hAnsi="宋体" w:cs="宋体"/>
                <w:sz w:val="24"/>
              </w:rPr>
              <w:t>30分</w:t>
            </w:r>
          </w:p>
        </w:tc>
        <w:tc>
          <w:tcPr>
            <w:tcW w:w="944"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46" w:type="dxa"/>
            <w:vMerge w:val="restart"/>
            <w:vAlign w:val="center"/>
          </w:tcPr>
          <w:p>
            <w:pPr>
              <w:spacing w:line="360" w:lineRule="auto"/>
              <w:jc w:val="center"/>
              <w:rPr>
                <w:rFonts w:hint="eastAsia" w:ascii="宋体" w:hAnsi="宋体" w:cs="宋体"/>
                <w:b/>
                <w:bCs/>
                <w:sz w:val="24"/>
              </w:rPr>
            </w:pPr>
            <w:r>
              <w:rPr>
                <w:rFonts w:hint="eastAsia" w:ascii="宋体" w:hAnsi="宋体" w:cs="宋体"/>
                <w:b/>
                <w:bCs/>
                <w:sz w:val="24"/>
              </w:rPr>
              <w:t>技术方案</w:t>
            </w:r>
          </w:p>
        </w:tc>
        <w:tc>
          <w:tcPr>
            <w:tcW w:w="1279" w:type="dxa"/>
            <w:vMerge w:val="restart"/>
            <w:vAlign w:val="center"/>
          </w:tcPr>
          <w:p>
            <w:pPr>
              <w:spacing w:line="360" w:lineRule="auto"/>
              <w:ind w:firstLine="118" w:firstLineChars="49"/>
              <w:rPr>
                <w:rFonts w:ascii="宋体" w:hAnsi="宋体" w:cs="宋体"/>
                <w:b/>
                <w:bCs/>
                <w:sz w:val="24"/>
              </w:rPr>
            </w:pPr>
            <w:r>
              <w:rPr>
                <w:rFonts w:hint="eastAsia" w:ascii="宋体" w:hAnsi="宋体" w:cs="宋体"/>
                <w:b/>
                <w:bCs/>
                <w:sz w:val="24"/>
              </w:rPr>
              <w:t>50分</w:t>
            </w:r>
          </w:p>
        </w:tc>
        <w:tc>
          <w:tcPr>
            <w:tcW w:w="5235" w:type="dxa"/>
            <w:vAlign w:val="center"/>
          </w:tcPr>
          <w:p>
            <w:pPr>
              <w:pStyle w:val="43"/>
              <w:spacing w:line="360" w:lineRule="auto"/>
              <w:ind w:firstLine="0"/>
              <w:jc w:val="left"/>
              <w:rPr>
                <w:rFonts w:hint="eastAsia" w:ascii="宋体" w:hAnsi="宋体" w:cs="宋体"/>
              </w:rPr>
            </w:pPr>
            <w:r>
              <w:rPr>
                <w:rFonts w:hint="eastAsia" w:ascii="宋体" w:hAnsi="宋体" w:cs="宋体"/>
                <w:b/>
                <w:bCs/>
              </w:rPr>
              <w:t>总体服务方案：依照采购人采购内容及要求提供详细的服务方案；</w:t>
            </w:r>
            <w:r>
              <w:rPr>
                <w:rFonts w:hint="eastAsia" w:ascii="宋体" w:hAnsi="宋体" w:cs="宋体"/>
              </w:rPr>
              <w:t>方案合理，可操作性强，条理清楚、内容全面，具有可操作性的计16-20分；方案全面不够详细、具有可操作性计11-15分，方案不够全面、详细、可操作性一般计6-10分。</w:t>
            </w:r>
          </w:p>
        </w:tc>
        <w:tc>
          <w:tcPr>
            <w:tcW w:w="956" w:type="dxa"/>
            <w:vAlign w:val="center"/>
          </w:tcPr>
          <w:p>
            <w:pPr>
              <w:spacing w:line="360" w:lineRule="auto"/>
              <w:jc w:val="center"/>
              <w:rPr>
                <w:rFonts w:ascii="宋体" w:hAnsi="宋体" w:cs="宋体"/>
                <w:sz w:val="24"/>
              </w:rPr>
            </w:pPr>
            <w:r>
              <w:rPr>
                <w:rFonts w:hint="eastAsia" w:ascii="宋体" w:hAnsi="宋体" w:cs="宋体"/>
                <w:sz w:val="24"/>
              </w:rPr>
              <w:t>20分</w:t>
            </w:r>
          </w:p>
        </w:tc>
        <w:tc>
          <w:tcPr>
            <w:tcW w:w="944"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46" w:type="dxa"/>
            <w:vMerge w:val="continue"/>
            <w:vAlign w:val="center"/>
          </w:tcPr>
          <w:p>
            <w:pPr>
              <w:spacing w:line="360" w:lineRule="auto"/>
              <w:jc w:val="center"/>
              <w:rPr>
                <w:rFonts w:hint="eastAsia" w:ascii="宋体" w:hAnsi="宋体" w:cs="宋体"/>
                <w:b/>
                <w:bCs/>
                <w:sz w:val="24"/>
              </w:rPr>
            </w:pPr>
          </w:p>
        </w:tc>
        <w:tc>
          <w:tcPr>
            <w:tcW w:w="1279" w:type="dxa"/>
            <w:vMerge w:val="continue"/>
            <w:vAlign w:val="center"/>
          </w:tcPr>
          <w:p>
            <w:pPr>
              <w:spacing w:line="360" w:lineRule="auto"/>
              <w:ind w:firstLine="103" w:firstLineChars="49"/>
              <w:rPr>
                <w:rFonts w:hint="eastAsia" w:ascii="宋体" w:hAnsi="宋体" w:cs="宋体"/>
                <w:b/>
                <w:bCs/>
                <w:szCs w:val="21"/>
              </w:rPr>
            </w:pPr>
          </w:p>
        </w:tc>
        <w:tc>
          <w:tcPr>
            <w:tcW w:w="5235" w:type="dxa"/>
            <w:vAlign w:val="center"/>
          </w:tcPr>
          <w:p>
            <w:pPr>
              <w:pStyle w:val="43"/>
              <w:spacing w:line="360" w:lineRule="auto"/>
              <w:ind w:firstLine="0"/>
              <w:jc w:val="left"/>
              <w:rPr>
                <w:rFonts w:ascii="宋体" w:hAnsi="宋体" w:cs="宋体"/>
                <w:b/>
                <w:bCs/>
              </w:rPr>
            </w:pPr>
            <w:r>
              <w:rPr>
                <w:rFonts w:hint="eastAsia" w:ascii="宋体" w:hAnsi="宋体" w:cs="宋体"/>
                <w:b/>
                <w:bCs/>
              </w:rPr>
              <w:t>应急预案：</w:t>
            </w:r>
            <w:r>
              <w:rPr>
                <w:rFonts w:hint="eastAsia" w:hAnsi="宋体" w:cs="宋体"/>
              </w:rPr>
              <w:t>根据本项目系统维护特点制定切实可行的各类应急预案，方案中是否有突发及重大事件的危机处理方案，能够根据省收费中心系统实际情况提出有针对性、建设性的方案，内容全面详细得11-15分；方案内容较为详细得6-10分；内容简略完善性较差得1-5分。</w:t>
            </w:r>
          </w:p>
        </w:tc>
        <w:tc>
          <w:tcPr>
            <w:tcW w:w="956" w:type="dxa"/>
            <w:vAlign w:val="center"/>
          </w:tcPr>
          <w:p>
            <w:pPr>
              <w:spacing w:line="360" w:lineRule="auto"/>
              <w:jc w:val="center"/>
              <w:rPr>
                <w:rFonts w:ascii="宋体" w:hAnsi="宋体" w:cs="宋体"/>
                <w:sz w:val="24"/>
              </w:rPr>
            </w:pPr>
            <w:r>
              <w:rPr>
                <w:rFonts w:hint="eastAsia" w:ascii="宋体" w:hAnsi="宋体" w:cs="宋体"/>
                <w:sz w:val="24"/>
              </w:rPr>
              <w:t>15分</w:t>
            </w:r>
          </w:p>
        </w:tc>
        <w:tc>
          <w:tcPr>
            <w:tcW w:w="944"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46" w:type="dxa"/>
            <w:vMerge w:val="continue"/>
            <w:vAlign w:val="center"/>
          </w:tcPr>
          <w:p>
            <w:pPr>
              <w:spacing w:line="360" w:lineRule="auto"/>
              <w:jc w:val="center"/>
              <w:rPr>
                <w:rFonts w:hint="eastAsia" w:ascii="宋体" w:hAnsi="宋体" w:cs="宋体"/>
                <w:b/>
                <w:bCs/>
                <w:sz w:val="24"/>
              </w:rPr>
            </w:pPr>
          </w:p>
        </w:tc>
        <w:tc>
          <w:tcPr>
            <w:tcW w:w="1279" w:type="dxa"/>
            <w:vMerge w:val="continue"/>
            <w:vAlign w:val="center"/>
          </w:tcPr>
          <w:p>
            <w:pPr>
              <w:spacing w:line="360" w:lineRule="auto"/>
              <w:ind w:firstLine="118" w:firstLineChars="49"/>
              <w:rPr>
                <w:rFonts w:hint="eastAsia" w:ascii="宋体" w:hAnsi="宋体" w:cs="宋体"/>
                <w:b/>
                <w:bCs/>
                <w:sz w:val="24"/>
              </w:rPr>
            </w:pPr>
          </w:p>
        </w:tc>
        <w:tc>
          <w:tcPr>
            <w:tcW w:w="5235" w:type="dxa"/>
            <w:vAlign w:val="center"/>
          </w:tcPr>
          <w:p>
            <w:pPr>
              <w:pStyle w:val="43"/>
              <w:spacing w:line="360" w:lineRule="auto"/>
              <w:ind w:firstLine="0"/>
              <w:jc w:val="left"/>
              <w:rPr>
                <w:rFonts w:hint="eastAsia" w:ascii="宋体" w:hAnsi="宋体" w:cs="宋体"/>
              </w:rPr>
            </w:pPr>
            <w:r>
              <w:rPr>
                <w:rFonts w:hint="eastAsia" w:ascii="宋体" w:hAnsi="宋体" w:cs="宋体"/>
                <w:b/>
                <w:bCs/>
              </w:rPr>
              <w:t>人员要求及培训：</w:t>
            </w:r>
            <w:r>
              <w:rPr>
                <w:rFonts w:hint="eastAsia" w:ascii="宋体" w:hAnsi="宋体" w:cs="宋体"/>
              </w:rPr>
              <w:t>根据项目要求能按照技术要求规定配备相关专业人员，提供详细人员名单及组织机构，且人员具有相关执业证书，按照要求进行相关人员培训，人员组织完善，配备合理响应技术要求得5-9分；人员配备不完整不合理得0-4分，无人员配备培训内容不得分。</w:t>
            </w:r>
          </w:p>
        </w:tc>
        <w:tc>
          <w:tcPr>
            <w:tcW w:w="956" w:type="dxa"/>
            <w:vAlign w:val="center"/>
          </w:tcPr>
          <w:p>
            <w:pPr>
              <w:spacing w:line="360" w:lineRule="auto"/>
              <w:jc w:val="center"/>
              <w:rPr>
                <w:rFonts w:ascii="宋体" w:hAnsi="宋体" w:cs="宋体"/>
                <w:sz w:val="24"/>
              </w:rPr>
            </w:pPr>
            <w:r>
              <w:rPr>
                <w:rFonts w:hint="eastAsia" w:ascii="宋体" w:hAnsi="宋体" w:cs="宋体"/>
                <w:sz w:val="24"/>
              </w:rPr>
              <w:t>9分</w:t>
            </w:r>
          </w:p>
        </w:tc>
        <w:tc>
          <w:tcPr>
            <w:tcW w:w="944"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46" w:type="dxa"/>
            <w:vMerge w:val="continue"/>
            <w:vAlign w:val="center"/>
          </w:tcPr>
          <w:p>
            <w:pPr>
              <w:spacing w:line="360" w:lineRule="auto"/>
              <w:jc w:val="center"/>
              <w:rPr>
                <w:rFonts w:hint="eastAsia" w:ascii="宋体" w:hAnsi="宋体" w:cs="宋体"/>
                <w:b/>
                <w:bCs/>
                <w:sz w:val="24"/>
              </w:rPr>
            </w:pPr>
          </w:p>
        </w:tc>
        <w:tc>
          <w:tcPr>
            <w:tcW w:w="1279" w:type="dxa"/>
            <w:vMerge w:val="continue"/>
            <w:vAlign w:val="center"/>
          </w:tcPr>
          <w:p>
            <w:pPr>
              <w:spacing w:line="360" w:lineRule="auto"/>
              <w:ind w:firstLine="118" w:firstLineChars="49"/>
              <w:rPr>
                <w:rFonts w:hint="eastAsia" w:ascii="宋体" w:hAnsi="宋体" w:cs="宋体"/>
                <w:b/>
                <w:bCs/>
                <w:sz w:val="24"/>
              </w:rPr>
            </w:pPr>
          </w:p>
        </w:tc>
        <w:tc>
          <w:tcPr>
            <w:tcW w:w="5235" w:type="dxa"/>
            <w:vAlign w:val="center"/>
          </w:tcPr>
          <w:p>
            <w:pPr>
              <w:pStyle w:val="43"/>
              <w:spacing w:line="360" w:lineRule="auto"/>
              <w:ind w:firstLine="0"/>
              <w:jc w:val="left"/>
              <w:rPr>
                <w:rFonts w:hint="eastAsia" w:ascii="宋体" w:hAnsi="宋体" w:cs="宋体"/>
                <w:b/>
                <w:bCs/>
              </w:rPr>
            </w:pPr>
            <w:r>
              <w:rPr>
                <w:rFonts w:hint="eastAsia" w:ascii="宋体" w:hAnsi="宋体" w:cs="宋体"/>
                <w:b/>
                <w:bCs/>
              </w:rPr>
              <w:t>履约能力：</w:t>
            </w:r>
            <w:r>
              <w:rPr>
                <w:rFonts w:hint="eastAsia" w:hAnsi="宋体" w:cs="宋体"/>
              </w:rPr>
              <w:t>出具高速公路机电系统相关软件著作权证或产品登记证，出具一个软件著作权证或产品登记证得2分，满分6分。</w:t>
            </w:r>
          </w:p>
        </w:tc>
        <w:tc>
          <w:tcPr>
            <w:tcW w:w="956" w:type="dxa"/>
            <w:vAlign w:val="center"/>
          </w:tcPr>
          <w:p>
            <w:pPr>
              <w:spacing w:line="360" w:lineRule="auto"/>
              <w:jc w:val="center"/>
              <w:rPr>
                <w:rFonts w:ascii="宋体" w:hAnsi="宋体" w:cs="宋体"/>
                <w:sz w:val="24"/>
              </w:rPr>
            </w:pPr>
            <w:r>
              <w:rPr>
                <w:rFonts w:hint="eastAsia" w:ascii="宋体" w:hAnsi="宋体" w:cs="宋体"/>
                <w:sz w:val="24"/>
              </w:rPr>
              <w:t>6分</w:t>
            </w:r>
          </w:p>
        </w:tc>
        <w:tc>
          <w:tcPr>
            <w:tcW w:w="944"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6" w:type="dxa"/>
            <w:vMerge w:val="restart"/>
            <w:vAlign w:val="center"/>
          </w:tcPr>
          <w:p>
            <w:pPr>
              <w:spacing w:line="360" w:lineRule="auto"/>
              <w:jc w:val="center"/>
              <w:rPr>
                <w:rFonts w:hint="eastAsia" w:ascii="宋体" w:hAnsi="宋体" w:cs="宋体"/>
                <w:sz w:val="24"/>
              </w:rPr>
            </w:pPr>
            <w:r>
              <w:rPr>
                <w:rFonts w:hint="eastAsia" w:ascii="宋体" w:hAnsi="宋体" w:cs="宋体"/>
                <w:sz w:val="24"/>
              </w:rPr>
              <w:t>商务响应</w:t>
            </w:r>
          </w:p>
        </w:tc>
        <w:tc>
          <w:tcPr>
            <w:tcW w:w="1279" w:type="dxa"/>
            <w:vMerge w:val="restart"/>
            <w:vAlign w:val="center"/>
          </w:tcPr>
          <w:p>
            <w:pPr>
              <w:spacing w:line="360" w:lineRule="auto"/>
              <w:jc w:val="center"/>
              <w:rPr>
                <w:rFonts w:ascii="宋体" w:hAnsi="宋体"/>
                <w:sz w:val="24"/>
              </w:rPr>
            </w:pPr>
            <w:r>
              <w:rPr>
                <w:rFonts w:hint="eastAsia" w:ascii="宋体" w:hAnsi="宋体"/>
                <w:sz w:val="24"/>
              </w:rPr>
              <w:t>20分</w:t>
            </w:r>
          </w:p>
        </w:tc>
        <w:tc>
          <w:tcPr>
            <w:tcW w:w="5235" w:type="dxa"/>
            <w:vAlign w:val="center"/>
          </w:tcPr>
          <w:p>
            <w:pPr>
              <w:spacing w:line="360" w:lineRule="auto"/>
              <w:rPr>
                <w:rFonts w:ascii="宋体" w:hAnsi="宋体" w:cs="宋体"/>
                <w:bCs/>
                <w:sz w:val="24"/>
              </w:rPr>
            </w:pPr>
            <w:r>
              <w:rPr>
                <w:rFonts w:hint="eastAsia" w:ascii="宋体" w:hAnsi="宋体" w:cs="宋体"/>
                <w:szCs w:val="21"/>
              </w:rPr>
              <w:t>业绩：投标人出具类似业绩，每个同类业绩得2分，最高得10分，无相关业绩不得分。</w:t>
            </w:r>
          </w:p>
        </w:tc>
        <w:tc>
          <w:tcPr>
            <w:tcW w:w="956" w:type="dxa"/>
            <w:vAlign w:val="center"/>
          </w:tcPr>
          <w:p>
            <w:pPr>
              <w:spacing w:line="360" w:lineRule="auto"/>
              <w:jc w:val="center"/>
              <w:rPr>
                <w:rFonts w:hint="eastAsia" w:ascii="宋体" w:hAnsi="宋体" w:cs="宋体"/>
                <w:sz w:val="24"/>
              </w:rPr>
            </w:pPr>
            <w:r>
              <w:rPr>
                <w:rFonts w:hint="eastAsia" w:ascii="宋体" w:hAnsi="宋体" w:cs="宋体"/>
                <w:sz w:val="24"/>
              </w:rPr>
              <w:t>10分</w:t>
            </w:r>
          </w:p>
        </w:tc>
        <w:tc>
          <w:tcPr>
            <w:tcW w:w="944" w:type="dxa"/>
            <w:vAlign w:val="center"/>
          </w:tcPr>
          <w:p>
            <w:pPr>
              <w:spacing w:line="360" w:lineRule="auto"/>
              <w:ind w:left="-94" w:leftChars="-45" w:firstLine="120" w:firstLineChars="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6" w:type="dxa"/>
            <w:vMerge w:val="continue"/>
            <w:vAlign w:val="center"/>
          </w:tcPr>
          <w:p>
            <w:pPr>
              <w:spacing w:line="360" w:lineRule="auto"/>
              <w:jc w:val="center"/>
              <w:rPr>
                <w:rFonts w:hint="eastAsia" w:ascii="宋体" w:hAnsi="宋体" w:cs="宋体"/>
                <w:sz w:val="24"/>
              </w:rPr>
            </w:pPr>
          </w:p>
        </w:tc>
        <w:tc>
          <w:tcPr>
            <w:tcW w:w="1279" w:type="dxa"/>
            <w:vMerge w:val="continue"/>
            <w:vAlign w:val="center"/>
          </w:tcPr>
          <w:p>
            <w:pPr>
              <w:spacing w:line="360" w:lineRule="auto"/>
              <w:jc w:val="center"/>
              <w:rPr>
                <w:rFonts w:hint="eastAsia" w:ascii="宋体" w:hAnsi="宋体" w:cs="宋体"/>
                <w:sz w:val="24"/>
              </w:rPr>
            </w:pPr>
          </w:p>
        </w:tc>
        <w:tc>
          <w:tcPr>
            <w:tcW w:w="5235" w:type="dxa"/>
            <w:vAlign w:val="center"/>
          </w:tcPr>
          <w:p>
            <w:pPr>
              <w:spacing w:line="360" w:lineRule="auto"/>
              <w:rPr>
                <w:rFonts w:hint="eastAsia" w:ascii="宋体" w:hAnsi="宋体" w:cs="宋体"/>
                <w:szCs w:val="21"/>
              </w:rPr>
            </w:pPr>
            <w:r>
              <w:rPr>
                <w:rFonts w:hint="eastAsia" w:ascii="宋体" w:hAnsi="宋体" w:cs="宋体"/>
                <w:szCs w:val="21"/>
              </w:rPr>
              <w:t>履约承诺：投标人根据招标文件采购需求，对本项目做出的详尽、可行的实质性履约承诺，评审委员会根据各投标文件响应情况综合赋分0-5分。</w:t>
            </w:r>
          </w:p>
        </w:tc>
        <w:tc>
          <w:tcPr>
            <w:tcW w:w="956" w:type="dxa"/>
            <w:vAlign w:val="center"/>
          </w:tcPr>
          <w:p>
            <w:pPr>
              <w:spacing w:line="360" w:lineRule="auto"/>
              <w:jc w:val="center"/>
              <w:rPr>
                <w:rFonts w:hint="eastAsia" w:ascii="宋体" w:hAnsi="宋体" w:cs="宋体"/>
                <w:sz w:val="24"/>
              </w:rPr>
            </w:pPr>
            <w:r>
              <w:rPr>
                <w:rFonts w:hint="eastAsia" w:ascii="宋体" w:hAnsi="宋体" w:cs="宋体"/>
                <w:sz w:val="24"/>
              </w:rPr>
              <w:t>5分</w:t>
            </w:r>
          </w:p>
        </w:tc>
        <w:tc>
          <w:tcPr>
            <w:tcW w:w="944" w:type="dxa"/>
            <w:vAlign w:val="center"/>
          </w:tcPr>
          <w:p>
            <w:pPr>
              <w:spacing w:line="360" w:lineRule="auto"/>
              <w:ind w:left="-94" w:leftChars="-45" w:firstLine="120" w:firstLineChars="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846" w:type="dxa"/>
            <w:vMerge w:val="continue"/>
            <w:vAlign w:val="center"/>
          </w:tcPr>
          <w:p>
            <w:pPr>
              <w:spacing w:line="360" w:lineRule="auto"/>
              <w:jc w:val="center"/>
              <w:rPr>
                <w:rFonts w:hint="eastAsia" w:ascii="宋体" w:hAnsi="宋体" w:cs="宋体"/>
                <w:sz w:val="24"/>
              </w:rPr>
            </w:pPr>
          </w:p>
        </w:tc>
        <w:tc>
          <w:tcPr>
            <w:tcW w:w="1279" w:type="dxa"/>
            <w:vMerge w:val="continue"/>
            <w:vAlign w:val="center"/>
          </w:tcPr>
          <w:p>
            <w:pPr>
              <w:spacing w:line="360" w:lineRule="auto"/>
              <w:jc w:val="center"/>
              <w:rPr>
                <w:rFonts w:ascii="宋体" w:hAnsi="宋体"/>
                <w:sz w:val="24"/>
              </w:rPr>
            </w:pPr>
          </w:p>
        </w:tc>
        <w:tc>
          <w:tcPr>
            <w:tcW w:w="5235" w:type="dxa"/>
            <w:vAlign w:val="center"/>
          </w:tcPr>
          <w:p>
            <w:pPr>
              <w:spacing w:line="360" w:lineRule="auto"/>
              <w:rPr>
                <w:rFonts w:hint="eastAsia" w:ascii="宋体" w:hAnsi="宋体" w:cs="宋体"/>
                <w:szCs w:val="21"/>
              </w:rPr>
            </w:pPr>
            <w:r>
              <w:rPr>
                <w:rFonts w:hint="eastAsia" w:ascii="宋体" w:hAnsi="宋体" w:cs="宋体"/>
                <w:szCs w:val="21"/>
              </w:rPr>
              <w:t>合理化建议：投标人根据采购内容及需求，对本项目做出的详尽、操作性强的合理化建议，评审委员会根据各投标文件响应情况综合赋分0-5分。</w:t>
            </w:r>
          </w:p>
        </w:tc>
        <w:tc>
          <w:tcPr>
            <w:tcW w:w="956" w:type="dxa"/>
            <w:vAlign w:val="center"/>
          </w:tcPr>
          <w:p>
            <w:pPr>
              <w:spacing w:line="360" w:lineRule="auto"/>
              <w:jc w:val="center"/>
              <w:rPr>
                <w:rFonts w:hint="eastAsia" w:ascii="宋体" w:hAnsi="宋体" w:cs="宋体"/>
                <w:sz w:val="24"/>
              </w:rPr>
            </w:pPr>
            <w:r>
              <w:rPr>
                <w:rFonts w:hint="eastAsia" w:ascii="宋体" w:hAnsi="宋体" w:cs="宋体"/>
                <w:sz w:val="24"/>
              </w:rPr>
              <w:t>5分</w:t>
            </w:r>
          </w:p>
        </w:tc>
        <w:tc>
          <w:tcPr>
            <w:tcW w:w="944" w:type="dxa"/>
            <w:vAlign w:val="center"/>
          </w:tcPr>
          <w:p>
            <w:pPr>
              <w:spacing w:line="360" w:lineRule="auto"/>
              <w:ind w:left="-94" w:leftChars="-45" w:firstLine="120" w:firstLineChars="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260" w:type="dxa"/>
            <w:gridSpan w:val="5"/>
          </w:tcPr>
          <w:p>
            <w:pPr>
              <w:spacing w:line="400" w:lineRule="exact"/>
              <w:ind w:left="-94" w:leftChars="-45" w:firstLine="120" w:firstLineChars="50"/>
              <w:rPr>
                <w:rFonts w:hint="eastAsia" w:ascii="宋体" w:hAnsi="宋体" w:cs="宋体"/>
                <w:sz w:val="24"/>
              </w:rPr>
            </w:pPr>
            <w:r>
              <w:rPr>
                <w:rFonts w:hint="eastAsia" w:ascii="宋体" w:hAnsi="宋体" w:cs="宋体"/>
                <w:sz w:val="24"/>
              </w:rPr>
              <w:t>1、施工组织设计有严重错误或漏项，经2/3以上评委认定后，该项得0分</w:t>
            </w:r>
          </w:p>
          <w:p>
            <w:pPr>
              <w:spacing w:line="400" w:lineRule="exact"/>
              <w:ind w:left="-94" w:leftChars="-45" w:firstLine="120" w:firstLineChars="50"/>
              <w:rPr>
                <w:rFonts w:hint="eastAsia" w:ascii="宋体" w:hAnsi="宋体" w:cs="宋体"/>
                <w:sz w:val="24"/>
              </w:rPr>
            </w:pPr>
            <w:r>
              <w:rPr>
                <w:rFonts w:hint="eastAsia" w:ascii="宋体" w:hAnsi="宋体" w:cs="宋体"/>
                <w:sz w:val="24"/>
              </w:rPr>
              <w:t>2、若出现综合得分并列时，比较报价得分，此分项得分高者排序在先；评审得分且最后报价相同的，按照技术指标优劣进行排序，如果还相同，则由评标委员会无记名投票，以得票高者排序在先。</w:t>
            </w:r>
          </w:p>
          <w:p>
            <w:pPr>
              <w:spacing w:line="400" w:lineRule="exact"/>
              <w:ind w:left="-94" w:leftChars="-45" w:firstLine="120" w:firstLineChars="50"/>
              <w:rPr>
                <w:rFonts w:hint="eastAsia" w:ascii="宋体" w:hAnsi="宋体" w:cs="宋体"/>
                <w:sz w:val="24"/>
              </w:rPr>
            </w:pPr>
            <w:r>
              <w:rPr>
                <w:rFonts w:hint="eastAsia" w:ascii="宋体" w:hAnsi="宋体" w:cs="宋体"/>
                <w:sz w:val="24"/>
              </w:rPr>
              <w:t>3、评委打分超过得分界限或未按本方法赋分时，该评委的打分按作废处理。</w:t>
            </w:r>
          </w:p>
          <w:p>
            <w:pPr>
              <w:spacing w:line="400" w:lineRule="exact"/>
              <w:ind w:left="-94" w:leftChars="-45" w:firstLine="120" w:firstLineChars="50"/>
              <w:rPr>
                <w:rFonts w:hint="eastAsia" w:ascii="宋体" w:hAnsi="宋体" w:cs="宋体"/>
                <w:sz w:val="24"/>
              </w:rPr>
            </w:pPr>
            <w:r>
              <w:rPr>
                <w:rFonts w:hint="eastAsia" w:ascii="宋体" w:hAnsi="宋体" w:cs="宋体"/>
                <w:sz w:val="24"/>
              </w:rPr>
              <w:t>4、评委会二分之一以上人员认为有串标、弄虚作假嫌疑或严重脱离市场价的投标，该供应商不得作为中标候选人。</w:t>
            </w:r>
          </w:p>
          <w:p>
            <w:pPr>
              <w:spacing w:line="400" w:lineRule="exact"/>
              <w:ind w:left="-94" w:leftChars="-45" w:firstLine="120" w:firstLineChars="50"/>
              <w:rPr>
                <w:rFonts w:hint="eastAsia" w:ascii="宋体" w:hAnsi="宋体" w:cs="宋体"/>
                <w:sz w:val="24"/>
              </w:rPr>
            </w:pPr>
            <w:r>
              <w:rPr>
                <w:rFonts w:hint="eastAsia" w:ascii="宋体" w:hAnsi="宋体" w:cs="宋体"/>
                <w:sz w:val="24"/>
              </w:rPr>
              <w:t>5、评审过程中，若出现特殊情况时，将暂停评标，有关情况的处理待评标委员会确认后，再行评定。</w:t>
            </w:r>
          </w:p>
          <w:p>
            <w:pPr>
              <w:spacing w:line="400" w:lineRule="exact"/>
              <w:ind w:left="-94" w:leftChars="-45" w:firstLine="120" w:firstLineChars="50"/>
              <w:rPr>
                <w:rFonts w:hint="eastAsia" w:ascii="宋体" w:hAnsi="宋体" w:cs="宋体"/>
                <w:sz w:val="24"/>
              </w:rPr>
            </w:pPr>
            <w:r>
              <w:rPr>
                <w:rFonts w:hint="eastAsia" w:ascii="宋体" w:hAnsi="宋体" w:cs="宋体"/>
                <w:sz w:val="24"/>
              </w:rPr>
              <w:t>7、各种计算采用插入法，数字均保留两位小数，第三位“四舍五入”。</w:t>
            </w:r>
          </w:p>
        </w:tc>
      </w:tr>
    </w:tbl>
    <w:p>
      <w:pPr>
        <w:pStyle w:val="35"/>
        <w:spacing w:line="240" w:lineRule="auto"/>
        <w:ind w:left="0" w:firstLine="0"/>
        <w:rPr>
          <w:rFonts w:hint="eastAsia" w:hAnsi="宋体" w:cs="宋体"/>
          <w:b/>
        </w:rPr>
      </w:pPr>
      <w:r>
        <w:rPr>
          <w:rFonts w:hint="eastAsia" w:hAnsi="宋体" w:cs="宋体"/>
          <w:b/>
        </w:rPr>
        <w:t>五、成交：</w:t>
      </w:r>
    </w:p>
    <w:p>
      <w:pPr>
        <w:spacing w:line="360" w:lineRule="auto"/>
        <w:ind w:firstLine="496" w:firstLineChars="200"/>
        <w:rPr>
          <w:rFonts w:hint="eastAsia" w:ascii="宋体" w:hAnsi="宋体" w:cs="宋体"/>
          <w:spacing w:val="4"/>
          <w:sz w:val="24"/>
        </w:rPr>
      </w:pPr>
      <w:r>
        <w:rPr>
          <w:rFonts w:hint="eastAsia" w:ascii="宋体" w:hAnsi="宋体" w:cs="宋体"/>
          <w:spacing w:val="4"/>
          <w:sz w:val="24"/>
        </w:rPr>
        <w:t>1、磋商结果报告由磋商小组全体成员签字确认。</w:t>
      </w:r>
    </w:p>
    <w:p>
      <w:pPr>
        <w:spacing w:line="360" w:lineRule="auto"/>
        <w:ind w:firstLine="496" w:firstLineChars="200"/>
        <w:rPr>
          <w:rFonts w:hint="eastAsia" w:ascii="宋体" w:hAnsi="宋体" w:cs="宋体"/>
          <w:spacing w:val="4"/>
          <w:sz w:val="24"/>
        </w:rPr>
      </w:pPr>
      <w:r>
        <w:rPr>
          <w:rFonts w:hint="eastAsia" w:ascii="宋体" w:hAnsi="宋体" w:cs="宋体"/>
          <w:spacing w:val="4"/>
          <w:sz w:val="24"/>
        </w:rPr>
        <w:t>2、采购人根据磋商结果报告中推荐的成交候选人确定成交供应商，以复函通知采购代理机构。</w:t>
      </w:r>
      <w:bookmarkStart w:id="81" w:name="_Hlt128276537"/>
      <w:bookmarkEnd w:id="81"/>
      <w:bookmarkStart w:id="82" w:name="_Hlt128276530"/>
      <w:bookmarkEnd w:id="82"/>
      <w:bookmarkStart w:id="83" w:name="_Hlt128276660"/>
      <w:bookmarkEnd w:id="83"/>
      <w:bookmarkStart w:id="84" w:name="_Toc421778377"/>
      <w:bookmarkStart w:id="85" w:name="_Toc351989128"/>
      <w:bookmarkStart w:id="86" w:name="_Toc221523521"/>
    </w:p>
    <w:p>
      <w:pPr>
        <w:pStyle w:val="3"/>
        <w:spacing w:line="350" w:lineRule="auto"/>
        <w:rPr>
          <w:rFonts w:hint="eastAsia" w:cs="宋体"/>
          <w:color w:val="000000"/>
        </w:rPr>
      </w:pPr>
      <w:bookmarkStart w:id="87" w:name="_Toc26300493"/>
      <w:bookmarkStart w:id="88" w:name="_Toc11420"/>
      <w:r>
        <w:rPr>
          <w:rFonts w:hint="eastAsia" w:cs="宋体"/>
          <w:color w:val="000000"/>
        </w:rPr>
        <w:br w:type="page"/>
      </w:r>
      <w:bookmarkStart w:id="89" w:name="_Toc27140"/>
      <w:r>
        <w:rPr>
          <w:rFonts w:hint="eastAsia" w:cs="宋体"/>
          <w:color w:val="000000"/>
        </w:rPr>
        <w:t>第四章 技术标准和要求</w:t>
      </w:r>
      <w:bookmarkEnd w:id="87"/>
      <w:bookmarkEnd w:id="88"/>
      <w:bookmarkEnd w:id="89"/>
    </w:p>
    <w:bookmarkEnd w:id="84"/>
    <w:bookmarkEnd w:id="85"/>
    <w:bookmarkEnd w:id="86"/>
    <w:p>
      <w:pPr>
        <w:spacing w:line="600" w:lineRule="exact"/>
        <w:rPr>
          <w:rFonts w:hint="eastAsia" w:ascii="仿宋" w:hAnsi="仿宋" w:eastAsia="仿宋" w:cs="仿宋"/>
          <w:b/>
          <w:bCs/>
          <w:kern w:val="0"/>
          <w:sz w:val="32"/>
          <w:szCs w:val="32"/>
        </w:rPr>
      </w:pPr>
      <w:bookmarkStart w:id="90" w:name="_Toc25661903"/>
      <w:r>
        <w:rPr>
          <w:rFonts w:hint="eastAsia" w:hAnsi="宋体" w:cs="宋体"/>
          <w:b/>
          <w:sz w:val="28"/>
          <w:szCs w:val="28"/>
        </w:rPr>
        <w:t>一、项目名称：陕西省高速公路收费中心监控、GIS系统维护服务</w:t>
      </w:r>
    </w:p>
    <w:p>
      <w:pPr>
        <w:spacing w:line="600" w:lineRule="exact"/>
        <w:rPr>
          <w:rFonts w:hint="eastAsia" w:hAnsi="宋体" w:cs="宋体"/>
          <w:b/>
          <w:sz w:val="28"/>
          <w:szCs w:val="28"/>
        </w:rPr>
      </w:pPr>
      <w:r>
        <w:rPr>
          <w:rFonts w:hint="eastAsia" w:hAnsi="宋体" w:cs="宋体"/>
          <w:b/>
          <w:sz w:val="28"/>
          <w:szCs w:val="28"/>
        </w:rPr>
        <w:t>二、项目概况</w:t>
      </w:r>
    </w:p>
    <w:p>
      <w:pPr>
        <w:spacing w:line="600" w:lineRule="exact"/>
        <w:rPr>
          <w:rFonts w:hint="eastAsia" w:hAnsi="宋体" w:cs="宋体"/>
          <w:b/>
          <w:sz w:val="28"/>
          <w:szCs w:val="28"/>
        </w:rPr>
      </w:pPr>
      <w:r>
        <w:rPr>
          <w:rFonts w:hint="eastAsia" w:hAnsi="宋体" w:cs="宋体"/>
          <w:b/>
          <w:sz w:val="28"/>
          <w:szCs w:val="28"/>
        </w:rPr>
        <w:t>2.1 项目背景</w:t>
      </w:r>
    </w:p>
    <w:p>
      <w:pPr>
        <w:widowControl/>
        <w:snapToGrid w:val="0"/>
        <w:spacing w:line="360" w:lineRule="auto"/>
        <w:ind w:firstLine="480"/>
        <w:rPr>
          <w:rFonts w:hint="eastAsia" w:hAnsi="宋体" w:cs="宋体"/>
          <w:sz w:val="24"/>
        </w:rPr>
      </w:pPr>
      <w:r>
        <w:rPr>
          <w:rFonts w:hint="eastAsia" w:hAnsi="宋体" w:cs="宋体"/>
          <w:sz w:val="24"/>
        </w:rPr>
        <w:t>对陕西省高速公路监控中心监控系统软、硬件设施进行有效的维护及保养，使其各系统处于良好工作状态。确保发挥其作用并稳定运行，收集、处理高速公路运行信息。提高陕西省高速公路服务水平、提升高速公路网监测和应急处置能力。系统维护过程中涉及硬件故障的原因分析、排除及临时需要的设备配件由乙方负责，需要维修或更换的硬件由甲方负责采购。</w:t>
      </w:r>
    </w:p>
    <w:p>
      <w:pPr>
        <w:spacing w:line="600" w:lineRule="exact"/>
        <w:rPr>
          <w:rFonts w:hint="eastAsia" w:hAnsi="宋体" w:cs="宋体"/>
          <w:b/>
          <w:sz w:val="28"/>
          <w:szCs w:val="28"/>
        </w:rPr>
      </w:pPr>
      <w:r>
        <w:rPr>
          <w:rFonts w:hint="eastAsia" w:hAnsi="宋体" w:cs="宋体"/>
          <w:b/>
          <w:sz w:val="28"/>
          <w:szCs w:val="28"/>
        </w:rPr>
        <w:t>2.2 项目范围</w:t>
      </w:r>
    </w:p>
    <w:p>
      <w:pPr>
        <w:spacing w:line="360" w:lineRule="auto"/>
        <w:ind w:firstLine="480" w:firstLineChars="200"/>
        <w:rPr>
          <w:rFonts w:hint="eastAsia" w:hAnsi="宋体"/>
          <w:sz w:val="24"/>
        </w:rPr>
      </w:pPr>
      <w:r>
        <w:rPr>
          <w:rFonts w:hint="eastAsia" w:hAnsi="宋体"/>
          <w:sz w:val="24"/>
        </w:rPr>
        <w:t>陕西省高速收费中心综合监控、GIS系统维护服务</w:t>
      </w:r>
    </w:p>
    <w:p>
      <w:pPr>
        <w:spacing w:line="600" w:lineRule="exact"/>
        <w:rPr>
          <w:rFonts w:hint="eastAsia" w:hAnsi="宋体" w:cs="宋体"/>
          <w:b/>
          <w:sz w:val="28"/>
          <w:szCs w:val="28"/>
        </w:rPr>
      </w:pPr>
      <w:r>
        <w:rPr>
          <w:rFonts w:hint="eastAsia" w:hAnsi="宋体" w:cs="宋体"/>
          <w:b/>
          <w:sz w:val="28"/>
          <w:szCs w:val="28"/>
        </w:rPr>
        <w:t>三、服务内容及要求</w:t>
      </w:r>
    </w:p>
    <w:p>
      <w:pPr>
        <w:widowControl/>
        <w:snapToGrid w:val="0"/>
        <w:spacing w:line="360" w:lineRule="auto"/>
        <w:ind w:firstLine="480"/>
        <w:rPr>
          <w:rFonts w:hint="eastAsia" w:ascii="宋体" w:hAnsi="宋体" w:cs="宋体"/>
          <w:sz w:val="24"/>
        </w:rPr>
      </w:pPr>
      <w:r>
        <w:rPr>
          <w:rFonts w:hint="eastAsia" w:ascii="宋体" w:hAnsi="宋体" w:cs="宋体"/>
          <w:sz w:val="24"/>
          <w:lang w:val="zh-CN"/>
        </w:rPr>
        <w:t>省中心监控、GIS系统维护服务</w:t>
      </w:r>
      <w:r>
        <w:rPr>
          <w:rFonts w:hint="eastAsia" w:ascii="宋体" w:hAnsi="宋体" w:cs="宋体"/>
          <w:sz w:val="24"/>
        </w:rPr>
        <w:t>内容：</w:t>
      </w:r>
    </w:p>
    <w:p>
      <w:pPr>
        <w:widowControl/>
        <w:snapToGrid w:val="0"/>
        <w:spacing w:line="360" w:lineRule="auto"/>
        <w:ind w:firstLine="480"/>
        <w:rPr>
          <w:rFonts w:hint="eastAsia" w:ascii="宋体" w:hAnsi="宋体" w:cs="宋体"/>
          <w:sz w:val="24"/>
        </w:rPr>
      </w:pPr>
      <w:r>
        <w:rPr>
          <w:rFonts w:hint="eastAsia" w:ascii="宋体" w:hAnsi="宋体" w:cs="宋体"/>
          <w:sz w:val="24"/>
        </w:rPr>
        <w:t>（一）监控系统平台软件维护</w:t>
      </w:r>
    </w:p>
    <w:p>
      <w:pPr>
        <w:widowControl/>
        <w:numPr>
          <w:ilvl w:val="0"/>
          <w:numId w:val="8"/>
        </w:numPr>
        <w:snapToGrid w:val="0"/>
        <w:spacing w:line="360" w:lineRule="auto"/>
        <w:ind w:left="0" w:firstLine="480" w:firstLineChars="200"/>
        <w:rPr>
          <w:rFonts w:hint="eastAsia" w:ascii="宋体" w:hAnsi="宋体" w:cs="宋体"/>
          <w:sz w:val="24"/>
        </w:rPr>
      </w:pPr>
      <w:r>
        <w:rPr>
          <w:rFonts w:hint="eastAsia" w:ascii="宋体" w:hAnsi="宋体" w:cs="宋体"/>
          <w:sz w:val="24"/>
        </w:rPr>
        <w:t>监控软件的日常维护与定期升级（客户端与后台服务的检查与维护、升级）。</w:t>
      </w:r>
    </w:p>
    <w:p>
      <w:pPr>
        <w:widowControl/>
        <w:numPr>
          <w:ilvl w:val="0"/>
          <w:numId w:val="8"/>
        </w:numPr>
        <w:snapToGrid w:val="0"/>
        <w:spacing w:line="360" w:lineRule="auto"/>
        <w:ind w:left="0" w:firstLine="480" w:firstLineChars="200"/>
        <w:rPr>
          <w:rFonts w:hint="eastAsia" w:ascii="宋体" w:hAnsi="宋体" w:cs="宋体"/>
          <w:sz w:val="24"/>
        </w:rPr>
      </w:pPr>
      <w:r>
        <w:rPr>
          <w:rFonts w:hint="eastAsia" w:ascii="宋体" w:hAnsi="宋体" w:cs="宋体"/>
          <w:sz w:val="24"/>
        </w:rPr>
        <w:t>应用支撑软件日常维护（操作系统、数据库、防病毒软件）。</w:t>
      </w:r>
    </w:p>
    <w:p>
      <w:pPr>
        <w:widowControl/>
        <w:numPr>
          <w:ilvl w:val="0"/>
          <w:numId w:val="8"/>
        </w:numPr>
        <w:snapToGrid w:val="0"/>
        <w:spacing w:line="360" w:lineRule="auto"/>
        <w:ind w:left="0" w:firstLine="480" w:firstLineChars="200"/>
        <w:rPr>
          <w:rFonts w:hint="eastAsia" w:ascii="宋体" w:hAnsi="宋体" w:cs="宋体"/>
          <w:sz w:val="24"/>
        </w:rPr>
      </w:pPr>
      <w:r>
        <w:rPr>
          <w:rFonts w:hint="eastAsia" w:ascii="宋体" w:hAnsi="宋体" w:cs="宋体"/>
          <w:sz w:val="24"/>
        </w:rPr>
        <w:t>监控系统软件数据的定期备份。</w:t>
      </w:r>
    </w:p>
    <w:p>
      <w:pPr>
        <w:widowControl/>
        <w:numPr>
          <w:ilvl w:val="0"/>
          <w:numId w:val="8"/>
        </w:numPr>
        <w:snapToGrid w:val="0"/>
        <w:spacing w:line="360" w:lineRule="auto"/>
        <w:ind w:left="0" w:firstLine="480" w:firstLineChars="200"/>
        <w:rPr>
          <w:rFonts w:hint="eastAsia" w:ascii="宋体" w:hAnsi="宋体" w:cs="宋体"/>
          <w:sz w:val="24"/>
        </w:rPr>
      </w:pPr>
      <w:r>
        <w:rPr>
          <w:rFonts w:hint="eastAsia" w:ascii="宋体" w:hAnsi="宋体" w:cs="宋体"/>
          <w:sz w:val="24"/>
        </w:rPr>
        <w:t>重要视频数据的备份。</w:t>
      </w:r>
    </w:p>
    <w:p>
      <w:pPr>
        <w:widowControl/>
        <w:numPr>
          <w:ilvl w:val="0"/>
          <w:numId w:val="8"/>
        </w:numPr>
        <w:snapToGrid w:val="0"/>
        <w:spacing w:line="360" w:lineRule="auto"/>
        <w:ind w:left="0" w:firstLine="480" w:firstLineChars="200"/>
        <w:rPr>
          <w:rFonts w:hint="eastAsia" w:ascii="宋体" w:hAnsi="宋体" w:cs="宋体"/>
          <w:sz w:val="24"/>
        </w:rPr>
      </w:pPr>
      <w:r>
        <w:rPr>
          <w:rFonts w:hint="eastAsia" w:ascii="宋体" w:hAnsi="宋体" w:cs="宋体"/>
          <w:sz w:val="24"/>
        </w:rPr>
        <w:t>监控系统服务器及客户端定期检查与维护。</w:t>
      </w:r>
    </w:p>
    <w:p>
      <w:pPr>
        <w:widowControl/>
        <w:numPr>
          <w:ilvl w:val="0"/>
          <w:numId w:val="8"/>
        </w:numPr>
        <w:snapToGrid w:val="0"/>
        <w:spacing w:line="360" w:lineRule="auto"/>
        <w:ind w:left="0" w:firstLine="480" w:firstLineChars="200"/>
        <w:rPr>
          <w:rFonts w:hint="eastAsia" w:ascii="宋体" w:hAnsi="宋体" w:cs="宋体"/>
          <w:sz w:val="24"/>
        </w:rPr>
      </w:pPr>
      <w:r>
        <w:rPr>
          <w:rFonts w:hint="eastAsia" w:ascii="宋体" w:hAnsi="宋体" w:cs="宋体"/>
          <w:sz w:val="24"/>
        </w:rPr>
        <w:t>GIS平台的技术维护工作。</w:t>
      </w:r>
    </w:p>
    <w:p>
      <w:pPr>
        <w:widowControl/>
        <w:snapToGrid w:val="0"/>
        <w:spacing w:line="360" w:lineRule="auto"/>
        <w:ind w:firstLine="480"/>
        <w:rPr>
          <w:rFonts w:hint="eastAsia" w:ascii="宋体" w:hAnsi="宋体" w:cs="宋体"/>
          <w:sz w:val="24"/>
        </w:rPr>
      </w:pPr>
      <w:r>
        <w:rPr>
          <w:rFonts w:hint="eastAsia" w:ascii="宋体" w:hAnsi="宋体" w:cs="宋体"/>
          <w:sz w:val="24"/>
        </w:rPr>
        <w:t>（二）监控系统计算机与网络系统维护</w:t>
      </w:r>
    </w:p>
    <w:p>
      <w:pPr>
        <w:widowControl/>
        <w:numPr>
          <w:ilvl w:val="0"/>
          <w:numId w:val="9"/>
        </w:numPr>
        <w:snapToGrid w:val="0"/>
        <w:spacing w:line="360" w:lineRule="auto"/>
        <w:ind w:left="0" w:firstLine="480" w:firstLineChars="200"/>
        <w:rPr>
          <w:rFonts w:hint="eastAsia" w:ascii="宋体" w:hAnsi="宋体" w:cs="宋体"/>
          <w:sz w:val="24"/>
        </w:rPr>
      </w:pPr>
      <w:r>
        <w:rPr>
          <w:rFonts w:hint="eastAsia" w:ascii="宋体" w:hAnsi="宋体" w:cs="宋体"/>
          <w:sz w:val="24"/>
        </w:rPr>
        <w:t>计算机与网络设备故障诊断与维护（防病毒服务器、核心路由器、核心交换机及业务交换机）。</w:t>
      </w:r>
    </w:p>
    <w:p>
      <w:pPr>
        <w:widowControl/>
        <w:numPr>
          <w:ilvl w:val="0"/>
          <w:numId w:val="9"/>
        </w:numPr>
        <w:snapToGrid w:val="0"/>
        <w:spacing w:line="360" w:lineRule="auto"/>
        <w:ind w:left="0" w:firstLine="480" w:firstLineChars="200"/>
        <w:rPr>
          <w:rFonts w:hint="eastAsia" w:ascii="宋体" w:hAnsi="宋体" w:cs="宋体"/>
          <w:sz w:val="24"/>
        </w:rPr>
      </w:pPr>
      <w:r>
        <w:rPr>
          <w:rFonts w:hint="eastAsia" w:ascii="宋体" w:hAnsi="宋体" w:cs="宋体"/>
          <w:sz w:val="24"/>
        </w:rPr>
        <w:t>根据网络使用需要，更新网络配置。</w:t>
      </w:r>
    </w:p>
    <w:p>
      <w:pPr>
        <w:widowControl/>
        <w:numPr>
          <w:ilvl w:val="0"/>
          <w:numId w:val="9"/>
        </w:numPr>
        <w:snapToGrid w:val="0"/>
        <w:spacing w:line="360" w:lineRule="auto"/>
        <w:ind w:left="0" w:firstLine="480" w:firstLineChars="200"/>
        <w:rPr>
          <w:rFonts w:hint="eastAsia" w:ascii="宋体" w:hAnsi="宋体" w:cs="宋体"/>
          <w:sz w:val="24"/>
        </w:rPr>
      </w:pPr>
      <w:r>
        <w:rPr>
          <w:rFonts w:hint="eastAsia" w:ascii="宋体" w:hAnsi="宋体" w:cs="宋体"/>
          <w:sz w:val="24"/>
        </w:rPr>
        <w:t>网络设备配置文件定期备份。</w:t>
      </w:r>
    </w:p>
    <w:p>
      <w:pPr>
        <w:widowControl/>
        <w:numPr>
          <w:ilvl w:val="0"/>
          <w:numId w:val="9"/>
        </w:numPr>
        <w:snapToGrid w:val="0"/>
        <w:spacing w:line="360" w:lineRule="auto"/>
        <w:ind w:left="0" w:firstLine="480" w:firstLineChars="200"/>
        <w:rPr>
          <w:rFonts w:hint="eastAsia" w:ascii="宋体" w:hAnsi="宋体" w:cs="宋体"/>
          <w:sz w:val="24"/>
        </w:rPr>
      </w:pPr>
      <w:r>
        <w:rPr>
          <w:rFonts w:hint="eastAsia" w:ascii="宋体" w:hAnsi="宋体" w:cs="宋体"/>
          <w:sz w:val="24"/>
        </w:rPr>
        <w:t>网管系统维护。</w:t>
      </w:r>
    </w:p>
    <w:p>
      <w:pPr>
        <w:widowControl/>
        <w:numPr>
          <w:ilvl w:val="0"/>
          <w:numId w:val="9"/>
        </w:numPr>
        <w:snapToGrid w:val="0"/>
        <w:spacing w:line="360" w:lineRule="auto"/>
        <w:ind w:left="0" w:firstLine="480" w:firstLineChars="200"/>
        <w:rPr>
          <w:rFonts w:hint="eastAsia" w:ascii="宋体" w:hAnsi="宋体" w:cs="宋体"/>
          <w:sz w:val="24"/>
        </w:rPr>
      </w:pPr>
      <w:r>
        <w:rPr>
          <w:rFonts w:hint="eastAsia" w:ascii="宋体" w:hAnsi="宋体" w:cs="宋体"/>
          <w:sz w:val="24"/>
        </w:rPr>
        <w:t>检查并完善接地系统。</w:t>
      </w:r>
    </w:p>
    <w:p>
      <w:pPr>
        <w:widowControl/>
        <w:numPr>
          <w:ilvl w:val="0"/>
          <w:numId w:val="9"/>
        </w:numPr>
        <w:snapToGrid w:val="0"/>
        <w:spacing w:line="360" w:lineRule="auto"/>
        <w:ind w:left="0" w:firstLine="480" w:firstLineChars="200"/>
        <w:rPr>
          <w:rFonts w:hint="eastAsia" w:ascii="宋体" w:hAnsi="宋体" w:cs="宋体"/>
          <w:sz w:val="24"/>
        </w:rPr>
      </w:pPr>
      <w:r>
        <w:rPr>
          <w:rFonts w:hint="eastAsia" w:ascii="宋体" w:hAnsi="宋体" w:cs="宋体"/>
          <w:sz w:val="24"/>
        </w:rPr>
        <w:t>应急抢修。</w:t>
      </w:r>
    </w:p>
    <w:p>
      <w:pPr>
        <w:widowControl/>
        <w:numPr>
          <w:ilvl w:val="0"/>
          <w:numId w:val="9"/>
        </w:numPr>
        <w:snapToGrid w:val="0"/>
        <w:spacing w:line="360" w:lineRule="auto"/>
        <w:ind w:left="0" w:firstLine="480" w:firstLineChars="200"/>
        <w:rPr>
          <w:rFonts w:hint="eastAsia" w:ascii="宋体" w:hAnsi="宋体" w:cs="宋体"/>
          <w:sz w:val="24"/>
        </w:rPr>
      </w:pPr>
      <w:r>
        <w:rPr>
          <w:rFonts w:hint="eastAsia" w:ascii="宋体" w:hAnsi="宋体" w:cs="宋体"/>
          <w:sz w:val="24"/>
        </w:rPr>
        <w:t>其它（电源、综合布线等）维护。</w:t>
      </w:r>
    </w:p>
    <w:p>
      <w:pPr>
        <w:widowControl/>
        <w:snapToGrid w:val="0"/>
        <w:spacing w:line="360" w:lineRule="auto"/>
        <w:ind w:firstLine="480"/>
        <w:rPr>
          <w:rFonts w:hint="eastAsia" w:ascii="宋体" w:hAnsi="宋体" w:cs="宋体"/>
          <w:sz w:val="24"/>
        </w:rPr>
      </w:pPr>
      <w:r>
        <w:rPr>
          <w:rFonts w:hint="eastAsia" w:ascii="宋体" w:hAnsi="宋体" w:cs="宋体"/>
          <w:sz w:val="24"/>
        </w:rPr>
        <w:t>（三）其它工作</w:t>
      </w:r>
    </w:p>
    <w:p>
      <w:pPr>
        <w:widowControl/>
        <w:numPr>
          <w:ilvl w:val="0"/>
          <w:numId w:val="10"/>
        </w:numPr>
        <w:snapToGrid w:val="0"/>
        <w:spacing w:line="360" w:lineRule="auto"/>
        <w:ind w:left="0" w:firstLine="480" w:firstLineChars="200"/>
        <w:rPr>
          <w:rFonts w:hint="eastAsia" w:ascii="宋体" w:hAnsi="宋体" w:cs="宋体"/>
          <w:sz w:val="24"/>
        </w:rPr>
      </w:pPr>
      <w:r>
        <w:rPr>
          <w:rFonts w:hint="eastAsia" w:ascii="宋体" w:hAnsi="宋体" w:cs="宋体"/>
          <w:sz w:val="24"/>
        </w:rPr>
        <w:t>重大突发事件的技术支持。</w:t>
      </w:r>
    </w:p>
    <w:p>
      <w:pPr>
        <w:widowControl/>
        <w:numPr>
          <w:ilvl w:val="0"/>
          <w:numId w:val="10"/>
        </w:numPr>
        <w:snapToGrid w:val="0"/>
        <w:spacing w:line="360" w:lineRule="auto"/>
        <w:ind w:left="0" w:firstLine="480" w:firstLineChars="200"/>
        <w:rPr>
          <w:rFonts w:hint="eastAsia" w:ascii="宋体" w:hAnsi="宋体" w:cs="宋体"/>
          <w:sz w:val="24"/>
        </w:rPr>
      </w:pPr>
      <w:r>
        <w:rPr>
          <w:rFonts w:hint="eastAsia" w:ascii="宋体" w:hAnsi="宋体" w:cs="宋体"/>
          <w:sz w:val="24"/>
        </w:rPr>
        <w:t>针对采购人的技术培训，不少于2次。</w:t>
      </w:r>
    </w:p>
    <w:p>
      <w:pPr>
        <w:widowControl/>
        <w:snapToGrid w:val="0"/>
        <w:spacing w:line="360" w:lineRule="auto"/>
        <w:ind w:firstLine="480"/>
        <w:rPr>
          <w:rFonts w:hint="eastAsia" w:ascii="宋体" w:hAnsi="宋体" w:cs="宋体"/>
          <w:sz w:val="24"/>
        </w:rPr>
      </w:pPr>
      <w:r>
        <w:rPr>
          <w:rFonts w:hint="eastAsia" w:ascii="宋体" w:hAnsi="宋体" w:cs="宋体"/>
          <w:sz w:val="24"/>
        </w:rPr>
        <w:t>培训内容：省中心监控系统网络设备与平台软件系统构成、技术维护手段、维护中需要注意的问题等。同时提交相应的培训计划、培训材料和培训记录。</w:t>
      </w:r>
    </w:p>
    <w:p>
      <w:pPr>
        <w:widowControl/>
        <w:numPr>
          <w:ilvl w:val="0"/>
          <w:numId w:val="10"/>
        </w:numPr>
        <w:snapToGrid w:val="0"/>
        <w:spacing w:line="360" w:lineRule="auto"/>
        <w:ind w:left="0" w:firstLine="480" w:firstLineChars="200"/>
        <w:rPr>
          <w:rFonts w:hint="eastAsia" w:ascii="宋体" w:hAnsi="宋体" w:cs="宋体"/>
          <w:sz w:val="24"/>
        </w:rPr>
      </w:pPr>
      <w:r>
        <w:rPr>
          <w:rFonts w:hint="eastAsia" w:ascii="宋体" w:hAnsi="宋体" w:cs="宋体"/>
          <w:sz w:val="24"/>
        </w:rPr>
        <w:t>安排专人值守，与采购人共同做好重要节假日（春节、清明节、劳动节、国庆节等）的技术保障。</w:t>
      </w:r>
    </w:p>
    <w:p>
      <w:pPr>
        <w:widowControl/>
        <w:numPr>
          <w:ilvl w:val="0"/>
          <w:numId w:val="10"/>
        </w:numPr>
        <w:snapToGrid w:val="0"/>
        <w:spacing w:line="360" w:lineRule="auto"/>
        <w:ind w:left="0" w:firstLine="480" w:firstLineChars="200"/>
        <w:rPr>
          <w:rFonts w:hint="eastAsia" w:ascii="宋体" w:hAnsi="宋体" w:cs="宋体"/>
          <w:sz w:val="24"/>
        </w:rPr>
      </w:pPr>
      <w:r>
        <w:rPr>
          <w:rFonts w:hint="eastAsia" w:ascii="宋体" w:hAnsi="宋体" w:cs="宋体"/>
          <w:sz w:val="24"/>
        </w:rPr>
        <w:t>维护期内承担陕西省高速公路新通车路段监控联网接入省中心技术支持、调试及系统调整。</w:t>
      </w:r>
    </w:p>
    <w:p>
      <w:pPr>
        <w:spacing w:line="600" w:lineRule="exact"/>
        <w:rPr>
          <w:rFonts w:hint="eastAsia" w:hAnsi="宋体" w:cs="宋体"/>
          <w:b/>
          <w:sz w:val="28"/>
          <w:szCs w:val="28"/>
        </w:rPr>
      </w:pPr>
      <w:r>
        <w:rPr>
          <w:rFonts w:hint="eastAsia" w:hAnsi="宋体" w:cs="宋体"/>
          <w:b/>
          <w:sz w:val="28"/>
          <w:szCs w:val="28"/>
        </w:rPr>
        <w:t>四、服务要求</w:t>
      </w:r>
    </w:p>
    <w:p>
      <w:pPr>
        <w:widowControl/>
        <w:snapToGrid w:val="0"/>
        <w:spacing w:line="360" w:lineRule="auto"/>
        <w:ind w:firstLine="360" w:firstLineChars="150"/>
        <w:rPr>
          <w:rFonts w:hint="eastAsia" w:ascii="宋体" w:hAnsi="宋体" w:cs="宋体"/>
          <w:sz w:val="24"/>
        </w:rPr>
      </w:pPr>
      <w:r>
        <w:rPr>
          <w:rFonts w:hint="eastAsia" w:ascii="宋体" w:hAnsi="宋体" w:cs="宋体"/>
          <w:sz w:val="24"/>
        </w:rPr>
        <w:t>（一）监控系统平台维护工作要求</w:t>
      </w:r>
    </w:p>
    <w:p>
      <w:pPr>
        <w:widowControl/>
        <w:numPr>
          <w:ilvl w:val="0"/>
          <w:numId w:val="11"/>
        </w:numPr>
        <w:snapToGrid w:val="0"/>
        <w:spacing w:line="360" w:lineRule="auto"/>
        <w:ind w:left="0" w:firstLine="480" w:firstLineChars="200"/>
        <w:rPr>
          <w:rFonts w:hint="eastAsia" w:ascii="宋体" w:hAnsi="宋体" w:cs="宋体"/>
          <w:sz w:val="24"/>
        </w:rPr>
      </w:pPr>
      <w:r>
        <w:rPr>
          <w:rFonts w:hint="eastAsia" w:ascii="宋体" w:hAnsi="宋体" w:cs="宋体"/>
          <w:sz w:val="24"/>
        </w:rPr>
        <w:t>对监控系统涉及的服务器硬件进行健康检查和维护，及时向采购人通报系统运行情况。</w:t>
      </w:r>
    </w:p>
    <w:p>
      <w:pPr>
        <w:widowControl/>
        <w:numPr>
          <w:ilvl w:val="0"/>
          <w:numId w:val="11"/>
        </w:numPr>
        <w:snapToGrid w:val="0"/>
        <w:spacing w:line="360" w:lineRule="auto"/>
        <w:ind w:left="0" w:firstLine="480" w:firstLineChars="200"/>
        <w:rPr>
          <w:rFonts w:hint="eastAsia" w:ascii="宋体" w:hAnsi="宋体" w:cs="宋体"/>
          <w:sz w:val="24"/>
        </w:rPr>
      </w:pPr>
      <w:r>
        <w:rPr>
          <w:rFonts w:hint="eastAsia" w:ascii="宋体" w:hAnsi="宋体" w:cs="宋体"/>
          <w:sz w:val="24"/>
        </w:rPr>
        <w:t>对数据库及其各类配置文件进行全备份，对表空间及数据库各类进程进行检查和维护，及时向招标人通报系统运行情况。</w:t>
      </w:r>
    </w:p>
    <w:p>
      <w:pPr>
        <w:widowControl/>
        <w:numPr>
          <w:ilvl w:val="0"/>
          <w:numId w:val="11"/>
        </w:numPr>
        <w:snapToGrid w:val="0"/>
        <w:spacing w:line="360" w:lineRule="auto"/>
        <w:ind w:left="0" w:firstLine="480" w:firstLineChars="200"/>
        <w:rPr>
          <w:rFonts w:hint="eastAsia" w:ascii="宋体" w:hAnsi="宋体" w:cs="宋体"/>
          <w:sz w:val="24"/>
        </w:rPr>
      </w:pPr>
      <w:r>
        <w:rPr>
          <w:rFonts w:hint="eastAsia" w:ascii="宋体" w:hAnsi="宋体" w:cs="宋体"/>
          <w:sz w:val="24"/>
        </w:rPr>
        <w:t>综合监控系统内部GIS服务（基于OGC的WMS、WFS地图服务等）应用升级；综合监控系统GIS数据维护。</w:t>
      </w:r>
    </w:p>
    <w:p>
      <w:pPr>
        <w:widowControl/>
        <w:numPr>
          <w:ilvl w:val="0"/>
          <w:numId w:val="11"/>
        </w:numPr>
        <w:snapToGrid w:val="0"/>
        <w:spacing w:line="360" w:lineRule="auto"/>
        <w:ind w:left="0" w:firstLine="480" w:firstLineChars="200"/>
        <w:rPr>
          <w:rFonts w:hint="eastAsia" w:ascii="宋体" w:hAnsi="宋体" w:cs="宋体"/>
          <w:sz w:val="24"/>
        </w:rPr>
      </w:pPr>
      <w:r>
        <w:rPr>
          <w:rFonts w:hint="eastAsia" w:ascii="宋体" w:hAnsi="宋体" w:cs="宋体"/>
          <w:sz w:val="24"/>
        </w:rPr>
        <w:t>防病毒软件每周两次的病毒库增量更新。</w:t>
      </w:r>
    </w:p>
    <w:p>
      <w:pPr>
        <w:widowControl/>
        <w:numPr>
          <w:ilvl w:val="0"/>
          <w:numId w:val="11"/>
        </w:numPr>
        <w:snapToGrid w:val="0"/>
        <w:spacing w:line="360" w:lineRule="auto"/>
        <w:ind w:left="0" w:firstLine="480" w:firstLineChars="200"/>
        <w:jc w:val="left"/>
        <w:rPr>
          <w:rFonts w:hint="eastAsia" w:ascii="宋体" w:hAnsi="宋体" w:cs="宋体"/>
          <w:sz w:val="24"/>
        </w:rPr>
      </w:pPr>
      <w:r>
        <w:rPr>
          <w:rFonts w:hint="eastAsia" w:ascii="宋体" w:hAnsi="宋体" w:cs="宋体"/>
          <w:sz w:val="24"/>
        </w:rPr>
        <w:t>依据采购人要求，每半年完善视频管理系统、交通监视系统、事件管理系统、指挥调度系统功能并升级（对于系统现有功能的完善改进）。</w:t>
      </w:r>
    </w:p>
    <w:p>
      <w:pPr>
        <w:widowControl/>
        <w:numPr>
          <w:ilvl w:val="0"/>
          <w:numId w:val="11"/>
        </w:numPr>
        <w:snapToGrid w:val="0"/>
        <w:spacing w:line="360" w:lineRule="auto"/>
        <w:ind w:left="0" w:firstLine="480" w:firstLineChars="200"/>
        <w:rPr>
          <w:rFonts w:hint="eastAsia" w:ascii="宋体" w:hAnsi="宋体" w:cs="宋体"/>
          <w:sz w:val="24"/>
        </w:rPr>
      </w:pPr>
      <w:r>
        <w:rPr>
          <w:rFonts w:hint="eastAsia" w:ascii="宋体" w:hAnsi="宋体" w:cs="宋体"/>
          <w:sz w:val="24"/>
        </w:rPr>
        <w:t>实时检测全省联网管理路段分中心综合监控系统与省中心监控系统数据交互服务状态，系统出现异常状态及时处理并上报采购人。</w:t>
      </w:r>
    </w:p>
    <w:p>
      <w:pPr>
        <w:widowControl/>
        <w:numPr>
          <w:ilvl w:val="0"/>
          <w:numId w:val="11"/>
        </w:numPr>
        <w:snapToGrid w:val="0"/>
        <w:spacing w:line="360" w:lineRule="auto"/>
        <w:ind w:left="0" w:firstLine="480" w:firstLineChars="200"/>
        <w:rPr>
          <w:rFonts w:hint="eastAsia" w:ascii="宋体" w:hAnsi="宋体" w:cs="宋体"/>
          <w:sz w:val="24"/>
        </w:rPr>
      </w:pPr>
      <w:r>
        <w:rPr>
          <w:rFonts w:hint="eastAsia" w:ascii="宋体" w:hAnsi="宋体" w:cs="宋体"/>
          <w:sz w:val="24"/>
        </w:rPr>
        <w:t>新通车高速公路路段监控联网接入省中心的技术支持、软件升级及核心网络设备配置。</w:t>
      </w:r>
    </w:p>
    <w:p>
      <w:pPr>
        <w:widowControl/>
        <w:numPr>
          <w:ilvl w:val="0"/>
          <w:numId w:val="11"/>
        </w:numPr>
        <w:snapToGrid w:val="0"/>
        <w:spacing w:line="360" w:lineRule="auto"/>
        <w:ind w:left="0" w:firstLine="480" w:firstLineChars="200"/>
        <w:rPr>
          <w:rFonts w:hint="eastAsia" w:ascii="宋体" w:hAnsi="宋体" w:cs="宋体"/>
          <w:sz w:val="24"/>
        </w:rPr>
      </w:pPr>
      <w:r>
        <w:rPr>
          <w:rFonts w:hint="eastAsia" w:ascii="宋体" w:hAnsi="宋体" w:cs="宋体"/>
          <w:sz w:val="24"/>
        </w:rPr>
        <w:t>针对联网监控系统出现的各类故障及问题，应根据采购人工作要求及实际情况，及时解决系统异常问题或提出处理方案，确保监控系统日常关键性工作的顺利完成。</w:t>
      </w:r>
    </w:p>
    <w:p>
      <w:pPr>
        <w:widowControl/>
        <w:numPr>
          <w:ilvl w:val="0"/>
          <w:numId w:val="11"/>
        </w:numPr>
        <w:snapToGrid w:val="0"/>
        <w:spacing w:line="360" w:lineRule="auto"/>
        <w:ind w:left="0" w:firstLine="480" w:firstLineChars="200"/>
        <w:rPr>
          <w:rFonts w:hint="eastAsia" w:ascii="宋体" w:hAnsi="宋体" w:cs="宋体"/>
          <w:sz w:val="24"/>
        </w:rPr>
      </w:pPr>
      <w:r>
        <w:rPr>
          <w:rFonts w:hint="eastAsia" w:ascii="宋体" w:hAnsi="宋体" w:cs="宋体"/>
          <w:sz w:val="24"/>
        </w:rPr>
        <w:t>按月提交维护计划、维护清单、维护记录、维护总结。</w:t>
      </w:r>
    </w:p>
    <w:p>
      <w:pPr>
        <w:widowControl/>
        <w:snapToGrid w:val="0"/>
        <w:spacing w:line="360" w:lineRule="auto"/>
        <w:ind w:firstLine="360" w:firstLineChars="150"/>
        <w:rPr>
          <w:rFonts w:hint="eastAsia" w:ascii="宋体" w:hAnsi="宋体" w:cs="宋体"/>
          <w:sz w:val="24"/>
        </w:rPr>
      </w:pPr>
      <w:r>
        <w:rPr>
          <w:rFonts w:hint="eastAsia" w:ascii="宋体" w:hAnsi="宋体" w:cs="宋体"/>
          <w:sz w:val="24"/>
        </w:rPr>
        <w:t>（二）监控系统网络设备维护工作要求</w:t>
      </w:r>
    </w:p>
    <w:p>
      <w:pPr>
        <w:widowControl/>
        <w:numPr>
          <w:ilvl w:val="0"/>
          <w:numId w:val="12"/>
        </w:numPr>
        <w:snapToGrid w:val="0"/>
        <w:spacing w:line="360" w:lineRule="auto"/>
        <w:ind w:left="0" w:firstLine="480" w:firstLineChars="200"/>
        <w:rPr>
          <w:rFonts w:hint="eastAsia" w:ascii="宋体" w:hAnsi="宋体" w:cs="宋体"/>
          <w:sz w:val="24"/>
        </w:rPr>
      </w:pPr>
      <w:r>
        <w:rPr>
          <w:rFonts w:hint="eastAsia" w:ascii="宋体" w:hAnsi="宋体" w:cs="宋体"/>
          <w:sz w:val="24"/>
        </w:rPr>
        <w:t>清洁状况：设备外壳、设备内部、都应干净整洁无明显尘土附着。注意防尘网的清洁状况，及时清洗或更换，以免影响风扇的通风、散热。</w:t>
      </w:r>
    </w:p>
    <w:p>
      <w:pPr>
        <w:widowControl/>
        <w:numPr>
          <w:ilvl w:val="0"/>
          <w:numId w:val="12"/>
        </w:numPr>
        <w:snapToGrid w:val="0"/>
        <w:spacing w:line="360" w:lineRule="auto"/>
        <w:ind w:left="0" w:firstLine="480" w:firstLineChars="200"/>
        <w:rPr>
          <w:rFonts w:hint="eastAsia" w:ascii="宋体" w:hAnsi="宋体" w:cs="宋体"/>
          <w:sz w:val="24"/>
        </w:rPr>
      </w:pPr>
      <w:r>
        <w:rPr>
          <w:rFonts w:hint="eastAsia" w:ascii="宋体" w:hAnsi="宋体" w:cs="宋体"/>
          <w:sz w:val="24"/>
        </w:rPr>
        <w:t>散热状况：设备正常工作时，要求保持风扇正常运转（清理风扇期间除外），擅自关闭风扇会引起设备温度升高，并可能损坏单板。</w:t>
      </w:r>
    </w:p>
    <w:p>
      <w:pPr>
        <w:widowControl/>
        <w:numPr>
          <w:ilvl w:val="0"/>
          <w:numId w:val="12"/>
        </w:numPr>
        <w:snapToGrid w:val="0"/>
        <w:spacing w:line="360" w:lineRule="auto"/>
        <w:ind w:left="0" w:firstLine="480" w:firstLineChars="200"/>
        <w:rPr>
          <w:rFonts w:hint="eastAsia" w:ascii="宋体" w:hAnsi="宋体" w:cs="宋体"/>
          <w:sz w:val="24"/>
        </w:rPr>
      </w:pPr>
      <w:r>
        <w:rPr>
          <w:rFonts w:hint="eastAsia" w:ascii="宋体" w:hAnsi="宋体" w:cs="宋体"/>
          <w:sz w:val="24"/>
        </w:rPr>
        <w:t>线缆布放：电源线缆与业务线缆分开布放、整齐、有序。</w:t>
      </w:r>
    </w:p>
    <w:p>
      <w:pPr>
        <w:widowControl/>
        <w:numPr>
          <w:ilvl w:val="0"/>
          <w:numId w:val="12"/>
        </w:numPr>
        <w:snapToGrid w:val="0"/>
        <w:spacing w:line="360" w:lineRule="auto"/>
        <w:ind w:left="0" w:firstLine="480" w:firstLineChars="200"/>
        <w:rPr>
          <w:rFonts w:hint="eastAsia" w:ascii="宋体" w:hAnsi="宋体" w:cs="宋体"/>
          <w:sz w:val="24"/>
        </w:rPr>
      </w:pPr>
      <w:r>
        <w:rPr>
          <w:rFonts w:hint="eastAsia" w:ascii="宋体" w:hAnsi="宋体" w:cs="宋体"/>
          <w:sz w:val="24"/>
        </w:rPr>
        <w:t>线缆标签：观察机柜内部线缆标签情况及新增线缆，线缆标签清晰、准确，符合规范。</w:t>
      </w:r>
    </w:p>
    <w:p>
      <w:pPr>
        <w:widowControl/>
        <w:numPr>
          <w:ilvl w:val="0"/>
          <w:numId w:val="12"/>
        </w:numPr>
        <w:snapToGrid w:val="0"/>
        <w:spacing w:line="360" w:lineRule="auto"/>
        <w:ind w:left="0" w:firstLine="480" w:firstLineChars="200"/>
        <w:rPr>
          <w:rFonts w:hint="eastAsia" w:ascii="宋体" w:hAnsi="宋体" w:cs="宋体"/>
          <w:sz w:val="24"/>
        </w:rPr>
      </w:pPr>
      <w:r>
        <w:rPr>
          <w:rFonts w:hint="eastAsia" w:ascii="宋体" w:hAnsi="宋体" w:cs="宋体"/>
          <w:sz w:val="24"/>
        </w:rPr>
        <w:t>告警信息：正常情况下，应该无告警信息。如果有告警，需要及时记录，对于严重以上告警需并立即分析并处理。</w:t>
      </w:r>
    </w:p>
    <w:p>
      <w:pPr>
        <w:widowControl/>
        <w:numPr>
          <w:ilvl w:val="0"/>
          <w:numId w:val="12"/>
        </w:numPr>
        <w:snapToGrid w:val="0"/>
        <w:spacing w:line="360" w:lineRule="auto"/>
        <w:ind w:left="0" w:firstLine="480" w:firstLineChars="200"/>
        <w:rPr>
          <w:rFonts w:hint="eastAsia" w:ascii="宋体" w:hAnsi="宋体" w:cs="宋体"/>
          <w:sz w:val="24"/>
        </w:rPr>
      </w:pPr>
      <w:r>
        <w:rPr>
          <w:rFonts w:hint="eastAsia" w:ascii="宋体" w:hAnsi="宋体" w:cs="宋体"/>
          <w:sz w:val="24"/>
        </w:rPr>
        <w:t>日志信息：正常情况下，日志中不应该有大量重复的信息。如果有这种情况出现，需要立即分析并处理。</w:t>
      </w:r>
    </w:p>
    <w:p>
      <w:pPr>
        <w:widowControl/>
        <w:numPr>
          <w:ilvl w:val="0"/>
          <w:numId w:val="12"/>
        </w:numPr>
        <w:snapToGrid w:val="0"/>
        <w:spacing w:line="360" w:lineRule="auto"/>
        <w:ind w:left="0" w:firstLine="480" w:firstLineChars="200"/>
        <w:rPr>
          <w:rFonts w:hint="eastAsia" w:ascii="宋体" w:hAnsi="宋体" w:cs="宋体"/>
          <w:sz w:val="24"/>
        </w:rPr>
      </w:pPr>
      <w:r>
        <w:rPr>
          <w:rFonts w:hint="eastAsia" w:ascii="宋体" w:hAnsi="宋体" w:cs="宋体"/>
          <w:sz w:val="24"/>
        </w:rPr>
        <w:t>CPU占用率：正常情况时，CPU的占用率应低于80%。CPU占用率长时间过高时，检查设备，分析原因。</w:t>
      </w:r>
    </w:p>
    <w:p>
      <w:pPr>
        <w:widowControl/>
        <w:numPr>
          <w:ilvl w:val="0"/>
          <w:numId w:val="12"/>
        </w:numPr>
        <w:snapToGrid w:val="0"/>
        <w:spacing w:line="360" w:lineRule="auto"/>
        <w:ind w:left="0" w:firstLine="480" w:firstLineChars="200"/>
        <w:rPr>
          <w:rFonts w:hint="eastAsia" w:ascii="宋体" w:hAnsi="宋体" w:cs="宋体"/>
          <w:sz w:val="24"/>
        </w:rPr>
      </w:pPr>
      <w:r>
        <w:rPr>
          <w:rFonts w:hint="eastAsia" w:ascii="宋体" w:hAnsi="宋体" w:cs="宋体"/>
          <w:sz w:val="24"/>
        </w:rPr>
        <w:t>内存占用率：内存占用率长时间过高时，检查设备，查询原因。</w:t>
      </w:r>
    </w:p>
    <w:p>
      <w:pPr>
        <w:widowControl/>
        <w:numPr>
          <w:ilvl w:val="0"/>
          <w:numId w:val="12"/>
        </w:numPr>
        <w:snapToGrid w:val="0"/>
        <w:spacing w:line="360" w:lineRule="auto"/>
        <w:ind w:left="0" w:firstLine="480" w:firstLineChars="200"/>
        <w:rPr>
          <w:rFonts w:hint="eastAsia" w:ascii="宋体" w:hAnsi="宋体" w:cs="宋体"/>
          <w:sz w:val="24"/>
        </w:rPr>
      </w:pPr>
      <w:r>
        <w:rPr>
          <w:rFonts w:hint="eastAsia" w:ascii="宋体" w:hAnsi="宋体" w:cs="宋体"/>
          <w:sz w:val="24"/>
        </w:rPr>
        <w:t>接口流量：把当前流量和接口带宽比较，如果使用率超过端口带宽的80％，需要记录并确认。并检查接口下的入方向和出方向是否有错误统计，重点关注错误统计的增长情况。</w:t>
      </w:r>
    </w:p>
    <w:p>
      <w:pPr>
        <w:widowControl/>
        <w:numPr>
          <w:ilvl w:val="0"/>
          <w:numId w:val="12"/>
        </w:numPr>
        <w:snapToGrid w:val="0"/>
        <w:spacing w:line="360" w:lineRule="auto"/>
        <w:ind w:left="0" w:firstLine="480" w:firstLineChars="200"/>
        <w:rPr>
          <w:rFonts w:hint="eastAsia" w:ascii="宋体" w:hAnsi="宋体" w:cs="宋体"/>
          <w:sz w:val="24"/>
        </w:rPr>
      </w:pPr>
      <w:r>
        <w:rPr>
          <w:rFonts w:hint="eastAsia" w:ascii="宋体" w:hAnsi="宋体" w:cs="宋体"/>
          <w:sz w:val="24"/>
        </w:rPr>
        <w:t>配置文件：查看当前配置信息和保存配置信息是否一致，运行配置需要与保存过的配置相同。</w:t>
      </w:r>
    </w:p>
    <w:p>
      <w:pPr>
        <w:widowControl/>
        <w:numPr>
          <w:ilvl w:val="0"/>
          <w:numId w:val="12"/>
        </w:numPr>
        <w:snapToGrid w:val="0"/>
        <w:spacing w:line="360" w:lineRule="auto"/>
        <w:ind w:left="0" w:firstLine="480" w:firstLineChars="200"/>
        <w:rPr>
          <w:rFonts w:hint="eastAsia" w:ascii="宋体" w:hAnsi="宋体" w:cs="宋体"/>
          <w:sz w:val="24"/>
        </w:rPr>
      </w:pPr>
      <w:r>
        <w:rPr>
          <w:rFonts w:hint="eastAsia" w:ascii="宋体" w:hAnsi="宋体" w:cs="宋体"/>
          <w:sz w:val="24"/>
        </w:rPr>
        <w:t>其它项目：根据采购人工作需要进行布线增添、网络优化、网络性能测试，每年整理一次网络连接，并提供网络拓扑图等。</w:t>
      </w:r>
    </w:p>
    <w:p>
      <w:pPr>
        <w:widowControl/>
        <w:numPr>
          <w:ilvl w:val="0"/>
          <w:numId w:val="12"/>
        </w:numPr>
        <w:snapToGrid w:val="0"/>
        <w:spacing w:line="360" w:lineRule="auto"/>
        <w:ind w:left="0" w:firstLine="480" w:firstLineChars="200"/>
        <w:rPr>
          <w:rFonts w:hint="eastAsia" w:ascii="宋体" w:hAnsi="宋体" w:cs="宋体"/>
          <w:sz w:val="24"/>
        </w:rPr>
      </w:pPr>
      <w:r>
        <w:rPr>
          <w:rFonts w:hint="eastAsia" w:ascii="宋体" w:hAnsi="宋体" w:cs="宋体"/>
          <w:sz w:val="24"/>
        </w:rPr>
        <w:t>按月提交维护计划、维护清单、维护记录、维护总结。</w:t>
      </w:r>
      <w:bookmarkStart w:id="91" w:name="_Toc293509061"/>
      <w:bookmarkStart w:id="92" w:name="_Toc296897439"/>
    </w:p>
    <w:bookmarkEnd w:id="91"/>
    <w:bookmarkEnd w:id="92"/>
    <w:p>
      <w:pPr>
        <w:spacing w:line="600" w:lineRule="exact"/>
        <w:rPr>
          <w:rFonts w:hint="eastAsia" w:ascii="仿宋" w:hAnsi="仿宋" w:eastAsia="仿宋" w:cs="仿宋"/>
          <w:b/>
          <w:bCs/>
          <w:sz w:val="28"/>
          <w:szCs w:val="28"/>
        </w:rPr>
      </w:pPr>
      <w:r>
        <w:rPr>
          <w:rFonts w:hint="eastAsia" w:hAnsi="宋体" w:cs="宋体"/>
          <w:b/>
          <w:sz w:val="28"/>
          <w:szCs w:val="28"/>
        </w:rPr>
        <w:t>五、项目人员要求</w:t>
      </w:r>
    </w:p>
    <w:p>
      <w:pPr>
        <w:widowControl/>
        <w:snapToGrid w:val="0"/>
        <w:spacing w:line="360" w:lineRule="auto"/>
        <w:ind w:firstLine="480"/>
        <w:rPr>
          <w:rFonts w:hint="eastAsia" w:ascii="宋体" w:hAnsi="宋体" w:cs="宋体"/>
          <w:sz w:val="24"/>
        </w:rPr>
      </w:pPr>
      <w:r>
        <w:rPr>
          <w:rFonts w:hint="eastAsia" w:ascii="宋体" w:hAnsi="宋体" w:cs="宋体"/>
          <w:sz w:val="24"/>
        </w:rPr>
        <w:t>1.系统维护服务商需提供参与本项目的技术人员详细名单及项目组织结构，并附上服务人员简历。</w:t>
      </w:r>
    </w:p>
    <w:p>
      <w:pPr>
        <w:widowControl/>
        <w:snapToGrid w:val="0"/>
        <w:spacing w:line="360" w:lineRule="auto"/>
        <w:ind w:firstLine="480"/>
        <w:rPr>
          <w:rFonts w:hint="eastAsia" w:ascii="宋体" w:hAnsi="宋体" w:cs="宋体"/>
          <w:sz w:val="24"/>
        </w:rPr>
      </w:pPr>
      <w:r>
        <w:rPr>
          <w:rFonts w:hint="eastAsia" w:ascii="宋体" w:hAnsi="宋体" w:cs="宋体"/>
          <w:sz w:val="24"/>
        </w:rPr>
        <w:t>2.本项目相关技术人员需对陕西省高速公路监控、GIS系统结构、业务现状、安全隐患情况充分熟悉、具备系统运维、升级等相关系统维护服务从业能力，具有丰富的系统维护报务经验。</w:t>
      </w:r>
    </w:p>
    <w:p>
      <w:pPr>
        <w:widowControl/>
        <w:snapToGrid w:val="0"/>
        <w:spacing w:line="360" w:lineRule="auto"/>
        <w:ind w:firstLine="480"/>
        <w:rPr>
          <w:rFonts w:hint="eastAsia" w:ascii="宋体" w:hAnsi="宋体" w:cs="宋体"/>
          <w:sz w:val="24"/>
        </w:rPr>
      </w:pPr>
      <w:r>
        <w:rPr>
          <w:rFonts w:hint="eastAsia" w:ascii="宋体" w:hAnsi="宋体" w:cs="宋体"/>
          <w:sz w:val="24"/>
        </w:rPr>
        <w:t>3.系统维护服务商需派遣不少于3名工程师作为本维护服务项目的驻场维护人员，工作日和重大节假日在采购人所在地驻场维护，驻场工程师需具备系统运维保障能力至少两年以上系统维护保障项目实施经验。</w:t>
      </w:r>
    </w:p>
    <w:p>
      <w:pPr>
        <w:widowControl/>
        <w:snapToGrid w:val="0"/>
        <w:spacing w:line="360" w:lineRule="auto"/>
        <w:ind w:firstLine="480"/>
        <w:rPr>
          <w:rFonts w:hint="eastAsia" w:ascii="宋体" w:hAnsi="宋体" w:cs="宋体"/>
          <w:sz w:val="24"/>
        </w:rPr>
      </w:pPr>
      <w:r>
        <w:rPr>
          <w:rFonts w:hint="eastAsia" w:ascii="宋体" w:hAnsi="宋体" w:cs="宋体"/>
          <w:sz w:val="24"/>
        </w:rPr>
        <w:t>4.所报核心服务人员一旦确定，不能擅自更改。项目确定后，必须保证所有人员的现场支持和工作饱和。</w:t>
      </w:r>
    </w:p>
    <w:p>
      <w:pPr>
        <w:spacing w:line="600" w:lineRule="exact"/>
        <w:rPr>
          <w:rFonts w:hint="eastAsia" w:hAnsi="宋体" w:cs="宋体"/>
          <w:b/>
          <w:sz w:val="28"/>
          <w:szCs w:val="28"/>
        </w:rPr>
      </w:pPr>
      <w:r>
        <w:rPr>
          <w:rFonts w:hint="eastAsia" w:hAnsi="宋体" w:cs="宋体"/>
          <w:b/>
          <w:sz w:val="28"/>
          <w:szCs w:val="28"/>
        </w:rPr>
        <w:t>六、项目服务时间及支付方式</w:t>
      </w:r>
    </w:p>
    <w:p>
      <w:pPr>
        <w:spacing w:line="360" w:lineRule="auto"/>
        <w:ind w:firstLine="480" w:firstLineChars="200"/>
        <w:rPr>
          <w:rFonts w:hint="eastAsia" w:hAnsi="宋体"/>
          <w:sz w:val="24"/>
          <w:highlight w:val="none"/>
          <w:rPrChange w:id="44" w:author="遇见@多多" w:date="2021-07-21T11:27:50Z">
            <w:rPr>
              <w:rFonts w:hint="eastAsia" w:hAnsi="宋体"/>
              <w:sz w:val="24"/>
              <w:highlight w:val="yellow"/>
            </w:rPr>
          </w:rPrChange>
        </w:rPr>
      </w:pPr>
      <w:r>
        <w:rPr>
          <w:rFonts w:hint="eastAsia" w:hAnsi="宋体"/>
          <w:sz w:val="24"/>
          <w:highlight w:val="none"/>
          <w:rPrChange w:id="45" w:author="遇见@多多" w:date="2021-07-21T11:27:50Z">
            <w:rPr>
              <w:rFonts w:hint="eastAsia" w:hAnsi="宋体"/>
              <w:sz w:val="24"/>
              <w:highlight w:val="yellow"/>
            </w:rPr>
          </w:rPrChange>
        </w:rPr>
        <w:t>1、服务时间</w:t>
      </w:r>
    </w:p>
    <w:p>
      <w:pPr>
        <w:spacing w:line="360" w:lineRule="auto"/>
        <w:ind w:firstLine="480" w:firstLineChars="200"/>
        <w:rPr>
          <w:del w:id="46" w:author="遇见@多多" w:date="2021-07-21T11:27:40Z"/>
          <w:rFonts w:hint="eastAsia" w:hAnsi="宋体"/>
          <w:sz w:val="24"/>
          <w:highlight w:val="none"/>
          <w:rPrChange w:id="47" w:author="遇见@多多" w:date="2021-07-21T11:27:50Z">
            <w:rPr>
              <w:del w:id="48" w:author="遇见@多多" w:date="2021-07-21T11:27:40Z"/>
              <w:rFonts w:hint="eastAsia" w:hAnsi="宋体"/>
              <w:sz w:val="24"/>
              <w:highlight w:val="yellow"/>
            </w:rPr>
          </w:rPrChange>
        </w:rPr>
      </w:pPr>
      <w:ins w:id="49" w:author="遇见@多多" w:date="2021-07-21T11:27:40Z">
        <w:r>
          <w:rPr>
            <w:rFonts w:hint="eastAsia" w:hAnsi="宋体"/>
            <w:sz w:val="24"/>
            <w:highlight w:val="none"/>
            <w:lang w:eastAsia="zh-CN"/>
            <w:rPrChange w:id="50" w:author="遇见@多多" w:date="2021-07-21T11:27:50Z">
              <w:rPr>
                <w:rFonts w:hint="eastAsia" w:hAnsi="宋体"/>
                <w:sz w:val="24"/>
                <w:lang w:eastAsia="zh-CN"/>
              </w:rPr>
            </w:rPrChange>
          </w:rPr>
          <w:t>自合同签订之日起一年</w:t>
        </w:r>
      </w:ins>
      <w:del w:id="51" w:author="遇见@多多" w:date="2021-07-21T11:27:40Z">
        <w:r>
          <w:rPr>
            <w:rFonts w:hint="eastAsia" w:hAnsi="宋体"/>
            <w:sz w:val="24"/>
            <w:highlight w:val="none"/>
            <w:rPrChange w:id="52" w:author="遇见@多多" w:date="2021-07-21T11:27:50Z">
              <w:rPr>
                <w:rFonts w:hint="eastAsia" w:hAnsi="宋体"/>
                <w:sz w:val="24"/>
                <w:highlight w:val="yellow"/>
              </w:rPr>
            </w:rPrChange>
          </w:rPr>
          <w:delText>2021年  月  日至2022年  月  日</w:delText>
        </w:r>
      </w:del>
    </w:p>
    <w:p>
      <w:pPr>
        <w:spacing w:line="360" w:lineRule="auto"/>
        <w:ind w:firstLine="480" w:firstLineChars="200"/>
        <w:rPr>
          <w:ins w:id="53" w:author="遇见@多多" w:date="2021-07-21T11:27:41Z"/>
          <w:rFonts w:hint="eastAsia" w:hAnsi="宋体"/>
          <w:sz w:val="24"/>
          <w:highlight w:val="none"/>
          <w:rPrChange w:id="54" w:author="遇见@多多" w:date="2021-07-21T11:27:50Z">
            <w:rPr>
              <w:ins w:id="55" w:author="遇见@多多" w:date="2021-07-21T11:27:41Z"/>
              <w:rFonts w:hint="eastAsia" w:hAnsi="宋体"/>
              <w:sz w:val="24"/>
              <w:highlight w:val="yellow"/>
            </w:rPr>
          </w:rPrChange>
        </w:rPr>
      </w:pPr>
    </w:p>
    <w:p>
      <w:pPr>
        <w:spacing w:line="360" w:lineRule="auto"/>
        <w:ind w:firstLine="480" w:firstLineChars="200"/>
        <w:rPr>
          <w:rFonts w:hint="eastAsia" w:hAnsi="宋体"/>
          <w:sz w:val="24"/>
          <w:highlight w:val="none"/>
          <w:rPrChange w:id="56" w:author="遇见@多多" w:date="2021-07-21T11:27:50Z">
            <w:rPr>
              <w:rFonts w:hint="eastAsia" w:hAnsi="宋体"/>
              <w:sz w:val="24"/>
              <w:highlight w:val="yellow"/>
            </w:rPr>
          </w:rPrChange>
        </w:rPr>
      </w:pPr>
      <w:r>
        <w:rPr>
          <w:rFonts w:hint="eastAsia" w:hAnsi="宋体"/>
          <w:sz w:val="24"/>
          <w:highlight w:val="none"/>
          <w:rPrChange w:id="57" w:author="遇见@多多" w:date="2021-07-21T11:27:50Z">
            <w:rPr>
              <w:rFonts w:hint="eastAsia" w:hAnsi="宋体"/>
              <w:sz w:val="24"/>
              <w:highlight w:val="yellow"/>
            </w:rPr>
          </w:rPrChange>
        </w:rPr>
        <w:t>2、支付方式</w:t>
      </w:r>
    </w:p>
    <w:p>
      <w:pPr>
        <w:spacing w:line="360" w:lineRule="auto"/>
        <w:ind w:firstLine="480" w:firstLineChars="200"/>
        <w:rPr>
          <w:rFonts w:hAnsi="宋体"/>
          <w:color w:val="FF0000"/>
          <w:sz w:val="24"/>
          <w:highlight w:val="none"/>
          <w:rPrChange w:id="58" w:author="遇见@多多" w:date="2021-07-21T11:27:50Z">
            <w:rPr>
              <w:rFonts w:hAnsi="宋体"/>
              <w:color w:val="FF0000"/>
              <w:sz w:val="24"/>
            </w:rPr>
          </w:rPrChange>
        </w:rPr>
      </w:pPr>
      <w:r>
        <w:rPr>
          <w:rFonts w:hint="eastAsia" w:hAnsi="宋体"/>
          <w:sz w:val="24"/>
          <w:highlight w:val="none"/>
          <w:rPrChange w:id="59" w:author="遇见@多多" w:date="2021-07-21T11:27:50Z">
            <w:rPr>
              <w:rFonts w:hint="eastAsia" w:hAnsi="宋体"/>
              <w:sz w:val="24"/>
              <w:highlight w:val="yellow"/>
            </w:rPr>
          </w:rPrChange>
        </w:rPr>
        <w:t>本项目维护费用的支付方式为：2021年  月   日之前15个工作日内，支付第一次服务费人民币xxx元整（￥xxx.00元）；2021年  月  日之后15个工作日内，支付第二次服务费人民币xxx元整（￥xxx.00元）；项目验收合格后15个工作日支付剩余服务费人民币xxx元整（￥xxx.00元）。</w:t>
      </w:r>
    </w:p>
    <w:p>
      <w:pPr>
        <w:pStyle w:val="3"/>
        <w:spacing w:line="350" w:lineRule="auto"/>
        <w:rPr>
          <w:rFonts w:hint="eastAsia" w:cs="宋体"/>
          <w:color w:val="000000"/>
        </w:rPr>
      </w:pPr>
      <w:r>
        <w:rPr>
          <w:rFonts w:hint="eastAsia"/>
          <w:sz w:val="44"/>
          <w:szCs w:val="44"/>
        </w:rPr>
        <w:br w:type="page"/>
      </w:r>
      <w:bookmarkStart w:id="93" w:name="_Toc26300496"/>
      <w:bookmarkStart w:id="94" w:name="_Toc26291041"/>
      <w:bookmarkStart w:id="95" w:name="_Toc31326"/>
      <w:bookmarkStart w:id="96" w:name="_Toc23530"/>
      <w:r>
        <w:rPr>
          <w:rFonts w:hint="eastAsia" w:cs="宋体"/>
          <w:color w:val="000000"/>
        </w:rPr>
        <w:t xml:space="preserve">第五章  </w:t>
      </w:r>
      <w:bookmarkEnd w:id="90"/>
      <w:bookmarkEnd w:id="93"/>
      <w:bookmarkEnd w:id="94"/>
      <w:bookmarkEnd w:id="95"/>
      <w:r>
        <w:rPr>
          <w:rFonts w:hint="eastAsia" w:cs="宋体"/>
          <w:color w:val="000000"/>
        </w:rPr>
        <w:t>合同条款及格式</w:t>
      </w:r>
      <w:bookmarkEnd w:id="96"/>
    </w:p>
    <w:p>
      <w:pPr>
        <w:jc w:val="center"/>
        <w:rPr>
          <w:rFonts w:hAnsi="宋体" w:cs="宋体"/>
          <w:b/>
          <w:bCs/>
          <w:color w:val="000000"/>
          <w:sz w:val="44"/>
          <w:szCs w:val="48"/>
        </w:rPr>
      </w:pPr>
      <w:r>
        <w:rPr>
          <w:rFonts w:hint="eastAsia"/>
          <w:b/>
          <w:bCs/>
          <w:sz w:val="48"/>
          <w:szCs w:val="48"/>
        </w:rPr>
        <w:t>陕西省高速公路收费中心监控、GIS系统维护服务</w:t>
      </w:r>
      <w:r>
        <w:rPr>
          <w:rFonts w:hint="eastAsia" w:hAnsi="宋体" w:cs="宋体"/>
          <w:b/>
          <w:bCs/>
          <w:color w:val="000000"/>
          <w:sz w:val="44"/>
          <w:szCs w:val="48"/>
        </w:rPr>
        <w:t>合同</w:t>
      </w:r>
    </w:p>
    <w:p>
      <w:pPr>
        <w:jc w:val="center"/>
        <w:rPr>
          <w:rFonts w:hAnsi="宋体" w:cs="宋体"/>
          <w:b/>
          <w:bCs/>
          <w:sz w:val="44"/>
          <w:szCs w:val="44"/>
        </w:rPr>
      </w:pPr>
    </w:p>
    <w:p>
      <w:pPr>
        <w:rPr>
          <w:rFonts w:hAnsi="宋体" w:cs="宋体"/>
        </w:rPr>
      </w:pPr>
    </w:p>
    <w:p>
      <w:pPr>
        <w:rPr>
          <w:rFonts w:hAnsi="宋体" w:cs="宋体"/>
        </w:rPr>
      </w:pPr>
    </w:p>
    <w:p>
      <w:pPr>
        <w:rPr>
          <w:rFonts w:hAnsi="宋体" w:cs="宋体"/>
        </w:rPr>
      </w:pPr>
    </w:p>
    <w:p>
      <w:pPr>
        <w:rPr>
          <w:rFonts w:hAnsi="宋体" w:cs="宋体"/>
        </w:rPr>
      </w:pPr>
    </w:p>
    <w:p>
      <w:pPr>
        <w:jc w:val="center"/>
        <w:rPr>
          <w:rFonts w:hAnsi="宋体" w:cs="宋体"/>
          <w:b/>
          <w:bCs/>
          <w:color w:val="000000"/>
          <w:sz w:val="48"/>
          <w:szCs w:val="48"/>
        </w:rPr>
      </w:pPr>
      <w:r>
        <w:rPr>
          <w:rFonts w:hint="eastAsia" w:hAnsi="宋体" w:cs="宋体"/>
          <w:b/>
          <w:bCs/>
          <w:color w:val="000000"/>
          <w:sz w:val="48"/>
          <w:szCs w:val="48"/>
        </w:rPr>
        <w:t>（示范文本）</w:t>
      </w:r>
    </w:p>
    <w:p>
      <w:pPr>
        <w:spacing w:line="560" w:lineRule="exact"/>
        <w:jc w:val="center"/>
        <w:rPr>
          <w:rFonts w:ascii="仿宋_GB2312" w:hAnsi="仿宋" w:eastAsia="仿宋_GB2312"/>
          <w:b/>
          <w:bCs/>
          <w:sz w:val="28"/>
          <w:szCs w:val="28"/>
        </w:rPr>
      </w:pPr>
      <w:r>
        <w:rPr>
          <w:rFonts w:hint="eastAsia" w:hAnsi="宋体" w:cs="宋体"/>
          <w:bCs/>
          <w:sz w:val="48"/>
          <w:szCs w:val="48"/>
        </w:rPr>
        <w:br w:type="page"/>
      </w:r>
      <w:r>
        <w:rPr>
          <w:rFonts w:hint="eastAsia" w:ascii="黑体" w:hAnsi="黑体" w:eastAsia="黑体"/>
          <w:b/>
          <w:bCs/>
          <w:sz w:val="28"/>
          <w:szCs w:val="36"/>
        </w:rPr>
        <w:t>政府采购合同格式</w:t>
      </w:r>
    </w:p>
    <w:p>
      <w:pPr>
        <w:spacing w:line="360" w:lineRule="auto"/>
        <w:rPr>
          <w:rFonts w:hAnsi="宋体"/>
          <w:sz w:val="24"/>
        </w:rPr>
      </w:pPr>
      <w:r>
        <w:rPr>
          <w:rFonts w:hint="eastAsia" w:hAnsi="宋体"/>
          <w:sz w:val="24"/>
        </w:rPr>
        <w:t xml:space="preserve">合同编号： </w:t>
      </w:r>
    </w:p>
    <w:p>
      <w:pPr>
        <w:spacing w:line="360" w:lineRule="auto"/>
        <w:rPr>
          <w:rFonts w:hAnsi="宋体"/>
          <w:sz w:val="24"/>
        </w:rPr>
      </w:pPr>
      <w:r>
        <w:rPr>
          <w:rFonts w:hint="eastAsia" w:hAnsi="宋体"/>
          <w:sz w:val="24"/>
        </w:rPr>
        <w:t xml:space="preserve">签订地点： </w:t>
      </w:r>
    </w:p>
    <w:p>
      <w:pPr>
        <w:spacing w:line="360" w:lineRule="auto"/>
        <w:rPr>
          <w:rFonts w:hAnsi="宋体"/>
          <w:sz w:val="24"/>
        </w:rPr>
      </w:pPr>
      <w:r>
        <w:rPr>
          <w:rFonts w:hint="eastAsia" w:hAnsi="宋体"/>
          <w:sz w:val="24"/>
        </w:rPr>
        <w:t>签订时间:</w:t>
      </w:r>
    </w:p>
    <w:p>
      <w:pPr>
        <w:spacing w:line="360" w:lineRule="auto"/>
        <w:rPr>
          <w:rFonts w:hAnsi="宋体"/>
          <w:sz w:val="24"/>
        </w:rPr>
      </w:pPr>
      <w:r>
        <w:rPr>
          <w:rFonts w:hint="eastAsia" w:hAnsi="宋体"/>
          <w:sz w:val="24"/>
        </w:rPr>
        <w:t>采购人（甲方）：</w:t>
      </w:r>
    </w:p>
    <w:p>
      <w:pPr>
        <w:spacing w:line="360" w:lineRule="auto"/>
        <w:rPr>
          <w:rFonts w:hAnsi="宋体"/>
          <w:sz w:val="24"/>
        </w:rPr>
      </w:pPr>
      <w:r>
        <w:rPr>
          <w:rFonts w:hint="eastAsia" w:hAnsi="宋体"/>
          <w:sz w:val="24"/>
        </w:rPr>
        <w:t>供应商（乙方）：</w:t>
      </w:r>
    </w:p>
    <w:p>
      <w:pPr>
        <w:spacing w:line="360" w:lineRule="auto"/>
        <w:ind w:firstLine="480" w:firstLineChars="200"/>
        <w:rPr>
          <w:rFonts w:hAnsi="宋体"/>
          <w:sz w:val="24"/>
        </w:rPr>
      </w:pPr>
      <w:r>
        <w:rPr>
          <w:rFonts w:hint="eastAsia" w:hAnsi="宋体"/>
          <w:sz w:val="24"/>
        </w:rPr>
        <w:t>根据《中华人民共和国政府采购法》及实施条例、《中华人民共和国民法典》和甲方          采购项目（采购项目编号：          ）的竞争性磋商文件、竞争性磋商响应文件等有关规定，为确保甲方采购项目的顺利实施，甲、乙双方在平等自愿原则下签订本合同，并共同遵守如下条款：</w:t>
      </w:r>
    </w:p>
    <w:p>
      <w:pPr>
        <w:spacing w:line="360" w:lineRule="auto"/>
        <w:ind w:firstLine="482" w:firstLineChars="200"/>
        <w:rPr>
          <w:rFonts w:hAnsi="宋体"/>
          <w:b/>
          <w:bCs/>
          <w:sz w:val="24"/>
        </w:rPr>
      </w:pPr>
      <w:r>
        <w:rPr>
          <w:rFonts w:hint="eastAsia" w:hAnsi="宋体"/>
          <w:b/>
          <w:bCs/>
          <w:sz w:val="24"/>
        </w:rPr>
        <w:t>第一条 合同期限：</w:t>
      </w:r>
      <w:del w:id="60" w:author="遇见@多多" w:date="2021-07-21T11:27:14Z">
        <w:r>
          <w:rPr>
            <w:rFonts w:hint="eastAsia" w:hAnsi="宋体"/>
            <w:sz w:val="24"/>
          </w:rPr>
          <w:delText>2021年  月  日至2022年  月  日</w:delText>
        </w:r>
      </w:del>
      <w:ins w:id="61" w:author="遇见@多多" w:date="2021-07-21T11:27:14Z">
        <w:r>
          <w:rPr>
            <w:rFonts w:hint="eastAsia" w:hAnsi="宋体"/>
            <w:sz w:val="24"/>
            <w:lang w:eastAsia="zh-CN"/>
          </w:rPr>
          <w:t>自合同</w:t>
        </w:r>
      </w:ins>
      <w:ins w:id="62" w:author="遇见@多多" w:date="2021-07-21T11:27:22Z">
        <w:r>
          <w:rPr>
            <w:rFonts w:hint="eastAsia" w:hAnsi="宋体"/>
            <w:sz w:val="24"/>
            <w:lang w:eastAsia="zh-CN"/>
          </w:rPr>
          <w:t>签订之日起</w:t>
        </w:r>
      </w:ins>
      <w:ins w:id="63" w:author="遇见@多多" w:date="2021-07-21T11:27:24Z">
        <w:r>
          <w:rPr>
            <w:rFonts w:hint="eastAsia" w:hAnsi="宋体"/>
            <w:sz w:val="24"/>
            <w:lang w:eastAsia="zh-CN"/>
          </w:rPr>
          <w:t>一年</w:t>
        </w:r>
      </w:ins>
      <w:r>
        <w:rPr>
          <w:rFonts w:hint="eastAsia" w:hAnsi="宋体"/>
          <w:b/>
          <w:bCs/>
          <w:sz w:val="24"/>
        </w:rPr>
        <w:t xml:space="preserve">             </w:t>
      </w:r>
    </w:p>
    <w:p>
      <w:pPr>
        <w:spacing w:line="360" w:lineRule="auto"/>
        <w:ind w:firstLine="482" w:firstLineChars="200"/>
      </w:pPr>
      <w:r>
        <w:rPr>
          <w:rFonts w:hint="eastAsia" w:hAnsi="宋体"/>
          <w:b/>
          <w:bCs/>
          <w:sz w:val="24"/>
        </w:rPr>
        <w:t>第二条 服务内容：</w:t>
      </w:r>
      <w:r>
        <w:rPr>
          <w:rFonts w:hint="eastAsia" w:hAnsi="宋体"/>
          <w:sz w:val="24"/>
        </w:rPr>
        <w:t>陕西省高速收费中心综合监控、GIS系统维护服务</w:t>
      </w:r>
      <w:r>
        <w:rPr>
          <w:rFonts w:hint="eastAsia" w:hAnsi="宋体"/>
          <w:b/>
          <w:bCs/>
          <w:sz w:val="24"/>
        </w:rPr>
        <w:t xml:space="preserve"> </w:t>
      </w:r>
    </w:p>
    <w:p>
      <w:pPr>
        <w:spacing w:line="360" w:lineRule="auto"/>
        <w:ind w:firstLine="482" w:firstLineChars="200"/>
        <w:rPr>
          <w:rFonts w:hAnsi="宋体"/>
          <w:b/>
          <w:bCs/>
          <w:sz w:val="24"/>
        </w:rPr>
      </w:pPr>
      <w:r>
        <w:rPr>
          <w:rFonts w:hint="eastAsia" w:hAnsi="宋体"/>
          <w:b/>
          <w:bCs/>
          <w:sz w:val="24"/>
        </w:rPr>
        <w:t>第三条 服务费用</w:t>
      </w:r>
    </w:p>
    <w:p>
      <w:pPr>
        <w:spacing w:line="360" w:lineRule="auto"/>
        <w:ind w:firstLine="482" w:firstLineChars="200"/>
        <w:rPr>
          <w:rFonts w:hAnsi="宋体"/>
          <w:b/>
          <w:bCs/>
          <w:sz w:val="24"/>
        </w:rPr>
      </w:pPr>
      <w:r>
        <w:rPr>
          <w:rFonts w:hint="eastAsia" w:hAnsi="宋体"/>
          <w:b/>
          <w:bCs/>
          <w:sz w:val="24"/>
        </w:rPr>
        <w:t>1.服务总费用为人民币大写：        元， RMB￥        元。</w:t>
      </w:r>
    </w:p>
    <w:p>
      <w:pPr>
        <w:spacing w:line="360" w:lineRule="auto"/>
        <w:ind w:firstLine="480" w:firstLineChars="200"/>
        <w:rPr>
          <w:rFonts w:hAnsi="宋体"/>
          <w:sz w:val="24"/>
        </w:rPr>
      </w:pPr>
      <w:r>
        <w:rPr>
          <w:rFonts w:hint="eastAsia" w:hAnsi="宋体"/>
          <w:sz w:val="24"/>
        </w:rPr>
        <w:t>2.本合同执行期间服务总费用不变，甲方无须另向乙方支付本合同规定之外的其他任何费用。</w:t>
      </w:r>
    </w:p>
    <w:p>
      <w:pPr>
        <w:spacing w:line="360" w:lineRule="auto"/>
        <w:ind w:firstLine="482" w:firstLineChars="200"/>
        <w:rPr>
          <w:rFonts w:hAnsi="宋体"/>
          <w:b/>
          <w:bCs/>
          <w:sz w:val="24"/>
        </w:rPr>
      </w:pPr>
      <w:r>
        <w:rPr>
          <w:rFonts w:hint="eastAsia" w:hAnsi="宋体"/>
          <w:b/>
          <w:bCs/>
          <w:sz w:val="24"/>
        </w:rPr>
        <w:t>第四条  服务费支付方式</w:t>
      </w:r>
    </w:p>
    <w:p>
      <w:pPr>
        <w:spacing w:line="360" w:lineRule="auto"/>
        <w:ind w:firstLine="480" w:firstLineChars="200"/>
        <w:rPr>
          <w:rFonts w:hAnsi="宋体"/>
          <w:sz w:val="24"/>
        </w:rPr>
      </w:pPr>
      <w:r>
        <w:rPr>
          <w:rFonts w:hint="eastAsia" w:hAnsi="宋体"/>
          <w:sz w:val="24"/>
        </w:rPr>
        <w:t>1.服务费支付方式：</w:t>
      </w:r>
    </w:p>
    <w:p>
      <w:pPr>
        <w:spacing w:line="360" w:lineRule="auto"/>
        <w:ind w:firstLine="480" w:firstLineChars="200"/>
        <w:rPr>
          <w:rFonts w:hAnsi="宋体"/>
          <w:color w:val="FF0000"/>
          <w:sz w:val="24"/>
          <w:highlight w:val="none"/>
          <w:rPrChange w:id="64" w:author="遇见@多多" w:date="2021-07-21T11:28:03Z">
            <w:rPr>
              <w:rFonts w:hAnsi="宋体"/>
              <w:color w:val="FF0000"/>
              <w:sz w:val="24"/>
              <w:highlight w:val="yellow"/>
            </w:rPr>
          </w:rPrChange>
        </w:rPr>
      </w:pPr>
      <w:r>
        <w:rPr>
          <w:rFonts w:hint="eastAsia" w:hAnsi="宋体"/>
          <w:sz w:val="24"/>
          <w:highlight w:val="none"/>
          <w:rPrChange w:id="65" w:author="遇见@多多" w:date="2021-07-21T11:28:03Z">
            <w:rPr>
              <w:rFonts w:hint="eastAsia" w:hAnsi="宋体"/>
              <w:sz w:val="24"/>
              <w:highlight w:val="yellow"/>
            </w:rPr>
          </w:rPrChange>
        </w:rPr>
        <w:t>本项目维护费用的支付方式为：2021年  月  日之前15个工作日内，支付第一次服务费人民币xxx元整（￥xxx.00元）；2021年  月  日之后15个工作日内，支付第二次服务费人民币xxx元整（￥xxx.00元）；项目验收合格后15个工作日支付剩余服务费人民币xxx元整（￥xxx.00元）</w:t>
      </w:r>
      <w:r>
        <w:rPr>
          <w:rFonts w:hAnsi="宋体" w:cs="宋体"/>
          <w:sz w:val="24"/>
          <w:highlight w:val="none"/>
          <w:rPrChange w:id="66" w:author="遇见@多多" w:date="2021-07-21T11:28:03Z">
            <w:rPr>
              <w:rFonts w:hAnsi="宋体" w:cs="宋体"/>
              <w:sz w:val="24"/>
              <w:highlight w:val="yellow"/>
            </w:rPr>
          </w:rPrChange>
        </w:rPr>
        <w:t>。</w:t>
      </w:r>
    </w:p>
    <w:p>
      <w:pPr>
        <w:spacing w:line="360" w:lineRule="auto"/>
        <w:ind w:firstLine="480" w:firstLineChars="200"/>
        <w:rPr>
          <w:rFonts w:hAnsi="宋体"/>
          <w:sz w:val="24"/>
        </w:rPr>
      </w:pPr>
      <w:r>
        <w:rPr>
          <w:rFonts w:hint="eastAsia" w:hAnsi="宋体"/>
          <w:sz w:val="24"/>
        </w:rPr>
        <w:t>2.乙方须向甲方出具合法有效的完税发票，甲方进行支付结算。</w:t>
      </w:r>
    </w:p>
    <w:p>
      <w:pPr>
        <w:spacing w:line="360" w:lineRule="auto"/>
        <w:ind w:firstLine="480" w:firstLineChars="200"/>
        <w:rPr>
          <w:rFonts w:hAnsi="宋体"/>
          <w:sz w:val="24"/>
        </w:rPr>
      </w:pPr>
      <w:r>
        <w:rPr>
          <w:rFonts w:hint="eastAsia" w:hAnsi="宋体"/>
          <w:sz w:val="24"/>
        </w:rPr>
        <w:t>3.结算方式：银行转账。</w:t>
      </w:r>
    </w:p>
    <w:p>
      <w:pPr>
        <w:spacing w:line="360" w:lineRule="auto"/>
        <w:ind w:firstLine="482" w:firstLineChars="200"/>
        <w:rPr>
          <w:rFonts w:hAnsi="宋体"/>
          <w:b/>
          <w:bCs/>
          <w:sz w:val="24"/>
        </w:rPr>
      </w:pPr>
      <w:r>
        <w:rPr>
          <w:rFonts w:hint="eastAsia" w:hAnsi="宋体"/>
          <w:b/>
          <w:bCs/>
          <w:sz w:val="24"/>
        </w:rPr>
        <w:t>第五条   知识产权</w:t>
      </w:r>
    </w:p>
    <w:p>
      <w:pPr>
        <w:spacing w:line="360" w:lineRule="auto"/>
        <w:ind w:firstLine="480" w:firstLineChars="200"/>
        <w:rPr>
          <w:rFonts w:hAnsi="宋体"/>
          <w:sz w:val="24"/>
        </w:rPr>
      </w:pPr>
      <w:r>
        <w:rPr>
          <w:rFonts w:hint="eastAsia" w:hAnsi="宋体"/>
          <w:sz w:val="24"/>
        </w:rPr>
        <w:t>乙方应保证所提供的服务或其任何一部分均不会侵犯任何第三方的专利权、商标权或著作权。</w:t>
      </w:r>
    </w:p>
    <w:p>
      <w:pPr>
        <w:spacing w:line="360" w:lineRule="auto"/>
        <w:ind w:firstLine="482" w:firstLineChars="200"/>
        <w:rPr>
          <w:rFonts w:hAnsi="宋体"/>
          <w:b/>
          <w:bCs/>
          <w:sz w:val="24"/>
        </w:rPr>
      </w:pPr>
      <w:r>
        <w:rPr>
          <w:rFonts w:hint="eastAsia" w:hAnsi="宋体"/>
          <w:b/>
          <w:bCs/>
          <w:sz w:val="24"/>
        </w:rPr>
        <w:t>第六条  无产权瑕疵条款</w:t>
      </w:r>
    </w:p>
    <w:p>
      <w:pPr>
        <w:spacing w:line="360" w:lineRule="auto"/>
        <w:ind w:firstLine="480" w:firstLineChars="200"/>
        <w:rPr>
          <w:rFonts w:hAnsi="宋体"/>
          <w:sz w:val="24"/>
        </w:rPr>
      </w:pPr>
      <w:r>
        <w:rPr>
          <w:rFonts w:hint="eastAsia" w:hAnsi="宋体"/>
          <w:sz w:val="24"/>
        </w:rPr>
        <w:t>乙方保证所提供的服务的所有权完全属于乙方且无任何抵押、查封等产权瑕疵。如有产权瑕疵的，视为乙方违约。乙方应负担由此而产生的一切损失。</w:t>
      </w:r>
    </w:p>
    <w:p>
      <w:pPr>
        <w:spacing w:line="360" w:lineRule="auto"/>
        <w:ind w:firstLine="482" w:firstLineChars="200"/>
        <w:rPr>
          <w:rFonts w:hAnsi="宋体"/>
          <w:b/>
          <w:bCs/>
          <w:sz w:val="24"/>
        </w:rPr>
      </w:pPr>
      <w:r>
        <w:rPr>
          <w:rFonts w:hint="eastAsia" w:hAnsi="宋体"/>
          <w:b/>
          <w:bCs/>
          <w:sz w:val="24"/>
        </w:rPr>
        <w:t>第七条  甲方的权利和义务</w:t>
      </w:r>
    </w:p>
    <w:p>
      <w:pPr>
        <w:spacing w:line="360" w:lineRule="auto"/>
        <w:ind w:firstLine="480" w:firstLineChars="200"/>
        <w:rPr>
          <w:rFonts w:hAnsi="宋体"/>
          <w:sz w:val="24"/>
        </w:rPr>
      </w:pPr>
      <w:r>
        <w:rPr>
          <w:rFonts w:hint="eastAsia" w:hAnsi="宋体"/>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80" w:firstLineChars="200"/>
        <w:rPr>
          <w:rFonts w:hAnsi="宋体"/>
          <w:sz w:val="24"/>
        </w:rPr>
      </w:pPr>
      <w:r>
        <w:rPr>
          <w:rFonts w:hint="eastAsia" w:hAnsi="宋体"/>
          <w:sz w:val="24"/>
        </w:rPr>
        <w:t>2.甲方有权依据双方签订的考评办法对乙方提供的服务进行定期考评。当考评结果未达到标准时，有权依据考评办法约定的数额扣除履约保证金。</w:t>
      </w:r>
    </w:p>
    <w:p>
      <w:pPr>
        <w:spacing w:line="360" w:lineRule="auto"/>
        <w:ind w:firstLine="480" w:firstLineChars="200"/>
        <w:rPr>
          <w:rFonts w:hAnsi="宋体"/>
          <w:sz w:val="24"/>
        </w:rPr>
      </w:pPr>
      <w:r>
        <w:rPr>
          <w:rFonts w:hint="eastAsia" w:hAnsi="宋体"/>
          <w:sz w:val="24"/>
        </w:rPr>
        <w:t>3.负责检查监督乙方管理工作的实施及制度的执行情况。</w:t>
      </w:r>
    </w:p>
    <w:p>
      <w:pPr>
        <w:spacing w:line="360" w:lineRule="auto"/>
        <w:ind w:firstLine="480" w:firstLineChars="200"/>
        <w:rPr>
          <w:rFonts w:hAnsi="宋体"/>
          <w:sz w:val="24"/>
        </w:rPr>
      </w:pPr>
      <w:r>
        <w:rPr>
          <w:rFonts w:hint="eastAsia" w:hAnsi="宋体"/>
          <w:sz w:val="24"/>
        </w:rPr>
        <w:t>4.根据本合同规定，按时向乙方支付应付服务费用。</w:t>
      </w:r>
    </w:p>
    <w:p>
      <w:pPr>
        <w:spacing w:line="360" w:lineRule="auto"/>
        <w:ind w:firstLine="480" w:firstLineChars="200"/>
        <w:rPr>
          <w:rFonts w:hAnsi="宋体"/>
          <w:sz w:val="24"/>
        </w:rPr>
      </w:pPr>
      <w:r>
        <w:rPr>
          <w:rFonts w:hint="eastAsia" w:hAnsi="宋体"/>
          <w:sz w:val="24"/>
        </w:rPr>
        <w:t>5.国家法律、法规所规定由甲方承担的其它责任。</w:t>
      </w:r>
    </w:p>
    <w:p>
      <w:pPr>
        <w:spacing w:line="360" w:lineRule="auto"/>
        <w:ind w:firstLine="482" w:firstLineChars="200"/>
        <w:rPr>
          <w:rFonts w:hAnsi="宋体"/>
          <w:b/>
          <w:bCs/>
          <w:sz w:val="24"/>
        </w:rPr>
      </w:pPr>
      <w:r>
        <w:rPr>
          <w:rFonts w:hint="eastAsia" w:hAnsi="宋体"/>
          <w:b/>
          <w:bCs/>
          <w:sz w:val="24"/>
        </w:rPr>
        <w:t>第八条  乙方的权利和义务</w:t>
      </w:r>
    </w:p>
    <w:p>
      <w:pPr>
        <w:spacing w:line="360" w:lineRule="auto"/>
        <w:ind w:firstLine="480" w:firstLineChars="200"/>
        <w:rPr>
          <w:rFonts w:hAnsi="宋体"/>
          <w:sz w:val="24"/>
        </w:rPr>
      </w:pPr>
      <w:r>
        <w:rPr>
          <w:rFonts w:hint="eastAsia" w:hAnsi="宋体"/>
          <w:sz w:val="24"/>
        </w:rPr>
        <w:t>1.对本合同规定的委托服务范围内的项目享有管理权及服务义务。</w:t>
      </w:r>
    </w:p>
    <w:p>
      <w:pPr>
        <w:spacing w:line="360" w:lineRule="auto"/>
        <w:ind w:firstLine="480" w:firstLineChars="200"/>
        <w:rPr>
          <w:rFonts w:hAnsi="宋体"/>
          <w:sz w:val="24"/>
        </w:rPr>
      </w:pPr>
      <w:r>
        <w:rPr>
          <w:rFonts w:hint="eastAsia" w:hAnsi="宋体"/>
          <w:sz w:val="24"/>
        </w:rPr>
        <w:t>2.根据本合同的规定向甲方收取相关服务费用，并有权在本项目管理范围内管理及合理使用。</w:t>
      </w:r>
    </w:p>
    <w:p>
      <w:pPr>
        <w:spacing w:line="360" w:lineRule="auto"/>
        <w:ind w:firstLine="480" w:firstLineChars="200"/>
        <w:rPr>
          <w:rFonts w:hAnsi="宋体"/>
          <w:sz w:val="24"/>
        </w:rPr>
      </w:pPr>
      <w:r>
        <w:rPr>
          <w:rFonts w:hint="eastAsia" w:hAnsi="宋体"/>
          <w:sz w:val="24"/>
        </w:rPr>
        <w:t>3.及时向甲方通告本项目服务范围内有关服务的重大事项，及时配合处理投诉。</w:t>
      </w:r>
    </w:p>
    <w:p>
      <w:pPr>
        <w:spacing w:line="360" w:lineRule="auto"/>
        <w:ind w:firstLine="480" w:firstLineChars="200"/>
        <w:rPr>
          <w:rFonts w:hAnsi="宋体"/>
          <w:sz w:val="24"/>
        </w:rPr>
      </w:pPr>
      <w:r>
        <w:rPr>
          <w:rFonts w:hint="eastAsia" w:hAnsi="宋体"/>
          <w:sz w:val="24"/>
        </w:rPr>
        <w:t>4.接受项目行业管理部门及政府有关部门的指导，接受甲方的监督。</w:t>
      </w:r>
    </w:p>
    <w:p>
      <w:pPr>
        <w:spacing w:line="360" w:lineRule="auto"/>
        <w:ind w:firstLine="480" w:firstLineChars="200"/>
        <w:rPr>
          <w:rFonts w:hAnsi="宋体"/>
          <w:sz w:val="24"/>
        </w:rPr>
      </w:pPr>
      <w:r>
        <w:rPr>
          <w:rFonts w:hint="eastAsia" w:hAnsi="宋体"/>
          <w:sz w:val="24"/>
        </w:rPr>
        <w:t>5.国家法律、法规所规定由乙方承担的其它责任。</w:t>
      </w:r>
    </w:p>
    <w:p>
      <w:pPr>
        <w:spacing w:line="360" w:lineRule="auto"/>
        <w:ind w:firstLine="482" w:firstLineChars="200"/>
        <w:rPr>
          <w:rFonts w:hAnsi="宋体"/>
          <w:b/>
          <w:bCs/>
          <w:sz w:val="24"/>
        </w:rPr>
      </w:pPr>
      <w:r>
        <w:rPr>
          <w:rFonts w:hint="eastAsia" w:hAnsi="宋体"/>
          <w:b/>
          <w:bCs/>
          <w:sz w:val="24"/>
        </w:rPr>
        <w:t>第九条  违约责任</w:t>
      </w:r>
    </w:p>
    <w:p>
      <w:pPr>
        <w:spacing w:line="360" w:lineRule="auto"/>
        <w:ind w:firstLine="480" w:firstLineChars="200"/>
        <w:rPr>
          <w:rFonts w:hAnsi="宋体"/>
          <w:b/>
          <w:bCs/>
          <w:sz w:val="24"/>
        </w:rPr>
      </w:pPr>
      <w:r>
        <w:rPr>
          <w:rFonts w:hint="eastAsia" w:hAnsi="宋体"/>
          <w:sz w:val="24"/>
        </w:rPr>
        <w:t>1.甲乙双方必须遵守本合同并执行合同中的各项规定，保证本合同的正常履行。</w:t>
      </w:r>
    </w:p>
    <w:p>
      <w:pPr>
        <w:spacing w:line="360" w:lineRule="auto"/>
        <w:ind w:firstLine="480" w:firstLineChars="200"/>
        <w:rPr>
          <w:rFonts w:hAnsi="宋体"/>
          <w:sz w:val="24"/>
        </w:rPr>
      </w:pPr>
      <w:r>
        <w:rPr>
          <w:rFonts w:hint="eastAsia" w:hAnsi="宋体"/>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82" w:firstLineChars="200"/>
        <w:rPr>
          <w:rFonts w:hAnsi="宋体"/>
          <w:b/>
          <w:bCs/>
          <w:sz w:val="24"/>
        </w:rPr>
      </w:pPr>
      <w:r>
        <w:rPr>
          <w:rFonts w:hint="eastAsia" w:hAnsi="宋体"/>
          <w:b/>
          <w:bCs/>
          <w:sz w:val="24"/>
        </w:rPr>
        <w:t>第十条  不可抗力事件处理</w:t>
      </w:r>
    </w:p>
    <w:p>
      <w:pPr>
        <w:spacing w:line="360" w:lineRule="auto"/>
        <w:ind w:firstLine="480" w:firstLineChars="200"/>
        <w:rPr>
          <w:rFonts w:hAnsi="宋体"/>
          <w:sz w:val="24"/>
        </w:rPr>
      </w:pPr>
      <w:r>
        <w:rPr>
          <w:rFonts w:hint="eastAsia" w:hAnsi="宋体"/>
          <w:sz w:val="24"/>
        </w:rPr>
        <w:t>1.在合同有效期内，任何一方因不可抗力事件导致不能履行合同，则合同履行期可延长，其延长期与不可抗力影响期相同。</w:t>
      </w:r>
    </w:p>
    <w:p>
      <w:pPr>
        <w:spacing w:line="360" w:lineRule="auto"/>
        <w:ind w:firstLine="480" w:firstLineChars="200"/>
        <w:rPr>
          <w:rFonts w:hAnsi="宋体"/>
          <w:sz w:val="24"/>
        </w:rPr>
      </w:pPr>
      <w:r>
        <w:rPr>
          <w:rFonts w:hint="eastAsia" w:hAnsi="宋体"/>
          <w:sz w:val="24"/>
        </w:rPr>
        <w:t>2.不可抗力事件发生后，应立即通知对方，并寄送有关权威机构出具的证明。</w:t>
      </w:r>
    </w:p>
    <w:p>
      <w:pPr>
        <w:spacing w:line="360" w:lineRule="auto"/>
        <w:ind w:firstLine="480" w:firstLineChars="200"/>
        <w:rPr>
          <w:rFonts w:hAnsi="宋体"/>
          <w:sz w:val="24"/>
        </w:rPr>
      </w:pPr>
      <w:r>
        <w:rPr>
          <w:rFonts w:hint="eastAsia" w:hAnsi="宋体"/>
          <w:sz w:val="24"/>
        </w:rPr>
        <w:t>3.不可抗力事件延续XX天以上，双方应通过友好协商，确定是否继续履行合同。</w:t>
      </w:r>
    </w:p>
    <w:p>
      <w:pPr>
        <w:spacing w:line="360" w:lineRule="auto"/>
        <w:ind w:firstLine="482" w:firstLineChars="200"/>
        <w:rPr>
          <w:rFonts w:hAnsi="宋体"/>
          <w:sz w:val="24"/>
        </w:rPr>
      </w:pPr>
      <w:r>
        <w:rPr>
          <w:rFonts w:hint="eastAsia" w:hAnsi="宋体"/>
          <w:b/>
          <w:bCs/>
          <w:sz w:val="24"/>
        </w:rPr>
        <w:t>第十一条  合同的变更和终止</w:t>
      </w:r>
    </w:p>
    <w:p>
      <w:pPr>
        <w:spacing w:line="360" w:lineRule="auto"/>
        <w:ind w:firstLine="480" w:firstLineChars="200"/>
        <w:rPr>
          <w:rFonts w:hAnsi="宋体"/>
          <w:sz w:val="24"/>
        </w:rPr>
      </w:pPr>
      <w:r>
        <w:rPr>
          <w:rFonts w:hint="eastAsia" w:hAnsi="宋体"/>
          <w:sz w:val="24"/>
        </w:rPr>
        <w:t>除《中华人民共和国政府采购法》第49条、第50条第二款规定的情形外，本合同一经签订，甲乙双方不得擅自变更、中止或终止合同。</w:t>
      </w:r>
    </w:p>
    <w:p>
      <w:pPr>
        <w:spacing w:line="360" w:lineRule="auto"/>
        <w:ind w:firstLine="482" w:firstLineChars="200"/>
        <w:rPr>
          <w:rFonts w:hAnsi="宋体"/>
          <w:b/>
          <w:bCs/>
          <w:sz w:val="24"/>
        </w:rPr>
      </w:pPr>
      <w:r>
        <w:rPr>
          <w:rFonts w:hint="eastAsia" w:hAnsi="宋体"/>
          <w:b/>
          <w:bCs/>
          <w:sz w:val="24"/>
        </w:rPr>
        <w:t>第十二条  解决合同纠纷的方式</w:t>
      </w:r>
    </w:p>
    <w:p>
      <w:pPr>
        <w:spacing w:line="360" w:lineRule="auto"/>
        <w:ind w:firstLine="480" w:firstLineChars="200"/>
        <w:rPr>
          <w:rFonts w:hAnsi="宋体" w:cs="宋体"/>
          <w:kern w:val="0"/>
          <w:sz w:val="24"/>
        </w:rPr>
      </w:pPr>
      <w:r>
        <w:rPr>
          <w:rFonts w:hint="eastAsia" w:hAnsi="宋体"/>
          <w:sz w:val="24"/>
        </w:rPr>
        <w:t>1.在执行本合同中发生的或与本合同有关的争端，双方应通过友好协商解决，经协商在XX天内不能达成协议时，则采取以下第____种方式解决争议：</w:t>
      </w:r>
    </w:p>
    <w:p>
      <w:pPr>
        <w:spacing w:line="360" w:lineRule="auto"/>
        <w:ind w:firstLine="480" w:firstLineChars="200"/>
        <w:rPr>
          <w:rFonts w:hAnsi="宋体"/>
          <w:sz w:val="24"/>
        </w:rPr>
      </w:pPr>
      <w:r>
        <w:rPr>
          <w:rFonts w:hint="eastAsia" w:hAnsi="宋体"/>
          <w:sz w:val="24"/>
        </w:rPr>
        <w:t>（1）向甲方所在地有管辖权的人民法院提起诉讼；</w:t>
      </w:r>
    </w:p>
    <w:p>
      <w:pPr>
        <w:spacing w:line="360" w:lineRule="auto"/>
        <w:ind w:firstLine="480" w:firstLineChars="200"/>
        <w:rPr>
          <w:rFonts w:hAnsi="宋体"/>
          <w:sz w:val="24"/>
        </w:rPr>
      </w:pPr>
      <w:r>
        <w:rPr>
          <w:rFonts w:hint="eastAsia" w:hAnsi="宋体"/>
          <w:sz w:val="24"/>
        </w:rPr>
        <w:t>（2）向____________仲裁委员会按其仲裁规则申请仲裁。</w:t>
      </w:r>
    </w:p>
    <w:p>
      <w:pPr>
        <w:spacing w:line="360" w:lineRule="auto"/>
        <w:ind w:firstLine="480" w:firstLineChars="200"/>
        <w:rPr>
          <w:rFonts w:hAnsi="宋体"/>
          <w:sz w:val="24"/>
        </w:rPr>
      </w:pPr>
      <w:r>
        <w:rPr>
          <w:rFonts w:hint="eastAsia" w:hAnsi="宋体"/>
          <w:sz w:val="24"/>
        </w:rPr>
        <w:t>2.在仲裁期间，本合同应继续履行。</w:t>
      </w:r>
    </w:p>
    <w:p>
      <w:pPr>
        <w:spacing w:line="360" w:lineRule="auto"/>
        <w:ind w:firstLine="482" w:firstLineChars="200"/>
        <w:rPr>
          <w:rFonts w:hAnsi="宋体"/>
          <w:b/>
          <w:bCs/>
          <w:sz w:val="24"/>
        </w:rPr>
      </w:pPr>
      <w:r>
        <w:rPr>
          <w:rFonts w:hint="eastAsia" w:hAnsi="宋体"/>
          <w:b/>
          <w:bCs/>
          <w:sz w:val="24"/>
        </w:rPr>
        <w:t>第十三条  合同文件</w:t>
      </w:r>
    </w:p>
    <w:p>
      <w:pPr>
        <w:spacing w:line="360" w:lineRule="auto"/>
        <w:ind w:firstLine="480" w:firstLineChars="200"/>
        <w:rPr>
          <w:rFonts w:hAnsi="宋体"/>
          <w:sz w:val="24"/>
        </w:rPr>
      </w:pPr>
      <w:r>
        <w:rPr>
          <w:rFonts w:hint="eastAsia" w:hAnsi="宋体"/>
          <w:sz w:val="24"/>
        </w:rPr>
        <w:t>下列文件构成本合同的组成部分，应该认为是一个整体，彼此相互解释，相互补充。组成合同的多个文件的优先支配地位的次序如下：</w:t>
      </w:r>
    </w:p>
    <w:p>
      <w:pPr>
        <w:spacing w:line="360" w:lineRule="auto"/>
        <w:ind w:firstLine="480" w:firstLineChars="200"/>
        <w:rPr>
          <w:rFonts w:hAnsi="宋体"/>
          <w:sz w:val="24"/>
        </w:rPr>
      </w:pPr>
      <w:r>
        <w:rPr>
          <w:rFonts w:hint="eastAsia" w:hAnsi="宋体"/>
          <w:sz w:val="24"/>
        </w:rPr>
        <w:t>1.本合同书</w:t>
      </w:r>
    </w:p>
    <w:p>
      <w:pPr>
        <w:spacing w:line="360" w:lineRule="auto"/>
        <w:ind w:firstLine="480" w:firstLineChars="200"/>
        <w:rPr>
          <w:rFonts w:hAnsi="宋体"/>
          <w:sz w:val="24"/>
        </w:rPr>
      </w:pPr>
      <w:r>
        <w:rPr>
          <w:rFonts w:hint="eastAsia" w:hAnsi="宋体"/>
          <w:sz w:val="24"/>
        </w:rPr>
        <w:t>2.中标通知书</w:t>
      </w:r>
    </w:p>
    <w:p>
      <w:pPr>
        <w:spacing w:line="360" w:lineRule="auto"/>
        <w:ind w:firstLine="480" w:firstLineChars="200"/>
        <w:rPr>
          <w:rFonts w:hAnsi="宋体"/>
          <w:sz w:val="24"/>
        </w:rPr>
      </w:pPr>
      <w:r>
        <w:rPr>
          <w:rFonts w:hint="eastAsia" w:hAnsi="宋体"/>
          <w:sz w:val="24"/>
        </w:rPr>
        <w:t>3.协议</w:t>
      </w:r>
    </w:p>
    <w:p>
      <w:pPr>
        <w:spacing w:line="360" w:lineRule="auto"/>
        <w:ind w:firstLine="480" w:firstLineChars="200"/>
        <w:rPr>
          <w:rFonts w:hAnsi="宋体"/>
          <w:sz w:val="24"/>
        </w:rPr>
      </w:pPr>
      <w:r>
        <w:rPr>
          <w:rFonts w:hint="eastAsia" w:hAnsi="宋体"/>
          <w:sz w:val="24"/>
        </w:rPr>
        <w:t>4.竞争性磋商文件（含澄清文件）</w:t>
      </w:r>
    </w:p>
    <w:p>
      <w:pPr>
        <w:spacing w:line="360" w:lineRule="auto"/>
        <w:ind w:firstLine="480" w:firstLineChars="200"/>
        <w:rPr>
          <w:rFonts w:hAnsi="宋体"/>
          <w:sz w:val="24"/>
        </w:rPr>
      </w:pPr>
      <w:r>
        <w:rPr>
          <w:rFonts w:hint="eastAsia" w:hAnsi="宋体"/>
          <w:sz w:val="24"/>
        </w:rPr>
        <w:t>5.竞争性磋商响应文件</w:t>
      </w:r>
    </w:p>
    <w:p>
      <w:pPr>
        <w:spacing w:line="360" w:lineRule="auto"/>
        <w:ind w:firstLine="482" w:firstLineChars="200"/>
        <w:rPr>
          <w:rFonts w:hAnsi="宋体"/>
          <w:b/>
          <w:bCs/>
          <w:kern w:val="0"/>
          <w:sz w:val="24"/>
        </w:rPr>
      </w:pPr>
      <w:r>
        <w:rPr>
          <w:rFonts w:hint="eastAsia" w:hAnsi="宋体"/>
          <w:b/>
          <w:bCs/>
          <w:sz w:val="24"/>
        </w:rPr>
        <w:t>第十四条  合同生效及其他</w:t>
      </w:r>
    </w:p>
    <w:p>
      <w:pPr>
        <w:spacing w:line="360" w:lineRule="auto"/>
        <w:ind w:firstLine="480" w:firstLineChars="200"/>
        <w:rPr>
          <w:rFonts w:hAnsi="宋体"/>
          <w:sz w:val="24"/>
        </w:rPr>
      </w:pPr>
      <w:r>
        <w:rPr>
          <w:rFonts w:hint="eastAsia" w:hAnsi="宋体"/>
          <w:sz w:val="24"/>
        </w:rPr>
        <w:t>1.合同经双方法定代表人或授权委托代理人签字并加盖单位公章后生效。</w:t>
      </w:r>
    </w:p>
    <w:p>
      <w:pPr>
        <w:spacing w:line="360" w:lineRule="auto"/>
        <w:ind w:firstLine="480" w:firstLineChars="200"/>
        <w:rPr>
          <w:rFonts w:hAnsi="宋体"/>
          <w:sz w:val="24"/>
        </w:rPr>
      </w:pPr>
      <w:r>
        <w:rPr>
          <w:rFonts w:hint="eastAsia" w:hAnsi="宋体"/>
          <w:sz w:val="24"/>
        </w:rPr>
        <w:t>2.合同执行中涉及采购资金和采购内容修改或补充的，须经政府采购监管部门审批，并签书面补充协议报政府采购监督管理部门备案，方可作为主合同不可分割的一部分。</w:t>
      </w:r>
    </w:p>
    <w:p>
      <w:pPr>
        <w:spacing w:line="360" w:lineRule="auto"/>
        <w:ind w:firstLine="480" w:firstLineChars="200"/>
      </w:pPr>
      <w:r>
        <w:rPr>
          <w:rFonts w:hint="eastAsia" w:hAnsi="宋体"/>
          <w:sz w:val="24"/>
        </w:rPr>
        <w:t>3.本合同一式XX份，自双方签章之日起起效。甲方XX份，乙方XX份，政府采购代理机构XX份，同级财政部门备案XX份，具有同等法律效力。</w:t>
      </w:r>
    </w:p>
    <w:p>
      <w:pPr>
        <w:spacing w:line="360" w:lineRule="auto"/>
        <w:ind w:firstLine="480" w:firstLineChars="200"/>
        <w:rPr>
          <w:rFonts w:hAnsi="宋体"/>
          <w:sz w:val="24"/>
        </w:rPr>
      </w:pPr>
      <w:r>
        <w:rPr>
          <w:rFonts w:hint="eastAsia" w:hAnsi="宋体"/>
          <w:sz w:val="24"/>
        </w:rPr>
        <w:t xml:space="preserve">甲方：   （盖章）   </w:t>
      </w:r>
      <w:r>
        <w:rPr>
          <w:rFonts w:hint="eastAsia" w:hAnsi="宋体"/>
          <w:sz w:val="24"/>
        </w:rPr>
        <w:tab/>
      </w:r>
      <w:r>
        <w:rPr>
          <w:rFonts w:hint="eastAsia" w:hAnsi="宋体"/>
          <w:sz w:val="24"/>
        </w:rPr>
        <w:tab/>
      </w:r>
      <w:r>
        <w:rPr>
          <w:rFonts w:hint="eastAsia" w:hAnsi="宋体"/>
          <w:sz w:val="24"/>
        </w:rPr>
        <w:tab/>
      </w:r>
      <w:r>
        <w:rPr>
          <w:rFonts w:hint="eastAsia" w:hAnsi="宋体"/>
          <w:sz w:val="24"/>
        </w:rPr>
        <w:t xml:space="preserve">       乙方：   （盖章）</w:t>
      </w:r>
    </w:p>
    <w:p>
      <w:pPr>
        <w:spacing w:line="360" w:lineRule="auto"/>
        <w:ind w:firstLine="480" w:firstLineChars="200"/>
        <w:rPr>
          <w:rFonts w:hAnsi="宋体"/>
          <w:sz w:val="24"/>
        </w:rPr>
      </w:pPr>
      <w:r>
        <w:rPr>
          <w:rFonts w:hint="eastAsia" w:hAnsi="宋体"/>
          <w:sz w:val="24"/>
        </w:rPr>
        <w:t>法定代表人（授权代表）：            法定代表人（授权代表）：</w:t>
      </w:r>
    </w:p>
    <w:p>
      <w:pPr>
        <w:spacing w:line="360" w:lineRule="auto"/>
        <w:ind w:firstLine="480" w:firstLineChars="200"/>
        <w:rPr>
          <w:rFonts w:hAnsi="宋体"/>
          <w:sz w:val="24"/>
        </w:rPr>
      </w:pPr>
      <w:r>
        <w:rPr>
          <w:rFonts w:hint="eastAsia" w:hAnsi="宋体"/>
          <w:sz w:val="24"/>
        </w:rPr>
        <w:t>地    址：                         地    址：</w:t>
      </w:r>
    </w:p>
    <w:p>
      <w:pPr>
        <w:spacing w:line="360" w:lineRule="auto"/>
        <w:ind w:firstLine="480" w:firstLineChars="200"/>
        <w:rPr>
          <w:rFonts w:hAnsi="宋体"/>
          <w:sz w:val="24"/>
        </w:rPr>
      </w:pPr>
      <w:r>
        <w:rPr>
          <w:rFonts w:hint="eastAsia" w:hAnsi="宋体"/>
          <w:sz w:val="24"/>
        </w:rPr>
        <w:t>开户银行：                         开户银行：</w:t>
      </w:r>
    </w:p>
    <w:p>
      <w:pPr>
        <w:spacing w:line="360" w:lineRule="auto"/>
        <w:ind w:firstLine="480" w:firstLineChars="200"/>
        <w:rPr>
          <w:rFonts w:hAnsi="宋体"/>
          <w:sz w:val="24"/>
        </w:rPr>
      </w:pPr>
      <w:r>
        <w:rPr>
          <w:rFonts w:hint="eastAsia" w:hAnsi="宋体"/>
          <w:sz w:val="24"/>
        </w:rPr>
        <w:t>账号：                             账号：</w:t>
      </w:r>
    </w:p>
    <w:p>
      <w:pPr>
        <w:spacing w:line="360" w:lineRule="auto"/>
        <w:ind w:firstLine="480" w:firstLineChars="200"/>
        <w:rPr>
          <w:rFonts w:hAnsi="宋体"/>
          <w:sz w:val="24"/>
        </w:rPr>
      </w:pPr>
      <w:r>
        <w:rPr>
          <w:rFonts w:hint="eastAsia" w:hAnsi="宋体"/>
          <w:sz w:val="24"/>
        </w:rPr>
        <w:t>电    话：                         电    话：</w:t>
      </w:r>
    </w:p>
    <w:p>
      <w:pPr>
        <w:spacing w:line="360" w:lineRule="auto"/>
        <w:ind w:firstLine="480" w:firstLineChars="200"/>
        <w:rPr>
          <w:rFonts w:hAnsi="宋体"/>
          <w:sz w:val="24"/>
        </w:rPr>
      </w:pPr>
      <w:r>
        <w:rPr>
          <w:rFonts w:hint="eastAsia" w:hAnsi="宋体"/>
          <w:sz w:val="24"/>
        </w:rPr>
        <w:t>传    真：                         传    真：</w:t>
      </w:r>
    </w:p>
    <w:p>
      <w:pPr>
        <w:spacing w:line="360" w:lineRule="auto"/>
        <w:ind w:firstLine="480" w:firstLineChars="200"/>
        <w:rPr>
          <w:rFonts w:hint="eastAsia" w:ascii="宋体" w:hAnsi="宋体" w:cs="宋体"/>
          <w:sz w:val="30"/>
          <w:szCs w:val="30"/>
          <w:highlight w:val="red"/>
        </w:rPr>
      </w:pPr>
      <w:r>
        <w:rPr>
          <w:rFonts w:hint="eastAsia" w:hAnsi="宋体"/>
          <w:sz w:val="24"/>
        </w:rPr>
        <w:t xml:space="preserve">签约日期：  年  月  日 </w:t>
      </w:r>
      <w:r>
        <w:rPr>
          <w:rFonts w:hint="eastAsia" w:hAnsi="宋体"/>
          <w:sz w:val="24"/>
        </w:rPr>
        <w:tab/>
      </w:r>
      <w:r>
        <w:rPr>
          <w:rFonts w:hint="eastAsia" w:hAnsi="宋体"/>
          <w:sz w:val="24"/>
        </w:rPr>
        <w:tab/>
      </w:r>
      <w:r>
        <w:rPr>
          <w:rFonts w:hint="eastAsia" w:hAnsi="宋体"/>
          <w:sz w:val="24"/>
        </w:rPr>
        <w:tab/>
      </w:r>
      <w:r>
        <w:rPr>
          <w:rFonts w:hint="eastAsia" w:hAnsi="宋体"/>
          <w:sz w:val="24"/>
        </w:rPr>
        <w:t xml:space="preserve">  签约日期：  年  月  日 </w:t>
      </w:r>
    </w:p>
    <w:p>
      <w:pPr>
        <w:rPr>
          <w:rFonts w:hint="eastAsia" w:ascii="宋体" w:hAnsi="宋体" w:cs="宋体"/>
        </w:rPr>
      </w:pPr>
    </w:p>
    <w:p>
      <w:pPr>
        <w:pStyle w:val="3"/>
        <w:keepNext w:val="0"/>
        <w:pageBreakBefore/>
        <w:spacing w:line="350" w:lineRule="auto"/>
        <w:ind w:left="0" w:firstLine="0"/>
        <w:rPr>
          <w:rFonts w:hint="eastAsia" w:cs="宋体"/>
        </w:rPr>
      </w:pPr>
      <w:bookmarkStart w:id="97" w:name="_Toc421778384"/>
      <w:bookmarkStart w:id="98" w:name="_Toc26300515"/>
      <w:bookmarkStart w:id="99" w:name="_Toc26291060"/>
      <w:bookmarkStart w:id="100" w:name="_Toc12284"/>
      <w:bookmarkStart w:id="101" w:name="_Toc12085"/>
      <w:r>
        <w:rPr>
          <w:rFonts w:hint="eastAsia" w:cs="宋体"/>
        </w:rPr>
        <w:t>第六章</w:t>
      </w:r>
      <w:bookmarkEnd w:id="97"/>
      <w:r>
        <w:rPr>
          <w:rFonts w:hint="eastAsia" w:cs="宋体"/>
        </w:rPr>
        <w:t xml:space="preserve">  竞争性磋商响应文件构成及格式</w:t>
      </w:r>
      <w:bookmarkEnd w:id="98"/>
      <w:bookmarkEnd w:id="99"/>
      <w:bookmarkEnd w:id="100"/>
      <w:bookmarkEnd w:id="101"/>
    </w:p>
    <w:p>
      <w:pPr>
        <w:spacing w:line="540" w:lineRule="exact"/>
        <w:rPr>
          <w:rFonts w:hint="eastAsia" w:ascii="宋体" w:hAnsi="宋体" w:cs="宋体"/>
          <w:b/>
          <w:bCs/>
          <w:sz w:val="24"/>
        </w:rPr>
      </w:pPr>
      <w:r>
        <w:rPr>
          <w:rFonts w:hint="eastAsia" w:ascii="宋体" w:hAnsi="宋体" w:cs="宋体"/>
          <w:b/>
          <w:bCs/>
          <w:sz w:val="24"/>
        </w:rPr>
        <w:t xml:space="preserve">                                               </w:t>
      </w:r>
    </w:p>
    <w:p>
      <w:pPr>
        <w:spacing w:line="540" w:lineRule="exact"/>
        <w:rPr>
          <w:rFonts w:hint="eastAsia" w:ascii="宋体" w:hAnsi="宋体" w:cs="宋体"/>
          <w:b/>
          <w:bCs/>
          <w:sz w:val="24"/>
        </w:rPr>
      </w:pPr>
    </w:p>
    <w:p>
      <w:pPr>
        <w:jc w:val="center"/>
        <w:rPr>
          <w:rFonts w:hint="eastAsia" w:ascii="宋体" w:hAnsi="宋体" w:cs="宋体"/>
          <w:b/>
          <w:bCs/>
          <w:sz w:val="52"/>
          <w:szCs w:val="52"/>
        </w:rPr>
      </w:pPr>
      <w:r>
        <w:rPr>
          <w:rFonts w:hint="eastAsia" w:ascii="宋体" w:hAnsi="宋体" w:cs="宋体"/>
          <w:b/>
          <w:bCs/>
          <w:sz w:val="52"/>
          <w:szCs w:val="52"/>
        </w:rPr>
        <w:t>陕西省高速公路收费中心监控、GIS系统维护服务</w:t>
      </w:r>
    </w:p>
    <w:p>
      <w:pPr>
        <w:spacing w:line="360" w:lineRule="auto"/>
        <w:jc w:val="center"/>
        <w:rPr>
          <w:rFonts w:hint="eastAsia" w:ascii="宋体" w:hAnsi="宋体" w:cs="宋体"/>
          <w:b/>
          <w:bCs/>
          <w:sz w:val="52"/>
          <w:szCs w:val="52"/>
        </w:rPr>
      </w:pPr>
    </w:p>
    <w:p>
      <w:pPr>
        <w:spacing w:line="360" w:lineRule="auto"/>
        <w:jc w:val="center"/>
        <w:rPr>
          <w:rFonts w:hint="eastAsia" w:ascii="宋体" w:hAnsi="宋体" w:cs="宋体"/>
          <w:b/>
          <w:bCs/>
          <w:sz w:val="52"/>
          <w:szCs w:val="52"/>
        </w:rPr>
      </w:pPr>
    </w:p>
    <w:p>
      <w:pPr>
        <w:spacing w:line="360" w:lineRule="auto"/>
        <w:jc w:val="center"/>
        <w:rPr>
          <w:rFonts w:hint="eastAsia" w:ascii="宋体" w:hAnsi="宋体" w:cs="宋体"/>
          <w:b/>
          <w:bCs/>
          <w:sz w:val="52"/>
          <w:szCs w:val="52"/>
        </w:rPr>
      </w:pPr>
      <w:r>
        <w:rPr>
          <w:rFonts w:hint="eastAsia" w:ascii="宋体" w:hAnsi="宋体" w:cs="宋体"/>
          <w:b/>
          <w:bCs/>
          <w:sz w:val="52"/>
          <w:szCs w:val="52"/>
        </w:rPr>
        <w:t>响应文件</w:t>
      </w:r>
    </w:p>
    <w:p>
      <w:pPr>
        <w:spacing w:line="360" w:lineRule="auto"/>
        <w:jc w:val="center"/>
        <w:rPr>
          <w:rFonts w:hint="eastAsia" w:ascii="宋体" w:hAnsi="宋体" w:cs="宋体"/>
          <w:b/>
          <w:bCs/>
          <w:sz w:val="28"/>
        </w:rPr>
      </w:pPr>
      <w:r>
        <w:rPr>
          <w:rFonts w:hint="eastAsia" w:ascii="宋体" w:hAnsi="宋体" w:cs="宋体"/>
          <w:b/>
          <w:bCs/>
          <w:sz w:val="28"/>
        </w:rPr>
        <w:t>（项目编号：</w:t>
      </w:r>
      <w:r>
        <w:rPr>
          <w:rFonts w:hint="eastAsia" w:ascii="宋体" w:hAnsi="宋体" w:cs="宋体"/>
          <w:b/>
          <w:bCs/>
          <w:sz w:val="28"/>
          <w:u w:val="single"/>
        </w:rPr>
        <w:t xml:space="preserve">    </w:t>
      </w:r>
      <w:r>
        <w:rPr>
          <w:rFonts w:hint="eastAsia" w:ascii="宋体" w:hAnsi="宋体" w:cs="宋体"/>
          <w:b/>
          <w:bCs/>
          <w:sz w:val="28"/>
        </w:rPr>
        <w:t xml:space="preserve"> ）</w:t>
      </w:r>
    </w:p>
    <w:p>
      <w:pPr>
        <w:spacing w:line="360" w:lineRule="auto"/>
        <w:jc w:val="center"/>
        <w:rPr>
          <w:rFonts w:hint="eastAsia" w:ascii="宋体" w:hAnsi="宋体" w:cs="宋体"/>
          <w:sz w:val="22"/>
          <w:u w:val="single"/>
        </w:rPr>
      </w:pPr>
    </w:p>
    <w:p>
      <w:pPr>
        <w:spacing w:line="360" w:lineRule="auto"/>
        <w:jc w:val="center"/>
        <w:rPr>
          <w:rFonts w:hint="eastAsia" w:ascii="宋体" w:hAnsi="宋体" w:cs="宋体"/>
          <w:sz w:val="24"/>
        </w:rPr>
      </w:pPr>
      <w:r>
        <w:rPr>
          <w:rFonts w:hint="eastAsia" w:ascii="宋体" w:hAnsi="宋体" w:cs="宋体"/>
          <w:b/>
          <w:bCs/>
          <w:sz w:val="32"/>
        </w:rPr>
        <w:t>正本/副本</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1124" w:firstLineChars="400"/>
        <w:jc w:val="left"/>
        <w:rPr>
          <w:rFonts w:hint="eastAsia" w:ascii="宋体" w:hAnsi="宋体" w:cs="宋体"/>
          <w:b/>
          <w:bCs/>
          <w:sz w:val="28"/>
          <w:szCs w:val="28"/>
        </w:rPr>
      </w:pPr>
      <w:r>
        <w:rPr>
          <w:rFonts w:hint="eastAsia" w:ascii="宋体" w:hAnsi="宋体" w:cs="宋体"/>
          <w:b/>
          <w:bCs/>
          <w:sz w:val="28"/>
          <w:szCs w:val="28"/>
        </w:rPr>
        <w:t>供应商：（盖章）</w:t>
      </w:r>
    </w:p>
    <w:p>
      <w:pPr>
        <w:spacing w:line="360" w:lineRule="auto"/>
        <w:ind w:firstLine="1124" w:firstLineChars="400"/>
        <w:jc w:val="left"/>
        <w:rPr>
          <w:rFonts w:hint="eastAsia" w:ascii="宋体" w:hAnsi="宋体" w:cs="宋体"/>
          <w:b/>
          <w:bCs/>
          <w:sz w:val="28"/>
          <w:szCs w:val="28"/>
        </w:rPr>
      </w:pPr>
    </w:p>
    <w:p>
      <w:pPr>
        <w:spacing w:line="360" w:lineRule="auto"/>
        <w:ind w:firstLine="1124" w:firstLineChars="400"/>
        <w:rPr>
          <w:rFonts w:hint="eastAsia" w:ascii="宋体" w:hAnsi="宋体" w:cs="宋体"/>
          <w:b/>
          <w:bCs/>
          <w:sz w:val="28"/>
          <w:szCs w:val="28"/>
        </w:rPr>
      </w:pPr>
      <w:r>
        <w:rPr>
          <w:rFonts w:hint="eastAsia" w:ascii="宋体" w:hAnsi="宋体" w:cs="宋体"/>
          <w:b/>
          <w:bCs/>
          <w:sz w:val="28"/>
          <w:szCs w:val="28"/>
        </w:rPr>
        <w:t>年   月    日</w:t>
      </w:r>
    </w:p>
    <w:p>
      <w:pPr>
        <w:spacing w:line="360" w:lineRule="auto"/>
        <w:jc w:val="center"/>
        <w:rPr>
          <w:rFonts w:hint="eastAsia" w:ascii="宋体" w:hAnsi="宋体" w:cs="宋体"/>
        </w:rPr>
        <w:sectPr>
          <w:headerReference r:id="rId14" w:type="default"/>
          <w:footerReference r:id="rId15" w:type="default"/>
          <w:pgSz w:w="11906" w:h="16838"/>
          <w:pgMar w:top="1417" w:right="965" w:bottom="1417" w:left="1701" w:header="680" w:footer="680" w:gutter="0"/>
          <w:cols w:space="720" w:num="1"/>
          <w:docGrid w:type="lines" w:linePitch="312" w:charSpace="0"/>
        </w:sectPr>
      </w:pPr>
    </w:p>
    <w:p>
      <w:pPr>
        <w:rPr>
          <w:rFonts w:hint="eastAsia" w:ascii="宋体" w:hAnsi="宋体" w:cs="宋体"/>
        </w:rPr>
      </w:pPr>
    </w:p>
    <w:p>
      <w:pPr>
        <w:jc w:val="center"/>
        <w:rPr>
          <w:rFonts w:hint="eastAsia" w:ascii="宋体" w:hAnsi="宋体" w:cs="宋体"/>
          <w:b/>
          <w:bCs/>
          <w:sz w:val="32"/>
          <w:szCs w:val="32"/>
        </w:rPr>
      </w:pPr>
      <w:bookmarkStart w:id="102" w:name="_Toc421778385"/>
      <w:bookmarkStart w:id="103" w:name="_Toc420591500"/>
      <w:bookmarkStart w:id="104" w:name="_Toc372885969"/>
      <w:bookmarkStart w:id="105" w:name="_Toc420591666"/>
      <w:r>
        <w:rPr>
          <w:rFonts w:hint="eastAsia" w:ascii="宋体" w:hAnsi="宋体" w:cs="宋体"/>
          <w:b/>
          <w:bCs/>
          <w:sz w:val="32"/>
          <w:szCs w:val="32"/>
        </w:rPr>
        <w:t>目  录</w:t>
      </w:r>
      <w:bookmarkEnd w:id="102"/>
      <w:bookmarkEnd w:id="103"/>
      <w:bookmarkEnd w:id="104"/>
      <w:bookmarkEnd w:id="105"/>
    </w:p>
    <w:p>
      <w:pPr>
        <w:spacing w:line="360" w:lineRule="auto"/>
        <w:ind w:firstLine="964" w:firstLineChars="400"/>
        <w:rPr>
          <w:rFonts w:hint="eastAsia" w:ascii="宋体" w:hAnsi="宋体" w:cs="宋体"/>
          <w:b/>
          <w:sz w:val="24"/>
        </w:rPr>
      </w:pPr>
      <w:r>
        <w:rPr>
          <w:rFonts w:hint="eastAsia" w:ascii="宋体" w:hAnsi="宋体" w:cs="宋体"/>
          <w:b/>
          <w:sz w:val="24"/>
        </w:rPr>
        <w:t>第一部分 资格证明文件</w:t>
      </w:r>
    </w:p>
    <w:p>
      <w:pPr>
        <w:pStyle w:val="5"/>
        <w:spacing w:line="360" w:lineRule="auto"/>
        <w:ind w:firstLine="960" w:firstLineChars="400"/>
        <w:rPr>
          <w:rFonts w:hint="eastAsia" w:hAnsi="宋体" w:cs="宋体"/>
          <w:szCs w:val="24"/>
        </w:rPr>
      </w:pPr>
      <w:r>
        <w:rPr>
          <w:rFonts w:hint="eastAsia" w:hAnsi="宋体" w:cs="宋体"/>
          <w:szCs w:val="24"/>
        </w:rPr>
        <w:t>一、营业执照等主体资格证明文件</w:t>
      </w:r>
    </w:p>
    <w:p>
      <w:pPr>
        <w:pStyle w:val="5"/>
        <w:spacing w:line="360" w:lineRule="auto"/>
        <w:ind w:firstLine="960" w:firstLineChars="400"/>
        <w:rPr>
          <w:rFonts w:hint="eastAsia" w:hAnsi="宋体" w:cs="宋体"/>
          <w:szCs w:val="24"/>
        </w:rPr>
      </w:pPr>
      <w:r>
        <w:rPr>
          <w:rFonts w:hint="eastAsia" w:hAnsi="宋体" w:cs="宋体"/>
          <w:szCs w:val="24"/>
        </w:rPr>
        <w:t>二、法定代表人授权委托书</w:t>
      </w:r>
    </w:p>
    <w:p>
      <w:pPr>
        <w:pStyle w:val="5"/>
        <w:spacing w:line="360" w:lineRule="auto"/>
        <w:ind w:firstLine="964" w:firstLineChars="400"/>
        <w:rPr>
          <w:rFonts w:hint="eastAsia" w:hAnsi="宋体" w:cs="宋体"/>
          <w:b/>
          <w:szCs w:val="24"/>
        </w:rPr>
      </w:pPr>
      <w:r>
        <w:rPr>
          <w:rFonts w:hint="eastAsia" w:hAnsi="宋体" w:cs="宋体"/>
          <w:b/>
          <w:szCs w:val="24"/>
        </w:rPr>
        <w:t>第二部分 符合性证明文件</w:t>
      </w:r>
    </w:p>
    <w:p>
      <w:pPr>
        <w:pStyle w:val="5"/>
        <w:spacing w:line="360" w:lineRule="auto"/>
        <w:ind w:firstLine="960" w:firstLineChars="400"/>
        <w:rPr>
          <w:rFonts w:hint="eastAsia" w:hAnsi="宋体" w:cs="宋体"/>
          <w:szCs w:val="24"/>
        </w:rPr>
      </w:pPr>
      <w:r>
        <w:rPr>
          <w:rFonts w:hint="eastAsia" w:hAnsi="宋体" w:cs="宋体"/>
          <w:szCs w:val="24"/>
        </w:rPr>
        <w:t>一、响应函</w:t>
      </w:r>
    </w:p>
    <w:p>
      <w:pPr>
        <w:pStyle w:val="5"/>
        <w:spacing w:line="360" w:lineRule="auto"/>
        <w:ind w:firstLine="960" w:firstLineChars="400"/>
        <w:rPr>
          <w:rFonts w:hint="eastAsia" w:hAnsi="宋体" w:cs="宋体"/>
          <w:szCs w:val="24"/>
        </w:rPr>
      </w:pPr>
      <w:r>
        <w:rPr>
          <w:rFonts w:hint="eastAsia" w:hAnsi="宋体" w:cs="宋体"/>
          <w:szCs w:val="24"/>
        </w:rPr>
        <w:t>二、第一次磋商报价表</w:t>
      </w:r>
    </w:p>
    <w:p>
      <w:pPr>
        <w:pStyle w:val="5"/>
        <w:spacing w:line="360" w:lineRule="auto"/>
        <w:ind w:firstLine="960" w:firstLineChars="400"/>
        <w:rPr>
          <w:rFonts w:hint="eastAsia" w:hAnsi="宋体" w:cs="宋体"/>
          <w:szCs w:val="24"/>
        </w:rPr>
      </w:pPr>
      <w:r>
        <w:rPr>
          <w:rFonts w:hint="eastAsia" w:hAnsi="宋体" w:cs="宋体"/>
          <w:szCs w:val="24"/>
        </w:rPr>
        <w:t>三、分项报价表</w:t>
      </w:r>
    </w:p>
    <w:p>
      <w:pPr>
        <w:pStyle w:val="5"/>
        <w:spacing w:line="360" w:lineRule="auto"/>
        <w:ind w:firstLine="960" w:firstLineChars="400"/>
        <w:rPr>
          <w:rFonts w:hint="eastAsia" w:hAnsi="宋体" w:cs="宋体"/>
          <w:szCs w:val="24"/>
        </w:rPr>
      </w:pPr>
      <w:r>
        <w:rPr>
          <w:rFonts w:hint="eastAsia" w:hAnsi="宋体" w:cs="宋体"/>
          <w:szCs w:val="24"/>
        </w:rPr>
        <w:t>四、供应应商承诺书</w:t>
      </w:r>
    </w:p>
    <w:p>
      <w:pPr>
        <w:pStyle w:val="5"/>
        <w:spacing w:line="360" w:lineRule="auto"/>
        <w:ind w:firstLine="964" w:firstLineChars="400"/>
        <w:rPr>
          <w:rFonts w:hint="eastAsia" w:hAnsi="宋体" w:cs="宋体"/>
          <w:b/>
          <w:szCs w:val="24"/>
        </w:rPr>
      </w:pPr>
      <w:r>
        <w:rPr>
          <w:rFonts w:hint="eastAsia" w:hAnsi="宋体" w:cs="宋体"/>
          <w:b/>
          <w:szCs w:val="24"/>
        </w:rPr>
        <w:t>第三部分 响应方案</w:t>
      </w:r>
    </w:p>
    <w:p>
      <w:pPr>
        <w:pStyle w:val="5"/>
        <w:spacing w:line="360" w:lineRule="auto"/>
        <w:ind w:firstLine="960" w:firstLineChars="400"/>
        <w:rPr>
          <w:rFonts w:hint="eastAsia" w:hAnsi="宋体" w:cs="宋体"/>
          <w:szCs w:val="24"/>
        </w:rPr>
      </w:pPr>
      <w:r>
        <w:rPr>
          <w:rFonts w:hint="eastAsia" w:hAnsi="宋体" w:cs="宋体"/>
          <w:szCs w:val="24"/>
        </w:rPr>
        <w:t>一、供应商概况及其性质</w:t>
      </w:r>
    </w:p>
    <w:p>
      <w:pPr>
        <w:pStyle w:val="5"/>
        <w:spacing w:line="360" w:lineRule="auto"/>
        <w:ind w:firstLine="960" w:firstLineChars="400"/>
        <w:rPr>
          <w:rFonts w:hint="eastAsia" w:hAnsi="宋体" w:cs="宋体"/>
          <w:szCs w:val="24"/>
        </w:rPr>
      </w:pPr>
      <w:r>
        <w:rPr>
          <w:rFonts w:hint="eastAsia" w:hAnsi="宋体" w:cs="宋体"/>
          <w:szCs w:val="24"/>
        </w:rPr>
        <w:t>二、技术方案</w:t>
      </w:r>
    </w:p>
    <w:p>
      <w:pPr>
        <w:pStyle w:val="5"/>
        <w:spacing w:line="360" w:lineRule="auto"/>
        <w:ind w:firstLine="960" w:firstLineChars="400"/>
        <w:rPr>
          <w:rFonts w:hint="eastAsia" w:hAnsi="宋体" w:cs="宋体"/>
          <w:szCs w:val="24"/>
        </w:rPr>
      </w:pPr>
      <w:r>
        <w:rPr>
          <w:rFonts w:hint="eastAsia" w:hAnsi="宋体" w:cs="宋体"/>
          <w:szCs w:val="24"/>
        </w:rPr>
        <w:t>三、技术偏离表</w:t>
      </w:r>
    </w:p>
    <w:p>
      <w:pPr>
        <w:pStyle w:val="5"/>
        <w:spacing w:line="360" w:lineRule="auto"/>
        <w:ind w:firstLine="960" w:firstLineChars="400"/>
        <w:rPr>
          <w:rFonts w:hint="eastAsia" w:hAnsi="宋体" w:cs="宋体"/>
          <w:szCs w:val="24"/>
        </w:rPr>
      </w:pPr>
      <w:r>
        <w:rPr>
          <w:rFonts w:hint="eastAsia" w:hAnsi="宋体" w:cs="宋体"/>
          <w:szCs w:val="24"/>
        </w:rPr>
        <w:t>四、业绩</w:t>
      </w:r>
    </w:p>
    <w:p>
      <w:pPr>
        <w:pStyle w:val="5"/>
        <w:spacing w:line="360" w:lineRule="auto"/>
        <w:ind w:firstLine="960" w:firstLineChars="400"/>
        <w:rPr>
          <w:rFonts w:hint="eastAsia" w:hAnsi="宋体" w:cs="宋体"/>
          <w:szCs w:val="24"/>
        </w:rPr>
      </w:pPr>
      <w:r>
        <w:rPr>
          <w:rFonts w:hint="eastAsia" w:hAnsi="宋体" w:cs="宋体"/>
          <w:szCs w:val="24"/>
        </w:rPr>
        <w:t>五、其他可以证明供应商实力的文件</w:t>
      </w:r>
    </w:p>
    <w:p>
      <w:pPr>
        <w:spacing w:line="480" w:lineRule="auto"/>
        <w:jc w:val="left"/>
        <w:rPr>
          <w:rFonts w:hint="eastAsia" w:ascii="宋体" w:hAnsi="宋体" w:cs="宋体"/>
          <w:sz w:val="24"/>
        </w:rPr>
      </w:pPr>
    </w:p>
    <w:p>
      <w:pPr>
        <w:spacing w:line="480" w:lineRule="auto"/>
        <w:jc w:val="left"/>
        <w:rPr>
          <w:rFonts w:hint="eastAsia" w:ascii="宋体" w:hAnsi="宋体" w:cs="宋体"/>
          <w:sz w:val="24"/>
        </w:rPr>
      </w:pPr>
    </w:p>
    <w:p>
      <w:pPr>
        <w:spacing w:line="480" w:lineRule="auto"/>
        <w:jc w:val="left"/>
        <w:rPr>
          <w:rFonts w:hint="eastAsia" w:ascii="宋体" w:hAnsi="宋体" w:cs="宋体"/>
          <w:sz w:val="24"/>
        </w:rPr>
      </w:pPr>
    </w:p>
    <w:p>
      <w:pPr>
        <w:spacing w:line="480" w:lineRule="auto"/>
        <w:jc w:val="left"/>
        <w:rPr>
          <w:rFonts w:hint="eastAsia" w:ascii="宋体" w:hAnsi="宋体" w:cs="宋体"/>
          <w:sz w:val="24"/>
        </w:rPr>
      </w:pPr>
    </w:p>
    <w:p>
      <w:pPr>
        <w:spacing w:line="480" w:lineRule="auto"/>
        <w:jc w:val="left"/>
        <w:rPr>
          <w:rFonts w:hint="eastAsia" w:ascii="宋体" w:hAnsi="宋体" w:cs="宋体"/>
          <w:sz w:val="24"/>
        </w:rPr>
      </w:pPr>
    </w:p>
    <w:p>
      <w:pPr>
        <w:spacing w:line="480" w:lineRule="auto"/>
        <w:jc w:val="left"/>
        <w:rPr>
          <w:rFonts w:hint="eastAsia" w:ascii="宋体" w:hAnsi="宋体" w:cs="宋体"/>
          <w:sz w:val="24"/>
        </w:rPr>
      </w:pPr>
    </w:p>
    <w:p>
      <w:pPr>
        <w:spacing w:line="480" w:lineRule="auto"/>
        <w:jc w:val="left"/>
        <w:rPr>
          <w:rFonts w:hint="eastAsia" w:ascii="宋体" w:hAnsi="宋体" w:cs="宋体"/>
          <w:sz w:val="24"/>
        </w:rPr>
      </w:pPr>
    </w:p>
    <w:p>
      <w:pPr>
        <w:spacing w:line="480" w:lineRule="auto"/>
        <w:jc w:val="left"/>
        <w:rPr>
          <w:rFonts w:hint="eastAsia" w:ascii="宋体" w:hAnsi="宋体" w:cs="宋体"/>
          <w:sz w:val="24"/>
        </w:rPr>
      </w:pPr>
    </w:p>
    <w:p>
      <w:pPr>
        <w:spacing w:line="480" w:lineRule="auto"/>
        <w:jc w:val="left"/>
        <w:rPr>
          <w:rFonts w:hint="eastAsia" w:ascii="宋体" w:hAnsi="宋体" w:cs="宋体"/>
          <w:sz w:val="24"/>
        </w:rPr>
      </w:pPr>
    </w:p>
    <w:p>
      <w:pPr>
        <w:spacing w:line="480" w:lineRule="auto"/>
        <w:jc w:val="left"/>
        <w:rPr>
          <w:rFonts w:hint="eastAsia" w:ascii="宋体" w:hAnsi="宋体" w:cs="宋体"/>
          <w:sz w:val="24"/>
        </w:rPr>
      </w:pPr>
    </w:p>
    <w:p>
      <w:pPr>
        <w:pStyle w:val="4"/>
        <w:rPr>
          <w:rFonts w:hint="eastAsia" w:cs="宋体"/>
          <w:sz w:val="32"/>
        </w:rPr>
      </w:pPr>
      <w:bookmarkStart w:id="106" w:name="_Toc26300516"/>
      <w:bookmarkStart w:id="107" w:name="_Toc4168"/>
      <w:bookmarkStart w:id="108" w:name="_Toc7504"/>
      <w:bookmarkStart w:id="109" w:name="_Toc26291061"/>
      <w:r>
        <w:rPr>
          <w:rFonts w:hint="eastAsia" w:cs="宋体"/>
          <w:sz w:val="32"/>
        </w:rPr>
        <w:t>第一部分 资格证明文件</w:t>
      </w:r>
      <w:bookmarkEnd w:id="106"/>
      <w:bookmarkEnd w:id="107"/>
      <w:bookmarkEnd w:id="108"/>
      <w:bookmarkEnd w:id="109"/>
    </w:p>
    <w:p>
      <w:pPr>
        <w:jc w:val="center"/>
        <w:outlineLvl w:val="1"/>
        <w:rPr>
          <w:rFonts w:hint="eastAsia" w:ascii="宋体" w:hAnsi="宋体" w:cs="宋体"/>
          <w:b/>
          <w:bCs/>
          <w:sz w:val="32"/>
          <w:szCs w:val="32"/>
        </w:rPr>
      </w:pPr>
      <w:bookmarkStart w:id="110" w:name="_Toc9277"/>
      <w:bookmarkStart w:id="111" w:name="_Toc26300517"/>
      <w:bookmarkStart w:id="112" w:name="_Toc26291062"/>
      <w:bookmarkStart w:id="113" w:name="_Toc26291162"/>
      <w:bookmarkStart w:id="114" w:name="_Toc12858"/>
      <w:r>
        <w:rPr>
          <w:rFonts w:hint="eastAsia" w:ascii="宋体" w:hAnsi="宋体" w:cs="宋体"/>
          <w:b/>
          <w:bCs/>
          <w:sz w:val="32"/>
          <w:szCs w:val="32"/>
        </w:rPr>
        <w:t>一、营业执照等主体资格证明文件</w:t>
      </w:r>
      <w:bookmarkEnd w:id="110"/>
      <w:bookmarkEnd w:id="111"/>
      <w:bookmarkEnd w:id="112"/>
      <w:bookmarkEnd w:id="113"/>
      <w:bookmarkEnd w:id="114"/>
    </w:p>
    <w:p>
      <w:pPr>
        <w:pStyle w:val="43"/>
        <w:rPr>
          <w:rFonts w:hint="eastAsia" w:ascii="宋体" w:hAnsi="宋体" w:cs="宋体"/>
        </w:rPr>
      </w:pPr>
    </w:p>
    <w:p>
      <w:pPr>
        <w:jc w:val="left"/>
        <w:outlineLvl w:val="2"/>
        <w:rPr>
          <w:rFonts w:hint="eastAsia" w:ascii="宋体" w:hAnsi="宋体" w:cs="宋体"/>
          <w:b/>
          <w:sz w:val="24"/>
        </w:rPr>
      </w:pPr>
      <w:bookmarkStart w:id="115" w:name="_Toc17998767"/>
      <w:bookmarkStart w:id="116" w:name="_Toc22785"/>
      <w:bookmarkStart w:id="117" w:name="_Toc17998940"/>
      <w:bookmarkStart w:id="118" w:name="_Toc25661917"/>
      <w:bookmarkStart w:id="119" w:name="_Toc26298347"/>
      <w:bookmarkStart w:id="120" w:name="_Toc17999504"/>
      <w:bookmarkStart w:id="121" w:name="_Toc26291163"/>
      <w:bookmarkStart w:id="122" w:name="_Toc26300518"/>
      <w:bookmarkStart w:id="123" w:name="_Toc26291063"/>
      <w:bookmarkStart w:id="124" w:name="_Toc20538"/>
      <w:r>
        <w:rPr>
          <w:rFonts w:hint="eastAsia" w:ascii="宋体" w:hAnsi="宋体" w:cs="宋体"/>
          <w:b/>
          <w:sz w:val="24"/>
        </w:rPr>
        <w:t xml:space="preserve">1 </w:t>
      </w:r>
      <w:bookmarkEnd w:id="115"/>
      <w:bookmarkEnd w:id="116"/>
      <w:bookmarkEnd w:id="117"/>
      <w:bookmarkEnd w:id="118"/>
      <w:bookmarkEnd w:id="119"/>
      <w:bookmarkEnd w:id="120"/>
      <w:bookmarkEnd w:id="121"/>
      <w:bookmarkEnd w:id="122"/>
      <w:bookmarkEnd w:id="123"/>
      <w:r>
        <w:rPr>
          <w:rFonts w:hint="eastAsia" w:ascii="宋体" w:hAnsi="宋体" w:cs="宋体"/>
          <w:b/>
          <w:sz w:val="24"/>
        </w:rPr>
        <w:t>、具有独立承担民事责任的能力</w:t>
      </w:r>
      <w:bookmarkEnd w:id="124"/>
    </w:p>
    <w:p>
      <w:pPr>
        <w:jc w:val="left"/>
        <w:rPr>
          <w:rFonts w:hint="eastAsia" w:ascii="宋体" w:hAnsi="宋体" w:cs="宋体"/>
          <w:sz w:val="24"/>
        </w:rPr>
      </w:pPr>
      <w:r>
        <w:rPr>
          <w:rFonts w:hint="eastAsia" w:ascii="宋体" w:hAnsi="宋体" w:cs="宋体"/>
          <w:sz w:val="24"/>
        </w:rPr>
        <w:t xml:space="preserve"> </w:t>
      </w:r>
    </w:p>
    <w:p>
      <w:pPr>
        <w:jc w:val="left"/>
        <w:rPr>
          <w:rFonts w:hint="eastAsia" w:ascii="宋体" w:hAnsi="宋体" w:cs="宋体"/>
          <w:sz w:val="24"/>
        </w:rPr>
      </w:pPr>
      <w:r>
        <w:rPr>
          <w:rFonts w:hint="eastAsia" w:ascii="宋体" w:hAnsi="宋体" w:cs="宋体"/>
          <w:sz w:val="24"/>
        </w:rPr>
        <w:t>（具体要求详见评审办法）</w:t>
      </w: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outlineLvl w:val="2"/>
        <w:rPr>
          <w:rFonts w:hint="eastAsia" w:ascii="宋体" w:hAnsi="宋体" w:cs="宋体"/>
          <w:b/>
          <w:sz w:val="24"/>
        </w:rPr>
      </w:pPr>
      <w:bookmarkStart w:id="125" w:name="_Toc17999505"/>
      <w:bookmarkStart w:id="126" w:name="_Toc26291164"/>
      <w:bookmarkStart w:id="127" w:name="_Toc26300519"/>
      <w:bookmarkStart w:id="128" w:name="_Toc17998768"/>
      <w:bookmarkStart w:id="129" w:name="_Toc26291064"/>
      <w:bookmarkStart w:id="130" w:name="_Toc17998941"/>
      <w:bookmarkStart w:id="131" w:name="_Toc31551"/>
      <w:bookmarkStart w:id="132" w:name="_Toc26298348"/>
      <w:bookmarkStart w:id="133" w:name="_Toc25661918"/>
    </w:p>
    <w:p>
      <w:pPr>
        <w:jc w:val="left"/>
        <w:outlineLvl w:val="2"/>
        <w:rPr>
          <w:rFonts w:hint="eastAsia" w:ascii="宋体" w:hAnsi="宋体" w:cs="宋体"/>
          <w:b/>
          <w:sz w:val="24"/>
        </w:rPr>
      </w:pPr>
      <w:bookmarkStart w:id="134" w:name="_Toc12467"/>
      <w:r>
        <w:rPr>
          <w:rFonts w:hint="eastAsia" w:ascii="宋体" w:hAnsi="宋体" w:cs="宋体"/>
          <w:b/>
          <w:sz w:val="24"/>
        </w:rPr>
        <w:t xml:space="preserve">2、  </w:t>
      </w:r>
      <w:bookmarkEnd w:id="125"/>
      <w:bookmarkEnd w:id="126"/>
      <w:bookmarkEnd w:id="127"/>
      <w:bookmarkEnd w:id="128"/>
      <w:bookmarkEnd w:id="129"/>
      <w:bookmarkEnd w:id="130"/>
      <w:bookmarkEnd w:id="131"/>
      <w:bookmarkEnd w:id="132"/>
      <w:bookmarkEnd w:id="133"/>
      <w:r>
        <w:rPr>
          <w:rFonts w:hint="eastAsia" w:ascii="宋体" w:hAnsi="宋体" w:cs="宋体"/>
          <w:b/>
          <w:sz w:val="24"/>
        </w:rPr>
        <w:t>具有良好的商业信誉和健全的财务会计制度</w:t>
      </w:r>
      <w:bookmarkEnd w:id="134"/>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（具体要求详见评审办法）</w:t>
      </w: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napToGrid w:val="0"/>
        <w:spacing w:afterLines="50"/>
        <w:ind w:right="-57" w:rightChars="-27"/>
        <w:jc w:val="left"/>
        <w:outlineLvl w:val="2"/>
        <w:rPr>
          <w:rFonts w:hint="eastAsia" w:ascii="宋体" w:hAnsi="宋体" w:cs="宋体"/>
          <w:b/>
          <w:sz w:val="24"/>
        </w:rPr>
      </w:pPr>
      <w:bookmarkStart w:id="135" w:name="_Toc25661919"/>
      <w:bookmarkStart w:id="136" w:name="_Toc26298349"/>
      <w:bookmarkStart w:id="137" w:name="_Toc23444"/>
      <w:bookmarkStart w:id="138" w:name="_Toc26291165"/>
      <w:bookmarkStart w:id="139" w:name="_Toc26300520"/>
      <w:bookmarkStart w:id="140" w:name="_Toc17999506"/>
      <w:bookmarkStart w:id="141" w:name="_Toc17998942"/>
      <w:bookmarkStart w:id="142" w:name="_Toc17998769"/>
      <w:bookmarkStart w:id="143" w:name="_Toc26291065"/>
    </w:p>
    <w:p>
      <w:pPr>
        <w:snapToGrid w:val="0"/>
        <w:spacing w:afterLines="50"/>
        <w:ind w:right="-57" w:rightChars="-27"/>
        <w:jc w:val="left"/>
        <w:outlineLvl w:val="2"/>
        <w:rPr>
          <w:rFonts w:hint="eastAsia" w:ascii="宋体" w:hAnsi="宋体" w:cs="宋体"/>
          <w:b/>
          <w:sz w:val="24"/>
        </w:rPr>
      </w:pPr>
      <w:bookmarkStart w:id="144" w:name="_Toc11720"/>
      <w:r>
        <w:rPr>
          <w:rFonts w:hint="eastAsia" w:ascii="宋体" w:hAnsi="宋体" w:cs="宋体"/>
          <w:b/>
          <w:sz w:val="24"/>
        </w:rPr>
        <w:t xml:space="preserve">3 </w:t>
      </w:r>
      <w:bookmarkEnd w:id="135"/>
      <w:bookmarkEnd w:id="136"/>
      <w:bookmarkEnd w:id="137"/>
      <w:bookmarkEnd w:id="138"/>
      <w:bookmarkEnd w:id="139"/>
      <w:bookmarkEnd w:id="140"/>
      <w:bookmarkEnd w:id="141"/>
      <w:bookmarkEnd w:id="142"/>
      <w:bookmarkEnd w:id="143"/>
      <w:r>
        <w:rPr>
          <w:rFonts w:hint="eastAsia" w:ascii="宋体" w:hAnsi="宋体" w:cs="宋体"/>
          <w:b/>
          <w:sz w:val="24"/>
        </w:rPr>
        <w:t>、有依法缴纳税收和社会保障资金的良好记录</w:t>
      </w:r>
      <w:bookmarkEnd w:id="144"/>
    </w:p>
    <w:p>
      <w:pPr>
        <w:jc w:val="left"/>
        <w:rPr>
          <w:rFonts w:hint="eastAsia" w:ascii="宋体" w:hAnsi="宋体" w:cs="宋体"/>
          <w:sz w:val="24"/>
        </w:rPr>
      </w:pPr>
      <w:r>
        <w:rPr>
          <w:rFonts w:hint="eastAsia" w:ascii="宋体" w:hAnsi="宋体" w:cs="宋体"/>
          <w:sz w:val="24"/>
        </w:rPr>
        <w:t>（具体要求详见评审办法）</w:t>
      </w: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widowControl/>
        <w:jc w:val="left"/>
        <w:rPr>
          <w:rFonts w:hint="eastAsia" w:ascii="宋体" w:hAnsi="宋体" w:cs="宋体"/>
          <w:b/>
          <w:spacing w:val="20"/>
          <w:sz w:val="24"/>
        </w:rPr>
      </w:pPr>
    </w:p>
    <w:p>
      <w:pPr>
        <w:adjustRightInd w:val="0"/>
        <w:spacing w:line="360" w:lineRule="atLeast"/>
        <w:jc w:val="left"/>
        <w:textAlignment w:val="baseline"/>
        <w:rPr>
          <w:rFonts w:hint="eastAsia" w:ascii="宋体" w:hAnsi="宋体" w:cs="宋体"/>
          <w:b/>
          <w:sz w:val="24"/>
        </w:rPr>
      </w:pPr>
    </w:p>
    <w:p>
      <w:pPr>
        <w:snapToGrid w:val="0"/>
        <w:spacing w:afterLines="50"/>
        <w:ind w:right="-57" w:rightChars="-27"/>
        <w:jc w:val="left"/>
        <w:rPr>
          <w:rFonts w:hint="eastAsia" w:ascii="宋体" w:hAnsi="宋体" w:cs="宋体"/>
          <w:sz w:val="24"/>
        </w:rPr>
      </w:pPr>
    </w:p>
    <w:p>
      <w:pPr>
        <w:snapToGrid w:val="0"/>
        <w:spacing w:afterLines="50"/>
        <w:ind w:left="420" w:right="-57" w:rightChars="-27" w:firstLine="480" w:firstLineChars="200"/>
        <w:jc w:val="left"/>
        <w:rPr>
          <w:rFonts w:hint="eastAsia" w:ascii="宋体" w:hAnsi="宋体" w:cs="宋体"/>
          <w:sz w:val="24"/>
        </w:rPr>
      </w:pPr>
    </w:p>
    <w:p>
      <w:pPr>
        <w:adjustRightInd w:val="0"/>
        <w:spacing w:line="360" w:lineRule="atLeast"/>
        <w:jc w:val="left"/>
        <w:textAlignment w:val="baseline"/>
        <w:rPr>
          <w:rFonts w:hint="eastAsia" w:ascii="宋体" w:hAnsi="宋体" w:cs="宋体"/>
          <w:b/>
          <w:sz w:val="24"/>
        </w:rPr>
      </w:pPr>
    </w:p>
    <w:p>
      <w:pPr>
        <w:snapToGrid w:val="0"/>
        <w:spacing w:afterLines="50"/>
        <w:ind w:right="-57" w:rightChars="-27"/>
        <w:jc w:val="left"/>
        <w:outlineLvl w:val="2"/>
        <w:rPr>
          <w:rFonts w:hint="eastAsia" w:ascii="宋体" w:hAnsi="宋体" w:cs="宋体"/>
          <w:b/>
          <w:sz w:val="24"/>
        </w:rPr>
      </w:pPr>
      <w:bookmarkStart w:id="145" w:name="_Toc25661921"/>
      <w:bookmarkStart w:id="146" w:name="_Toc17998771"/>
      <w:bookmarkStart w:id="147" w:name="_Toc26291067"/>
      <w:bookmarkStart w:id="148" w:name="_Toc26300522"/>
      <w:bookmarkStart w:id="149" w:name="_Toc17999508"/>
      <w:bookmarkStart w:id="150" w:name="_Toc26298351"/>
      <w:bookmarkStart w:id="151" w:name="_Toc17998944"/>
      <w:bookmarkStart w:id="152" w:name="_Toc26291167"/>
      <w:bookmarkStart w:id="153" w:name="_Toc22539"/>
    </w:p>
    <w:p>
      <w:pPr>
        <w:snapToGrid w:val="0"/>
        <w:spacing w:afterLines="50"/>
        <w:ind w:right="-57" w:rightChars="-27"/>
        <w:jc w:val="left"/>
        <w:outlineLvl w:val="2"/>
        <w:rPr>
          <w:rFonts w:hint="eastAsia" w:ascii="宋体" w:hAnsi="宋体" w:cs="宋体"/>
          <w:b/>
          <w:sz w:val="24"/>
        </w:rPr>
      </w:pPr>
      <w:bookmarkStart w:id="154" w:name="_Toc12603"/>
      <w:r>
        <w:rPr>
          <w:rFonts w:hint="eastAsia" w:ascii="宋体" w:hAnsi="宋体" w:cs="宋体"/>
          <w:b/>
          <w:sz w:val="24"/>
        </w:rPr>
        <w:t>4、 具备履行合同所必需的设备和专业技术能力承诺书</w:t>
      </w:r>
      <w:bookmarkEnd w:id="145"/>
      <w:bookmarkEnd w:id="146"/>
      <w:bookmarkEnd w:id="147"/>
      <w:bookmarkEnd w:id="148"/>
      <w:bookmarkEnd w:id="149"/>
      <w:bookmarkEnd w:id="150"/>
      <w:bookmarkEnd w:id="151"/>
      <w:bookmarkEnd w:id="152"/>
      <w:bookmarkEnd w:id="153"/>
      <w:bookmarkEnd w:id="154"/>
    </w:p>
    <w:p>
      <w:pPr>
        <w:snapToGrid w:val="0"/>
        <w:spacing w:afterLines="50"/>
        <w:ind w:right="-57" w:rightChars="-27"/>
        <w:jc w:val="center"/>
        <w:outlineLvl w:val="2"/>
        <w:rPr>
          <w:rFonts w:hint="eastAsia" w:ascii="宋体" w:hAnsi="宋体" w:cs="宋体"/>
          <w:b/>
          <w:sz w:val="24"/>
        </w:rPr>
      </w:pPr>
    </w:p>
    <w:p>
      <w:pPr>
        <w:snapToGrid w:val="0"/>
        <w:spacing w:afterLines="50"/>
        <w:ind w:right="-57" w:rightChars="-27"/>
        <w:jc w:val="center"/>
        <w:outlineLvl w:val="2"/>
        <w:rPr>
          <w:rFonts w:hint="eastAsia" w:ascii="宋体" w:hAnsi="宋体" w:cs="宋体"/>
          <w:b/>
          <w:sz w:val="24"/>
        </w:rPr>
      </w:pPr>
      <w:bookmarkStart w:id="155" w:name="_Toc17998772"/>
      <w:bookmarkStart w:id="156" w:name="_Toc13171"/>
      <w:bookmarkStart w:id="157" w:name="_Toc26300523"/>
      <w:bookmarkStart w:id="158" w:name="_Toc17999509"/>
      <w:bookmarkStart w:id="159" w:name="_Toc26291168"/>
      <w:bookmarkStart w:id="160" w:name="_Toc26291068"/>
      <w:bookmarkStart w:id="161" w:name="_Toc26298352"/>
      <w:bookmarkStart w:id="162" w:name="_Toc25661922"/>
      <w:bookmarkStart w:id="163" w:name="_Toc17998945"/>
      <w:bookmarkStart w:id="164" w:name="_Toc29759"/>
      <w:r>
        <w:rPr>
          <w:rFonts w:hint="eastAsia" w:ascii="宋体" w:hAnsi="宋体" w:cs="宋体"/>
          <w:b/>
          <w:sz w:val="24"/>
        </w:rPr>
        <w:t>承诺书</w:t>
      </w:r>
      <w:bookmarkEnd w:id="155"/>
      <w:bookmarkEnd w:id="156"/>
      <w:bookmarkEnd w:id="157"/>
      <w:bookmarkEnd w:id="158"/>
      <w:bookmarkEnd w:id="159"/>
      <w:bookmarkEnd w:id="160"/>
      <w:bookmarkEnd w:id="161"/>
      <w:bookmarkEnd w:id="162"/>
      <w:bookmarkEnd w:id="163"/>
      <w:bookmarkEnd w:id="164"/>
    </w:p>
    <w:p>
      <w:pPr>
        <w:snapToGrid w:val="0"/>
        <w:spacing w:afterLines="50"/>
        <w:ind w:right="-57" w:rightChars="-27"/>
        <w:jc w:val="center"/>
        <w:outlineLvl w:val="2"/>
        <w:rPr>
          <w:rFonts w:hint="eastAsia" w:ascii="宋体" w:hAnsi="宋体" w:cs="宋体"/>
          <w:b/>
          <w:sz w:val="24"/>
        </w:rPr>
      </w:pPr>
    </w:p>
    <w:p>
      <w:pPr>
        <w:ind w:firstLine="480"/>
        <w:rPr>
          <w:rFonts w:hint="eastAsia" w:ascii="宋体" w:hAnsi="宋体" w:cs="宋体"/>
          <w:kern w:val="0"/>
          <w:sz w:val="24"/>
        </w:rPr>
      </w:pPr>
      <w:r>
        <w:rPr>
          <w:rFonts w:hint="eastAsia" w:ascii="宋体" w:hAnsi="宋体" w:cs="宋体"/>
          <w:kern w:val="0"/>
          <w:sz w:val="24"/>
        </w:rPr>
        <w:t xml:space="preserve"> </w:t>
      </w:r>
    </w:p>
    <w:p>
      <w:pPr>
        <w:rPr>
          <w:rFonts w:hint="eastAsia" w:ascii="宋体" w:hAnsi="宋体" w:cs="宋体"/>
          <w:kern w:val="0"/>
          <w:sz w:val="24"/>
          <w:u w:val="single"/>
        </w:rPr>
      </w:pPr>
      <w:r>
        <w:rPr>
          <w:rFonts w:hint="eastAsia" w:ascii="宋体" w:hAnsi="宋体" w:cs="宋体"/>
          <w:kern w:val="0"/>
          <w:sz w:val="24"/>
          <w:u w:val="single"/>
        </w:rPr>
        <w:t xml:space="preserve">(采购人名称)      </w:t>
      </w:r>
    </w:p>
    <w:p>
      <w:pPr>
        <w:ind w:firstLine="480"/>
        <w:rPr>
          <w:rFonts w:hint="eastAsia" w:ascii="宋体" w:hAnsi="宋体" w:cs="宋体"/>
          <w:kern w:val="0"/>
          <w:sz w:val="24"/>
        </w:rPr>
      </w:pPr>
      <w:r>
        <w:rPr>
          <w:rFonts w:hint="eastAsia" w:ascii="宋体" w:hAnsi="宋体" w:cs="宋体"/>
          <w:kern w:val="0"/>
          <w:sz w:val="24"/>
        </w:rPr>
        <w:t xml:space="preserve"> </w:t>
      </w:r>
    </w:p>
    <w:p>
      <w:pPr>
        <w:ind w:firstLine="480"/>
        <w:rPr>
          <w:rFonts w:hint="eastAsia" w:ascii="宋体" w:hAnsi="宋体" w:cs="宋体"/>
          <w:kern w:val="0"/>
          <w:sz w:val="24"/>
        </w:rPr>
      </w:pPr>
      <w:r>
        <w:rPr>
          <w:rFonts w:hint="eastAsia" w:ascii="宋体" w:hAnsi="宋体" w:cs="宋体"/>
          <w:kern w:val="0"/>
          <w:sz w:val="24"/>
        </w:rPr>
        <w:t>我公司承诺</w:t>
      </w:r>
      <w:r>
        <w:rPr>
          <w:rFonts w:hint="eastAsia" w:ascii="宋体" w:hAnsi="宋体" w:cs="宋体"/>
          <w:sz w:val="24"/>
        </w:rPr>
        <w:t>具备履行合同所必需的设备和专业技术能力</w:t>
      </w:r>
      <w:r>
        <w:rPr>
          <w:rFonts w:hint="eastAsia" w:ascii="宋体" w:hAnsi="宋体" w:cs="宋体"/>
          <w:kern w:val="0"/>
          <w:sz w:val="24"/>
        </w:rPr>
        <w:t>。</w:t>
      </w:r>
    </w:p>
    <w:p>
      <w:pPr>
        <w:ind w:firstLine="480"/>
        <w:rPr>
          <w:rFonts w:hint="eastAsia" w:ascii="宋体" w:hAnsi="宋体" w:cs="宋体"/>
          <w:b/>
          <w:sz w:val="24"/>
        </w:rPr>
      </w:pPr>
      <w:r>
        <w:rPr>
          <w:rFonts w:hint="eastAsia" w:ascii="宋体" w:hAnsi="宋体" w:cs="宋体"/>
          <w:b/>
          <w:sz w:val="24"/>
        </w:rPr>
        <w:t xml:space="preserve"> </w:t>
      </w:r>
    </w:p>
    <w:p>
      <w:pPr>
        <w:spacing w:beforeLines="50" w:line="440" w:lineRule="exact"/>
        <w:ind w:left="-103" w:leftChars="-49" w:firstLine="616" w:firstLineChars="257"/>
        <w:rPr>
          <w:rFonts w:hint="eastAsia" w:ascii="宋体" w:hAnsi="宋体" w:cs="宋体"/>
          <w:sz w:val="24"/>
        </w:rPr>
      </w:pPr>
      <w:r>
        <w:rPr>
          <w:rFonts w:hint="eastAsia" w:ascii="宋体" w:hAnsi="宋体" w:cs="宋体"/>
          <w:sz w:val="24"/>
        </w:rPr>
        <w:t>供应商：（公章）</w:t>
      </w:r>
    </w:p>
    <w:p>
      <w:pPr>
        <w:spacing w:beforeLines="50" w:line="440" w:lineRule="exact"/>
        <w:ind w:left="460" w:leftChars="219"/>
        <w:rPr>
          <w:rFonts w:hint="eastAsia" w:ascii="宋体" w:hAnsi="宋体" w:cs="宋体"/>
          <w:sz w:val="24"/>
        </w:rPr>
      </w:pPr>
      <w:r>
        <w:rPr>
          <w:rFonts w:hint="eastAsia" w:ascii="宋体" w:hAnsi="宋体" w:cs="宋体"/>
          <w:sz w:val="24"/>
        </w:rPr>
        <w:t>法定代表人或其授权代表：（签字）</w:t>
      </w:r>
    </w:p>
    <w:p>
      <w:pPr>
        <w:spacing w:beforeLines="50" w:line="440" w:lineRule="exact"/>
        <w:ind w:left="460" w:leftChars="219"/>
        <w:rPr>
          <w:rFonts w:hint="eastAsia" w:ascii="宋体" w:hAnsi="宋体" w:cs="宋体"/>
          <w:sz w:val="24"/>
        </w:rPr>
      </w:pPr>
      <w:r>
        <w:rPr>
          <w:rFonts w:hint="eastAsia" w:ascii="宋体" w:hAnsi="宋体" w:cs="宋体"/>
          <w:sz w:val="24"/>
        </w:rPr>
        <w:t>日期：</w:t>
      </w:r>
    </w:p>
    <w:p>
      <w:pPr>
        <w:pStyle w:val="5"/>
        <w:rPr>
          <w:rFonts w:hint="eastAsia" w:hAnsi="宋体" w:cs="宋体"/>
          <w:b/>
          <w:szCs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adjustRightInd w:val="0"/>
        <w:spacing w:line="360" w:lineRule="atLeast"/>
        <w:jc w:val="left"/>
        <w:textAlignment w:val="baseline"/>
        <w:rPr>
          <w:rFonts w:hint="eastAsia" w:ascii="宋体" w:hAnsi="宋体" w:cs="宋体"/>
          <w:b/>
          <w:sz w:val="24"/>
        </w:rPr>
      </w:pPr>
    </w:p>
    <w:p>
      <w:pPr>
        <w:snapToGrid w:val="0"/>
        <w:spacing w:afterLines="50"/>
        <w:ind w:right="-57" w:rightChars="-27"/>
        <w:jc w:val="left"/>
        <w:outlineLvl w:val="2"/>
        <w:rPr>
          <w:rFonts w:hint="eastAsia" w:ascii="宋体" w:hAnsi="宋体" w:cs="宋体"/>
          <w:b/>
          <w:sz w:val="24"/>
        </w:rPr>
      </w:pPr>
      <w:bookmarkStart w:id="165" w:name="_Toc25661923"/>
      <w:bookmarkStart w:id="166" w:name="_Toc7238"/>
      <w:bookmarkStart w:id="167" w:name="_Toc17998773"/>
      <w:bookmarkStart w:id="168" w:name="_Toc17998946"/>
      <w:bookmarkStart w:id="169" w:name="_Toc26291169"/>
      <w:bookmarkStart w:id="170" w:name="_Toc26291069"/>
      <w:bookmarkStart w:id="171" w:name="_Toc26300524"/>
      <w:bookmarkStart w:id="172" w:name="_Toc26298353"/>
      <w:bookmarkStart w:id="173" w:name="_Toc17999510"/>
      <w:bookmarkStart w:id="174" w:name="_Toc19146"/>
      <w:r>
        <w:rPr>
          <w:rFonts w:hint="eastAsia" w:ascii="宋体" w:hAnsi="宋体" w:cs="宋体"/>
          <w:b/>
          <w:sz w:val="24"/>
        </w:rPr>
        <w:t>5、供应商参加政府采购活动前3年内在经营活动中没有重大违法记录的书面声明</w:t>
      </w:r>
      <w:bookmarkEnd w:id="165"/>
      <w:bookmarkEnd w:id="166"/>
      <w:bookmarkEnd w:id="167"/>
      <w:bookmarkEnd w:id="168"/>
      <w:bookmarkEnd w:id="169"/>
      <w:bookmarkEnd w:id="170"/>
      <w:bookmarkEnd w:id="171"/>
      <w:bookmarkEnd w:id="172"/>
      <w:bookmarkEnd w:id="173"/>
      <w:r>
        <w:rPr>
          <w:rFonts w:hint="eastAsia" w:ascii="宋体" w:hAnsi="宋体" w:cs="宋体"/>
          <w:b/>
          <w:sz w:val="24"/>
        </w:rPr>
        <w:t>书</w:t>
      </w:r>
      <w:bookmarkEnd w:id="174"/>
    </w:p>
    <w:p>
      <w:pPr>
        <w:jc w:val="center"/>
        <w:rPr>
          <w:rFonts w:hint="eastAsia" w:ascii="宋体" w:hAnsi="宋体" w:cs="宋体"/>
          <w:sz w:val="24"/>
        </w:rPr>
      </w:pPr>
      <w:r>
        <w:rPr>
          <w:rFonts w:hint="eastAsia" w:ascii="宋体" w:hAnsi="宋体" w:cs="宋体"/>
          <w:sz w:val="24"/>
        </w:rPr>
        <w:t xml:space="preserve"> </w:t>
      </w:r>
    </w:p>
    <w:p>
      <w:pPr>
        <w:jc w:val="center"/>
        <w:rPr>
          <w:rFonts w:hint="eastAsia" w:ascii="宋体" w:hAnsi="宋体" w:cs="宋体"/>
          <w:b/>
          <w:sz w:val="24"/>
        </w:rPr>
      </w:pPr>
      <w:r>
        <w:rPr>
          <w:rFonts w:hint="eastAsia" w:ascii="宋体" w:hAnsi="宋体" w:cs="宋体"/>
          <w:b/>
          <w:sz w:val="24"/>
        </w:rPr>
        <w:t>声明书</w:t>
      </w:r>
    </w:p>
    <w:p>
      <w:pPr>
        <w:jc w:val="center"/>
        <w:rPr>
          <w:rFonts w:hint="eastAsia" w:ascii="宋体" w:hAnsi="宋体" w:cs="宋体"/>
          <w:sz w:val="24"/>
        </w:rPr>
      </w:pPr>
      <w:r>
        <w:rPr>
          <w:rFonts w:hint="eastAsia" w:ascii="宋体" w:hAnsi="宋体" w:cs="宋体"/>
          <w:sz w:val="24"/>
        </w:rPr>
        <w:t xml:space="preserve"> </w:t>
      </w:r>
    </w:p>
    <w:p>
      <w:pPr>
        <w:spacing w:before="120"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（采购人）  </w:t>
      </w:r>
    </w:p>
    <w:p>
      <w:pPr>
        <w:spacing w:before="120" w:line="360" w:lineRule="auto"/>
        <w:ind w:firstLine="480" w:firstLineChars="200"/>
        <w:rPr>
          <w:rFonts w:hint="eastAsia" w:ascii="宋体" w:hAnsi="宋体" w:cs="宋体"/>
          <w:sz w:val="24"/>
        </w:rPr>
      </w:pPr>
      <w:r>
        <w:rPr>
          <w:rFonts w:hint="eastAsia" w:ascii="宋体" w:hAnsi="宋体" w:cs="宋体"/>
          <w:sz w:val="24"/>
        </w:rPr>
        <w:t xml:space="preserve"> </w:t>
      </w:r>
    </w:p>
    <w:p>
      <w:pPr>
        <w:spacing w:before="120" w:line="360" w:lineRule="auto"/>
        <w:ind w:firstLine="480" w:firstLineChars="200"/>
        <w:rPr>
          <w:rFonts w:hint="eastAsia" w:ascii="宋体" w:hAnsi="宋体" w:cs="宋体"/>
          <w:sz w:val="24"/>
        </w:rPr>
      </w:pPr>
      <w:r>
        <w:rPr>
          <w:rFonts w:hint="eastAsia" w:ascii="宋体" w:hAnsi="宋体" w:cs="宋体"/>
          <w:sz w:val="24"/>
        </w:rPr>
        <w:t>1、我公司郑重承诺在参加本项目政府采购活动前三年内，在经营活动中____（填“没有”或“有”）重大违法记录。</w:t>
      </w:r>
    </w:p>
    <w:p>
      <w:pPr>
        <w:widowControl/>
        <w:spacing w:line="500" w:lineRule="exact"/>
        <w:ind w:firstLine="480" w:firstLineChars="200"/>
        <w:rPr>
          <w:rFonts w:hint="eastAsia" w:ascii="宋体" w:hAnsi="宋体" w:cs="宋体"/>
          <w:sz w:val="24"/>
        </w:rPr>
      </w:pPr>
      <w:r>
        <w:rPr>
          <w:rFonts w:hint="eastAsia" w:ascii="宋体" w:hAnsi="宋体" w:cs="宋体"/>
          <w:sz w:val="24"/>
        </w:rPr>
        <w:t>2、我方______（填“未被列入”或“被列入”）失信被执行人名单。</w:t>
      </w:r>
    </w:p>
    <w:p>
      <w:pPr>
        <w:widowControl/>
        <w:spacing w:line="500" w:lineRule="exact"/>
        <w:ind w:firstLine="480" w:firstLineChars="200"/>
        <w:rPr>
          <w:rFonts w:hint="eastAsia" w:ascii="宋体" w:hAnsi="宋体" w:cs="宋体"/>
          <w:sz w:val="24"/>
        </w:rPr>
      </w:pPr>
      <w:r>
        <w:rPr>
          <w:rFonts w:hint="eastAsia" w:ascii="宋体" w:hAnsi="宋体" w:cs="宋体"/>
          <w:sz w:val="24"/>
        </w:rPr>
        <w:t>3、我方______（填“未被列入”或“被列入”）重大税收违法案件当事人名单。</w:t>
      </w:r>
    </w:p>
    <w:p>
      <w:pPr>
        <w:widowControl/>
        <w:spacing w:line="500" w:lineRule="exact"/>
        <w:ind w:firstLine="480" w:firstLineChars="200"/>
        <w:rPr>
          <w:rFonts w:hint="eastAsia" w:ascii="宋体" w:hAnsi="宋体" w:cs="宋体"/>
          <w:sz w:val="24"/>
        </w:rPr>
      </w:pPr>
      <w:r>
        <w:rPr>
          <w:rFonts w:hint="eastAsia" w:ascii="宋体" w:hAnsi="宋体" w:cs="宋体"/>
          <w:sz w:val="24"/>
        </w:rPr>
        <w:t>4、我方______（填“未被列入”或“被列入”）政府采购严重违法失信行为记录名单。</w:t>
      </w:r>
    </w:p>
    <w:p>
      <w:pPr>
        <w:widowControl/>
        <w:spacing w:line="500" w:lineRule="exact"/>
        <w:ind w:firstLine="480" w:firstLineChars="200"/>
        <w:rPr>
          <w:rFonts w:hint="eastAsia" w:ascii="宋体" w:hAnsi="宋体" w:cs="宋体"/>
          <w:sz w:val="24"/>
        </w:rPr>
      </w:pPr>
      <w:r>
        <w:rPr>
          <w:rFonts w:hint="eastAsia" w:ascii="宋体" w:hAnsi="宋体" w:cs="宋体"/>
          <w:sz w:val="24"/>
        </w:rPr>
        <w:t>如有不实，我方将无条件地退出本项目的采购活动，并遵照《政府采购法》有关“提供虚假材料的规定”接受处罚。</w:t>
      </w:r>
    </w:p>
    <w:p>
      <w:pPr>
        <w:widowControl/>
        <w:spacing w:line="500" w:lineRule="exact"/>
        <w:ind w:firstLine="480" w:firstLineChars="200"/>
        <w:rPr>
          <w:rFonts w:hint="eastAsia" w:ascii="宋体" w:hAnsi="宋体" w:cs="宋体"/>
          <w:sz w:val="24"/>
        </w:rPr>
      </w:pPr>
      <w:r>
        <w:rPr>
          <w:rFonts w:hint="eastAsia" w:ascii="宋体" w:hAnsi="宋体" w:cs="宋体"/>
          <w:sz w:val="24"/>
        </w:rPr>
        <w:t>特此声明。</w:t>
      </w:r>
    </w:p>
    <w:p>
      <w:pPr>
        <w:spacing w:before="120" w:line="360" w:lineRule="auto"/>
        <w:ind w:firstLine="480" w:firstLineChars="200"/>
        <w:rPr>
          <w:rFonts w:hint="eastAsia" w:ascii="宋体" w:hAnsi="宋体" w:cs="宋体"/>
          <w:sz w:val="24"/>
        </w:rPr>
      </w:pPr>
    </w:p>
    <w:p>
      <w:pPr>
        <w:spacing w:before="120" w:line="360" w:lineRule="auto"/>
        <w:ind w:firstLine="480" w:firstLineChars="200"/>
        <w:rPr>
          <w:rFonts w:hint="eastAsia" w:ascii="宋体" w:hAnsi="宋体" w:cs="宋体"/>
          <w:sz w:val="24"/>
        </w:rPr>
      </w:pPr>
      <w:r>
        <w:rPr>
          <w:rFonts w:hint="eastAsia" w:ascii="宋体" w:hAnsi="宋体" w:cs="宋体"/>
          <w:sz w:val="24"/>
        </w:rPr>
        <w:t xml:space="preserve"> </w:t>
      </w:r>
    </w:p>
    <w:p>
      <w:pPr>
        <w:spacing w:before="120" w:line="360" w:lineRule="auto"/>
        <w:ind w:firstLine="480" w:firstLineChars="200"/>
        <w:rPr>
          <w:rFonts w:hint="eastAsia" w:ascii="宋体" w:hAnsi="宋体" w:cs="宋体"/>
          <w:sz w:val="24"/>
        </w:rPr>
      </w:pPr>
      <w:r>
        <w:rPr>
          <w:rFonts w:hint="eastAsia" w:ascii="宋体" w:hAnsi="宋体" w:cs="宋体"/>
          <w:sz w:val="24"/>
        </w:rPr>
        <w:t xml:space="preserve"> </w:t>
      </w:r>
    </w:p>
    <w:p>
      <w:pPr>
        <w:pStyle w:val="40"/>
        <w:widowControl w:val="0"/>
        <w:spacing w:before="0" w:beforeAutospacing="0" w:after="0" w:afterAutospacing="0" w:line="360" w:lineRule="auto"/>
        <w:ind w:firstLine="240" w:firstLineChars="100"/>
        <w:jc w:val="both"/>
        <w:rPr>
          <w:rFonts w:hint="eastAsia"/>
          <w:u w:val="single"/>
        </w:rPr>
      </w:pPr>
      <w:r>
        <w:rPr>
          <w:rFonts w:hint="eastAsia"/>
          <w:kern w:val="2"/>
        </w:rPr>
        <w:t>供应商(盖章)：</w:t>
      </w:r>
      <w:r>
        <w:rPr>
          <w:rFonts w:hint="eastAsia"/>
          <w:kern w:val="2"/>
          <w:u w:val="single"/>
        </w:rPr>
        <w:tab/>
      </w:r>
      <w:r>
        <w:rPr>
          <w:rFonts w:hint="eastAsia"/>
          <w:kern w:val="2"/>
          <w:u w:val="single"/>
        </w:rPr>
        <w:tab/>
      </w:r>
    </w:p>
    <w:p>
      <w:pPr>
        <w:pStyle w:val="40"/>
        <w:widowControl w:val="0"/>
        <w:spacing w:before="0" w:beforeAutospacing="0" w:after="0" w:afterAutospacing="0" w:line="360" w:lineRule="auto"/>
        <w:ind w:firstLine="240" w:firstLineChars="100"/>
        <w:jc w:val="both"/>
        <w:rPr>
          <w:rFonts w:hint="eastAsia"/>
        </w:rPr>
      </w:pPr>
      <w:r>
        <w:rPr>
          <w:rFonts w:hint="eastAsia"/>
          <w:kern w:val="2"/>
        </w:rPr>
        <w:t>供应商授权代表（签字）：________</w:t>
      </w:r>
    </w:p>
    <w:p>
      <w:pPr>
        <w:spacing w:beforeLines="50" w:line="440" w:lineRule="exact"/>
        <w:ind w:firstLine="240" w:firstLineChars="100"/>
        <w:rPr>
          <w:rFonts w:hint="eastAsia" w:ascii="宋体" w:hAnsi="宋体" w:cs="宋体"/>
          <w:sz w:val="24"/>
        </w:rPr>
      </w:pPr>
      <w:r>
        <w:rPr>
          <w:rFonts w:hint="eastAsia" w:ascii="宋体" w:hAnsi="宋体" w:cs="宋体"/>
          <w:sz w:val="24"/>
        </w:rPr>
        <w:t>日期：</w:t>
      </w:r>
    </w:p>
    <w:p>
      <w:pPr>
        <w:snapToGrid w:val="0"/>
        <w:spacing w:afterLines="50" w:line="360" w:lineRule="auto"/>
        <w:ind w:right="-57" w:rightChars="-27"/>
        <w:jc w:val="left"/>
        <w:rPr>
          <w:rFonts w:hint="eastAsia" w:ascii="宋体" w:hAnsi="宋体" w:cs="宋体"/>
          <w:b/>
          <w:sz w:val="24"/>
        </w:rPr>
      </w:pPr>
    </w:p>
    <w:p>
      <w:pPr>
        <w:snapToGrid w:val="0"/>
        <w:spacing w:afterLines="50" w:line="360" w:lineRule="auto"/>
        <w:ind w:right="-57" w:rightChars="-27"/>
        <w:jc w:val="left"/>
        <w:rPr>
          <w:rFonts w:hint="eastAsia" w:ascii="宋体" w:hAnsi="宋体" w:cs="宋体"/>
          <w:b/>
          <w:sz w:val="24"/>
        </w:rPr>
      </w:pPr>
    </w:p>
    <w:p>
      <w:pPr>
        <w:snapToGrid w:val="0"/>
        <w:spacing w:afterLines="50" w:line="360" w:lineRule="auto"/>
        <w:ind w:right="-57" w:rightChars="-27"/>
        <w:jc w:val="left"/>
        <w:rPr>
          <w:rFonts w:hint="eastAsia" w:ascii="宋体" w:hAnsi="宋体" w:cs="宋体"/>
          <w:b/>
          <w:sz w:val="24"/>
        </w:rPr>
      </w:pPr>
    </w:p>
    <w:p>
      <w:pPr>
        <w:snapToGrid w:val="0"/>
        <w:spacing w:afterLines="50" w:line="360" w:lineRule="auto"/>
        <w:ind w:right="-57" w:rightChars="-27"/>
        <w:jc w:val="left"/>
        <w:rPr>
          <w:rFonts w:hint="eastAsia" w:ascii="宋体" w:hAnsi="宋体" w:cs="宋体"/>
          <w:b/>
          <w:sz w:val="24"/>
        </w:rPr>
      </w:pPr>
    </w:p>
    <w:p>
      <w:pPr>
        <w:snapToGrid w:val="0"/>
        <w:spacing w:afterLines="50" w:line="360" w:lineRule="auto"/>
        <w:ind w:right="-57" w:rightChars="-27"/>
        <w:jc w:val="left"/>
        <w:rPr>
          <w:rFonts w:hint="eastAsia" w:ascii="宋体" w:hAnsi="宋体" w:cs="宋体"/>
          <w:b/>
          <w:sz w:val="24"/>
        </w:rPr>
      </w:pPr>
    </w:p>
    <w:p>
      <w:pPr>
        <w:snapToGrid w:val="0"/>
        <w:spacing w:afterLines="50"/>
        <w:ind w:right="-57" w:rightChars="-27"/>
        <w:jc w:val="left"/>
        <w:outlineLvl w:val="2"/>
        <w:rPr>
          <w:rFonts w:hint="eastAsia" w:ascii="宋体" w:hAnsi="宋体" w:cs="宋体"/>
          <w:b/>
          <w:sz w:val="24"/>
        </w:rPr>
      </w:pPr>
    </w:p>
    <w:p>
      <w:pPr>
        <w:pStyle w:val="40"/>
        <w:shd w:val="clear" w:color="auto" w:fill="FFFFFF"/>
        <w:spacing w:before="132" w:beforeAutospacing="0" w:after="378" w:afterAutospacing="0" w:line="360" w:lineRule="auto"/>
        <w:rPr>
          <w:rFonts w:hint="eastAsia"/>
          <w:b/>
        </w:rPr>
      </w:pPr>
      <w:bookmarkStart w:id="175" w:name="_Toc17999516"/>
      <w:bookmarkStart w:id="176" w:name="_Toc26291175"/>
      <w:bookmarkStart w:id="177" w:name="_Toc26298359"/>
      <w:bookmarkStart w:id="178" w:name="_Toc17998952"/>
      <w:bookmarkStart w:id="179" w:name="_Toc17998779"/>
      <w:bookmarkStart w:id="180" w:name="_Toc31975"/>
      <w:bookmarkStart w:id="181" w:name="_Toc25661931"/>
      <w:bookmarkStart w:id="182" w:name="_Toc26300530"/>
      <w:bookmarkStart w:id="183" w:name="_Toc26291075"/>
      <w:r>
        <w:rPr>
          <w:rFonts w:hint="eastAsia"/>
          <w:bCs/>
          <w:kern w:val="2"/>
        </w:rPr>
        <w:t>6、</w:t>
      </w:r>
      <w:r>
        <w:rPr>
          <w:rFonts w:hint="eastAsia"/>
          <w:b/>
        </w:rPr>
        <w:t>供应商控股股东名称、控股公司的名称和存在管理、被管理关系的单位名称说明</w:t>
      </w:r>
      <w:bookmarkEnd w:id="175"/>
      <w:bookmarkEnd w:id="176"/>
      <w:bookmarkEnd w:id="177"/>
      <w:bookmarkEnd w:id="178"/>
      <w:bookmarkEnd w:id="179"/>
      <w:bookmarkEnd w:id="180"/>
      <w:bookmarkEnd w:id="181"/>
      <w:bookmarkEnd w:id="182"/>
      <w:bookmarkEnd w:id="183"/>
    </w:p>
    <w:p>
      <w:pPr>
        <w:ind w:firstLine="420"/>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致：</w:t>
      </w:r>
    </w:p>
    <w:p>
      <w:pPr>
        <w:ind w:firstLine="426"/>
        <w:rPr>
          <w:rFonts w:hint="eastAsia" w:ascii="宋体" w:hAnsi="宋体" w:cs="宋体"/>
          <w:sz w:val="24"/>
        </w:rPr>
      </w:pPr>
      <w:r>
        <w:rPr>
          <w:rFonts w:hint="eastAsia" w:ascii="宋体" w:hAnsi="宋体" w:cs="宋体"/>
          <w:sz w:val="24"/>
        </w:rPr>
        <w:t>与我方的法定代表人（单位负责人）为同一人的企业如下：</w:t>
      </w:r>
    </w:p>
    <w:p>
      <w:pPr>
        <w:ind w:firstLine="426"/>
        <w:rPr>
          <w:rFonts w:hint="eastAsia" w:ascii="宋体" w:hAnsi="宋体" w:cs="宋体"/>
          <w:sz w:val="24"/>
        </w:rPr>
      </w:pPr>
      <w:r>
        <w:rPr>
          <w:rFonts w:hint="eastAsia" w:ascii="宋体" w:hAnsi="宋体" w:cs="宋体"/>
          <w:sz w:val="24"/>
        </w:rPr>
        <w:t xml:space="preserve"> </w:t>
      </w:r>
    </w:p>
    <w:p>
      <w:pPr>
        <w:ind w:firstLine="426"/>
        <w:rPr>
          <w:rFonts w:hint="eastAsia" w:ascii="宋体" w:hAnsi="宋体" w:cs="宋体"/>
          <w:sz w:val="24"/>
        </w:rPr>
      </w:pPr>
      <w:r>
        <w:rPr>
          <w:rFonts w:hint="eastAsia" w:ascii="宋体" w:hAnsi="宋体" w:cs="宋体"/>
          <w:sz w:val="24"/>
        </w:rPr>
        <w:t>我方的控股股东如下：</w:t>
      </w:r>
    </w:p>
    <w:p>
      <w:pPr>
        <w:ind w:firstLine="426"/>
        <w:rPr>
          <w:rFonts w:hint="eastAsia" w:ascii="宋体" w:hAnsi="宋体" w:cs="宋体"/>
          <w:sz w:val="24"/>
        </w:rPr>
      </w:pPr>
      <w:r>
        <w:rPr>
          <w:rFonts w:hint="eastAsia" w:ascii="宋体" w:hAnsi="宋体" w:cs="宋体"/>
          <w:sz w:val="24"/>
        </w:rPr>
        <w:t xml:space="preserve"> </w:t>
      </w:r>
    </w:p>
    <w:p>
      <w:pPr>
        <w:ind w:firstLine="426"/>
        <w:rPr>
          <w:rFonts w:hint="eastAsia" w:ascii="宋体" w:hAnsi="宋体" w:cs="宋体"/>
          <w:sz w:val="24"/>
        </w:rPr>
      </w:pPr>
      <w:r>
        <w:rPr>
          <w:rFonts w:hint="eastAsia" w:ascii="宋体" w:hAnsi="宋体" w:cs="宋体"/>
          <w:sz w:val="24"/>
        </w:rPr>
        <w:t>我方直接控股的企业如下：</w:t>
      </w:r>
    </w:p>
    <w:p>
      <w:pPr>
        <w:ind w:firstLine="426"/>
        <w:rPr>
          <w:rFonts w:hint="eastAsia" w:ascii="宋体" w:hAnsi="宋体" w:cs="宋体"/>
          <w:sz w:val="24"/>
        </w:rPr>
      </w:pPr>
      <w:r>
        <w:rPr>
          <w:rFonts w:hint="eastAsia" w:ascii="宋体" w:hAnsi="宋体" w:cs="宋体"/>
          <w:sz w:val="24"/>
        </w:rPr>
        <w:t xml:space="preserve"> </w:t>
      </w:r>
    </w:p>
    <w:p>
      <w:pPr>
        <w:ind w:firstLine="426"/>
        <w:rPr>
          <w:rFonts w:hint="eastAsia" w:ascii="宋体" w:hAnsi="宋体" w:cs="宋体"/>
          <w:sz w:val="24"/>
        </w:rPr>
      </w:pPr>
      <w:r>
        <w:rPr>
          <w:rFonts w:hint="eastAsia" w:ascii="宋体" w:hAnsi="宋体" w:cs="宋体"/>
          <w:sz w:val="24"/>
        </w:rPr>
        <w:t>与我方存在管理、被管理关系的单位名称如下：</w:t>
      </w:r>
    </w:p>
    <w:p>
      <w:pPr>
        <w:ind w:firstLine="426"/>
        <w:rPr>
          <w:rFonts w:hint="eastAsia" w:ascii="宋体" w:hAnsi="宋体" w:cs="宋体"/>
          <w:sz w:val="24"/>
        </w:rPr>
      </w:pPr>
      <w:r>
        <w:rPr>
          <w:rFonts w:hint="eastAsia" w:ascii="宋体" w:hAnsi="宋体" w:cs="宋体"/>
          <w:sz w:val="24"/>
        </w:rPr>
        <w:t xml:space="preserve"> </w:t>
      </w:r>
    </w:p>
    <w:p>
      <w:pPr>
        <w:ind w:firstLine="426"/>
        <w:rPr>
          <w:rFonts w:hint="eastAsia" w:ascii="宋体" w:hAnsi="宋体" w:cs="宋体"/>
          <w:sz w:val="24"/>
        </w:rPr>
      </w:pPr>
      <w:r>
        <w:rPr>
          <w:rFonts w:hint="eastAsia" w:ascii="宋体" w:hAnsi="宋体" w:cs="宋体"/>
          <w:sz w:val="24"/>
        </w:rPr>
        <w:t xml:space="preserve"> </w:t>
      </w:r>
    </w:p>
    <w:p>
      <w:pPr>
        <w:spacing w:line="360" w:lineRule="auto"/>
        <w:ind w:firstLine="426"/>
        <w:rPr>
          <w:rFonts w:hint="eastAsia" w:ascii="宋体" w:hAnsi="宋体" w:cs="宋体"/>
          <w:sz w:val="24"/>
        </w:rPr>
      </w:pPr>
      <w:r>
        <w:rPr>
          <w:rFonts w:hint="eastAsia" w:ascii="宋体" w:hAnsi="宋体" w:cs="宋体"/>
          <w:sz w:val="24"/>
        </w:rPr>
        <w:t xml:space="preserve">供应商（公章）： </w:t>
      </w:r>
    </w:p>
    <w:p>
      <w:pPr>
        <w:spacing w:line="360" w:lineRule="auto"/>
        <w:ind w:firstLine="420"/>
        <w:rPr>
          <w:rFonts w:hint="eastAsia" w:ascii="宋体" w:hAnsi="宋体" w:cs="宋体"/>
          <w:sz w:val="24"/>
        </w:rPr>
      </w:pPr>
      <w:r>
        <w:rPr>
          <w:rFonts w:hint="eastAsia" w:ascii="宋体" w:hAnsi="宋体" w:cs="宋体"/>
          <w:sz w:val="24"/>
        </w:rPr>
        <w:t>法定代表人或其授权代表（签字）：</w:t>
      </w:r>
    </w:p>
    <w:p>
      <w:pPr>
        <w:spacing w:line="360" w:lineRule="auto"/>
        <w:ind w:firstLine="480" w:firstLineChars="200"/>
        <w:rPr>
          <w:rFonts w:hint="eastAsia" w:ascii="宋体" w:hAnsi="宋体" w:cs="宋体"/>
          <w:sz w:val="24"/>
        </w:rPr>
      </w:pPr>
      <w:r>
        <w:rPr>
          <w:rFonts w:hint="eastAsia" w:ascii="宋体" w:hAnsi="宋体" w:cs="宋体"/>
          <w:sz w:val="24"/>
        </w:rPr>
        <w:t>日    期：     年   月    日</w:t>
      </w:r>
    </w:p>
    <w:p>
      <w:pPr>
        <w:ind w:firstLine="480" w:firstLineChars="200"/>
        <w:rPr>
          <w:rFonts w:hint="eastAsia" w:ascii="宋体" w:hAnsi="宋体" w:cs="宋体"/>
          <w:sz w:val="24"/>
        </w:rPr>
      </w:pPr>
      <w:r>
        <w:rPr>
          <w:rFonts w:hint="eastAsia" w:ascii="宋体" w:hAnsi="宋体" w:cs="宋体"/>
          <w:sz w:val="24"/>
        </w:rPr>
        <w:t xml:space="preserve"> </w:t>
      </w: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pStyle w:val="43"/>
        <w:ind w:firstLine="0"/>
        <w:jc w:val="both"/>
        <w:rPr>
          <w:rFonts w:hint="eastAsia" w:ascii="宋体" w:hAnsi="宋体" w:cs="宋体"/>
        </w:rPr>
      </w:pPr>
    </w:p>
    <w:p>
      <w:pPr>
        <w:pStyle w:val="43"/>
        <w:rPr>
          <w:rFonts w:hint="eastAsia" w:ascii="宋体" w:hAnsi="宋体" w:cs="宋体"/>
        </w:rPr>
      </w:pPr>
    </w:p>
    <w:p>
      <w:pPr>
        <w:jc w:val="center"/>
        <w:outlineLvl w:val="1"/>
        <w:rPr>
          <w:rFonts w:hint="eastAsia" w:ascii="宋体" w:hAnsi="宋体" w:cs="宋体"/>
          <w:b/>
          <w:bCs/>
          <w:sz w:val="32"/>
          <w:szCs w:val="32"/>
        </w:rPr>
      </w:pPr>
      <w:bookmarkStart w:id="184" w:name="_Toc22134"/>
      <w:bookmarkStart w:id="185" w:name="_Toc26300532"/>
      <w:bookmarkStart w:id="186" w:name="_Toc4441"/>
      <w:r>
        <w:rPr>
          <w:rFonts w:hint="eastAsia" w:ascii="宋体" w:hAnsi="宋体" w:cs="宋体"/>
          <w:b/>
          <w:bCs/>
          <w:sz w:val="32"/>
          <w:szCs w:val="32"/>
        </w:rPr>
        <w:t>二、法定代表人授权委托书</w:t>
      </w:r>
      <w:bookmarkEnd w:id="184"/>
      <w:bookmarkEnd w:id="185"/>
      <w:bookmarkEnd w:id="186"/>
    </w:p>
    <w:p>
      <w:pPr>
        <w:spacing w:line="360" w:lineRule="auto"/>
        <w:ind w:firstLine="420" w:firstLineChars="200"/>
        <w:rPr>
          <w:rFonts w:hint="eastAsia" w:ascii="宋体" w:hAnsi="宋体" w:cs="宋体"/>
        </w:rPr>
      </w:pPr>
    </w:p>
    <w:p>
      <w:pPr>
        <w:spacing w:line="360" w:lineRule="auto"/>
        <w:ind w:firstLine="482" w:firstLineChars="200"/>
        <w:jc w:val="center"/>
        <w:rPr>
          <w:rFonts w:hint="eastAsia" w:ascii="宋体" w:hAnsi="宋体" w:cs="宋体"/>
        </w:rPr>
      </w:pPr>
      <w:r>
        <w:rPr>
          <w:rFonts w:hint="eastAsia" w:ascii="宋体" w:hAnsi="宋体" w:cs="宋体"/>
          <w:b/>
          <w:bCs/>
          <w:sz w:val="24"/>
          <w:szCs w:val="32"/>
        </w:rPr>
        <w:t>1.法定代表人身份证明书</w:t>
      </w:r>
    </w:p>
    <w:p>
      <w:pPr>
        <w:spacing w:line="360" w:lineRule="auto"/>
        <w:ind w:firstLine="420" w:firstLineChars="200"/>
        <w:rPr>
          <w:rFonts w:hint="eastAsia" w:ascii="宋体" w:hAnsi="宋体" w:cs="宋体"/>
        </w:rPr>
      </w:pPr>
    </w:p>
    <w:p>
      <w:pPr>
        <w:spacing w:line="480" w:lineRule="auto"/>
        <w:ind w:firstLine="480" w:firstLineChars="200"/>
        <w:rPr>
          <w:rFonts w:hint="eastAsia" w:ascii="宋体" w:hAnsi="宋体" w:cs="宋体"/>
          <w:sz w:val="24"/>
        </w:rPr>
      </w:pPr>
      <w:r>
        <w:rPr>
          <w:rFonts w:hint="eastAsia" w:ascii="宋体" w:hAnsi="宋体" w:cs="宋体"/>
          <w:sz w:val="24"/>
        </w:rPr>
        <w:t>供应商名称：</w:t>
      </w:r>
    </w:p>
    <w:p>
      <w:pPr>
        <w:spacing w:line="480" w:lineRule="auto"/>
        <w:ind w:firstLine="480" w:firstLineChars="200"/>
        <w:rPr>
          <w:rFonts w:hint="eastAsia" w:ascii="宋体" w:hAnsi="宋体" w:cs="宋体"/>
          <w:sz w:val="24"/>
        </w:rPr>
      </w:pPr>
      <w:r>
        <w:rPr>
          <w:rFonts w:hint="eastAsia" w:ascii="宋体" w:hAnsi="宋体" w:cs="宋体"/>
          <w:sz w:val="24"/>
        </w:rPr>
        <w:t>单位性质：</w:t>
      </w:r>
    </w:p>
    <w:p>
      <w:pPr>
        <w:spacing w:line="480" w:lineRule="auto"/>
        <w:ind w:firstLine="480" w:firstLineChars="200"/>
        <w:rPr>
          <w:rFonts w:hint="eastAsia" w:ascii="宋体" w:hAnsi="宋体" w:cs="宋体"/>
          <w:sz w:val="24"/>
        </w:rPr>
      </w:pPr>
      <w:r>
        <w:rPr>
          <w:rFonts w:hint="eastAsia" w:ascii="宋体" w:hAnsi="宋体" w:cs="宋体"/>
          <w:sz w:val="24"/>
        </w:rPr>
        <w:t>地址：</w:t>
      </w:r>
    </w:p>
    <w:p>
      <w:pPr>
        <w:spacing w:line="480" w:lineRule="auto"/>
        <w:ind w:firstLine="480" w:firstLineChars="200"/>
        <w:rPr>
          <w:rFonts w:hint="eastAsia" w:ascii="宋体" w:hAnsi="宋体" w:cs="宋体"/>
          <w:sz w:val="24"/>
        </w:rPr>
      </w:pPr>
      <w:r>
        <w:rPr>
          <w:rFonts w:hint="eastAsia" w:ascii="宋体" w:hAnsi="宋体" w:cs="宋体"/>
          <w:sz w:val="24"/>
        </w:rPr>
        <w:t>成立时间：   年   月   日</w:t>
      </w:r>
    </w:p>
    <w:p>
      <w:pPr>
        <w:spacing w:line="480" w:lineRule="auto"/>
        <w:ind w:firstLine="480" w:firstLineChars="200"/>
        <w:rPr>
          <w:rFonts w:hint="eastAsia" w:ascii="宋体" w:hAnsi="宋体" w:cs="宋体"/>
          <w:sz w:val="24"/>
          <w:u w:val="single"/>
        </w:rPr>
      </w:pPr>
      <w:r>
        <w:rPr>
          <w:rFonts w:hint="eastAsia" w:ascii="宋体" w:hAnsi="宋体" w:cs="宋体"/>
          <w:sz w:val="24"/>
        </w:rPr>
        <w:t>经营期限：</w:t>
      </w:r>
    </w:p>
    <w:p>
      <w:pPr>
        <w:spacing w:line="480" w:lineRule="auto"/>
        <w:ind w:firstLine="480" w:firstLineChars="200"/>
        <w:rPr>
          <w:rFonts w:hint="eastAsia" w:ascii="宋体" w:hAnsi="宋体" w:cs="宋体"/>
          <w:sz w:val="24"/>
          <w:u w:val="single"/>
        </w:rPr>
      </w:pPr>
      <w:r>
        <w:rPr>
          <w:rFonts w:hint="eastAsia" w:ascii="宋体" w:hAnsi="宋体" w:cs="宋体"/>
          <w:sz w:val="24"/>
        </w:rPr>
        <w:t>姓名：   性别：   年龄：   职务：</w:t>
      </w:r>
    </w:p>
    <w:p>
      <w:pPr>
        <w:spacing w:line="480" w:lineRule="auto"/>
        <w:ind w:firstLine="480" w:firstLineChars="200"/>
        <w:rPr>
          <w:rFonts w:hint="eastAsia" w:ascii="宋体" w:hAnsi="宋体" w:cs="宋体"/>
          <w:sz w:val="24"/>
        </w:rPr>
      </w:pPr>
      <w:r>
        <w:rPr>
          <w:rFonts w:hint="eastAsia" w:ascii="宋体" w:hAnsi="宋体" w:cs="宋体"/>
          <w:sz w:val="24"/>
        </w:rPr>
        <w:t>系（供应商名称）的法定代表人</w:t>
      </w:r>
    </w:p>
    <w:p>
      <w:pPr>
        <w:spacing w:line="480" w:lineRule="auto"/>
        <w:ind w:firstLine="960" w:firstLineChars="400"/>
        <w:rPr>
          <w:rFonts w:hint="eastAsia" w:ascii="宋体" w:hAnsi="宋体" w:cs="宋体"/>
          <w:sz w:val="24"/>
        </w:rPr>
      </w:pPr>
      <w:r>
        <w:rPr>
          <w:rFonts w:hint="eastAsia" w:ascii="宋体" w:hAnsi="宋体" w:cs="宋体"/>
          <w:sz w:val="24"/>
        </w:rPr>
        <w:t>特此证明</w:t>
      </w:r>
    </w:p>
    <w:p>
      <w:pPr>
        <w:spacing w:line="360" w:lineRule="auto"/>
        <w:ind w:firstLine="480" w:firstLineChars="200"/>
        <w:rPr>
          <w:rFonts w:hint="eastAsia" w:ascii="宋体" w:hAnsi="宋体" w:cs="宋体"/>
          <w:sz w:val="24"/>
        </w:rPr>
      </w:pPr>
      <w:r>
        <w:rPr>
          <w:rFonts w:hint="eastAsia" w:ascii="宋体" w:hAnsi="宋体" w:cs="宋体"/>
          <w:sz w:val="24"/>
        </w:rPr>
        <w:t>附：法定代表人身份证</w:t>
      </w:r>
    </w:p>
    <w:p>
      <w:pPr>
        <w:spacing w:line="360" w:lineRule="auto"/>
        <w:ind w:firstLine="480" w:firstLineChars="200"/>
        <w:rPr>
          <w:rFonts w:hint="eastAsia" w:ascii="宋体" w:hAnsi="宋体" w:cs="宋体"/>
          <w:sz w:val="24"/>
        </w:rPr>
      </w:pPr>
    </w:p>
    <w:p>
      <w:pPr>
        <w:spacing w:line="360" w:lineRule="auto"/>
        <w:ind w:firstLine="4800" w:firstLineChars="2000"/>
        <w:rPr>
          <w:rFonts w:hint="eastAsia" w:ascii="宋体" w:hAnsi="宋体" w:cs="宋体"/>
          <w:sz w:val="24"/>
        </w:rPr>
      </w:pPr>
    </w:p>
    <w:p>
      <w:pPr>
        <w:spacing w:line="360" w:lineRule="auto"/>
        <w:ind w:firstLine="4800" w:firstLineChars="2000"/>
        <w:rPr>
          <w:rFonts w:hint="eastAsia" w:ascii="宋体" w:hAnsi="宋体" w:cs="宋体"/>
          <w:sz w:val="24"/>
        </w:rPr>
      </w:pPr>
    </w:p>
    <w:p>
      <w:pPr>
        <w:spacing w:line="360" w:lineRule="auto"/>
        <w:ind w:firstLine="4800" w:firstLineChars="2000"/>
        <w:rPr>
          <w:rFonts w:hint="eastAsia" w:ascii="宋体" w:hAnsi="宋体" w:cs="宋体"/>
          <w:sz w:val="24"/>
        </w:rPr>
      </w:pPr>
      <w:r>
        <w:rPr>
          <w:rFonts w:hint="eastAsia" w:ascii="宋体" w:hAnsi="宋体" w:cs="宋体"/>
          <w:sz w:val="24"/>
        </w:rPr>
        <w:t>供应商：（盖章）</w:t>
      </w:r>
    </w:p>
    <w:p>
      <w:pPr>
        <w:spacing w:line="360" w:lineRule="auto"/>
        <w:ind w:firstLine="5160" w:firstLineChars="2150"/>
        <w:rPr>
          <w:rFonts w:hint="eastAsia" w:ascii="宋体" w:hAnsi="宋体" w:cs="宋体"/>
          <w:sz w:val="24"/>
          <w:u w:val="single"/>
        </w:rPr>
      </w:pPr>
    </w:p>
    <w:p>
      <w:pPr>
        <w:spacing w:line="360" w:lineRule="auto"/>
        <w:ind w:firstLine="5040" w:firstLineChars="2100"/>
        <w:rPr>
          <w:rFonts w:hint="eastAsia" w:ascii="宋体" w:hAnsi="宋体" w:cs="宋体"/>
          <w:sz w:val="24"/>
        </w:rPr>
        <w:sectPr>
          <w:headerReference r:id="rId16" w:type="default"/>
          <w:footerReference r:id="rId17" w:type="default"/>
          <w:pgSz w:w="11906" w:h="16838"/>
          <w:pgMar w:top="1417" w:right="1417" w:bottom="1417" w:left="1701" w:header="680" w:footer="680" w:gutter="0"/>
          <w:cols w:space="720" w:num="1"/>
          <w:docGrid w:type="lines" w:linePitch="312" w:charSpace="0"/>
        </w:sectPr>
      </w:pPr>
      <w:r>
        <w:rPr>
          <w:rFonts w:hint="eastAsia" w:ascii="宋体" w:hAnsi="宋体" w:cs="宋体"/>
          <w:sz w:val="24"/>
        </w:rPr>
        <w:t>年   月   日</w:t>
      </w:r>
    </w:p>
    <w:p>
      <w:pPr>
        <w:spacing w:line="360" w:lineRule="auto"/>
        <w:ind w:firstLine="422" w:firstLineChars="200"/>
        <w:jc w:val="center"/>
        <w:rPr>
          <w:rFonts w:hint="eastAsia" w:ascii="宋体" w:hAnsi="宋体" w:cs="宋体"/>
          <w:b/>
          <w:bCs/>
          <w:szCs w:val="21"/>
        </w:rPr>
      </w:pPr>
      <w:bookmarkStart w:id="187" w:name="_Toc17999515"/>
      <w:bookmarkStart w:id="188" w:name="_Toc26291177"/>
      <w:bookmarkStart w:id="189" w:name="_Toc13782"/>
      <w:bookmarkStart w:id="190" w:name="_Toc13749"/>
      <w:bookmarkStart w:id="191" w:name="_Toc17998951"/>
      <w:bookmarkStart w:id="192" w:name="_Toc17998778"/>
      <w:bookmarkStart w:id="193" w:name="_Toc421778389"/>
      <w:bookmarkStart w:id="194" w:name="_Toc26298362"/>
      <w:bookmarkStart w:id="195" w:name="_Toc26291077"/>
      <w:bookmarkStart w:id="196" w:name="_Toc25661930"/>
      <w:bookmarkStart w:id="197" w:name="_Toc425240484"/>
      <w:bookmarkStart w:id="198" w:name="_Toc9626"/>
      <w:bookmarkStart w:id="199" w:name="_Toc420591670"/>
      <w:bookmarkStart w:id="200" w:name="_Toc26300533"/>
      <w:bookmarkStart w:id="201" w:name="_Toc9254"/>
      <w:r>
        <w:rPr>
          <w:rFonts w:hint="eastAsia" w:ascii="宋体" w:hAnsi="宋体" w:cs="宋体"/>
          <w:b/>
          <w:bCs/>
          <w:szCs w:val="21"/>
        </w:rPr>
        <w:t>2.授权委托书</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 xml:space="preserve">系 </w:t>
      </w:r>
      <w:r>
        <w:rPr>
          <w:rFonts w:hint="eastAsia" w:ascii="宋体" w:hAnsi="宋体" w:cs="宋体"/>
          <w:sz w:val="24"/>
          <w:u w:val="single"/>
        </w:rPr>
        <w:t xml:space="preserve">     （供应商名称）</w:t>
      </w:r>
      <w:r>
        <w:rPr>
          <w:rFonts w:hint="eastAsia" w:ascii="宋体" w:hAnsi="宋体" w:cs="宋体"/>
          <w:sz w:val="24"/>
        </w:rPr>
        <w:t>的法定代表人，现委托</w:t>
      </w:r>
      <w:r>
        <w:rPr>
          <w:rFonts w:hint="eastAsia" w:ascii="宋体" w:hAnsi="宋体" w:cs="宋体"/>
          <w:sz w:val="24"/>
          <w:u w:val="single"/>
        </w:rPr>
        <w:t xml:space="preserve">     （姓名）</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w:t>
      </w:r>
      <w:r>
        <w:rPr>
          <w:rFonts w:hint="eastAsia" w:ascii="宋体" w:hAnsi="宋体" w:cs="宋体"/>
          <w:sz w:val="24"/>
        </w:rPr>
        <w:t>竞争性磋商响应文件、签订合同和处理有关事宜，其法律后果由我方承担。</w:t>
      </w:r>
    </w:p>
    <w:p>
      <w:pPr>
        <w:spacing w:line="360" w:lineRule="auto"/>
        <w:ind w:firstLine="480" w:firstLineChars="200"/>
        <w:rPr>
          <w:rFonts w:hint="eastAsia" w:ascii="宋体" w:hAnsi="宋体" w:cs="宋体"/>
          <w:sz w:val="24"/>
        </w:rPr>
      </w:pPr>
      <w:r>
        <w:rPr>
          <w:rFonts w:hint="eastAsia" w:ascii="宋体" w:hAnsi="宋体" w:cs="宋体"/>
          <w:sz w:val="24"/>
        </w:rPr>
        <w:t>代理人无转委托权。</w:t>
      </w:r>
    </w:p>
    <w:p>
      <w:pPr>
        <w:spacing w:line="360" w:lineRule="auto"/>
        <w:ind w:firstLine="480" w:firstLineChars="200"/>
        <w:rPr>
          <w:rFonts w:hint="eastAsia" w:ascii="宋体" w:hAnsi="宋体" w:cs="宋体"/>
          <w:sz w:val="24"/>
        </w:rPr>
      </w:pPr>
      <w:r>
        <w:rPr>
          <w:rFonts w:hint="eastAsia" w:ascii="宋体" w:hAnsi="宋体" w:cs="宋体"/>
          <w:sz w:val="24"/>
        </w:rPr>
        <w:t>本授权书于签字盖章之日起生效，委托期限不少于120日历天。</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bookmarkStart w:id="202" w:name="_Toc201637979"/>
      <w:bookmarkStart w:id="203" w:name="_Toc214090947"/>
      <w:r>
        <w:rPr>
          <w:rFonts w:hint="eastAsia" w:ascii="宋体" w:hAnsi="宋体" w:cs="宋体"/>
          <w:sz w:val="24"/>
        </w:rPr>
        <w:t>法定代表人签字：                 被授权人签字：</w:t>
      </w:r>
      <w:bookmarkEnd w:id="202"/>
      <w:bookmarkEnd w:id="203"/>
    </w:p>
    <w:p>
      <w:pPr>
        <w:spacing w:line="360" w:lineRule="auto"/>
        <w:ind w:firstLine="480" w:firstLineChars="200"/>
        <w:rPr>
          <w:rFonts w:hint="eastAsia" w:ascii="宋体" w:hAnsi="宋体" w:cs="宋体"/>
          <w:sz w:val="24"/>
        </w:rPr>
      </w:pPr>
      <w:bookmarkStart w:id="204" w:name="_Toc214090948"/>
      <w:bookmarkStart w:id="205" w:name="_Toc201637980"/>
      <w:r>
        <w:rPr>
          <w:rFonts w:hint="eastAsia" w:ascii="宋体" w:hAnsi="宋体" w:cs="宋体"/>
          <w:sz w:val="24"/>
        </w:rPr>
        <w:t>职务：</w:t>
      </w:r>
      <w:bookmarkEnd w:id="204"/>
      <w:bookmarkEnd w:id="205"/>
      <w:r>
        <w:rPr>
          <w:rFonts w:hint="eastAsia" w:ascii="宋体" w:hAnsi="宋体" w:cs="宋体"/>
          <w:sz w:val="24"/>
        </w:rPr>
        <w:t xml:space="preserve">                           职务：</w:t>
      </w:r>
    </w:p>
    <w:p>
      <w:pPr>
        <w:spacing w:line="360" w:lineRule="auto"/>
        <w:ind w:firstLine="480" w:firstLineChars="200"/>
        <w:rPr>
          <w:rFonts w:hint="eastAsia" w:ascii="宋体" w:hAnsi="宋体" w:cs="宋体"/>
          <w:sz w:val="24"/>
        </w:rPr>
      </w:pPr>
      <w:bookmarkStart w:id="206" w:name="_Toc214090949"/>
      <w:bookmarkStart w:id="207" w:name="_Toc201637981"/>
      <w:r>
        <w:rPr>
          <w:rFonts w:hint="eastAsia" w:ascii="宋体" w:hAnsi="宋体" w:cs="宋体"/>
          <w:sz w:val="24"/>
        </w:rPr>
        <w:t>身份证号：                       身份证号：</w:t>
      </w:r>
      <w:bookmarkEnd w:id="206"/>
      <w:bookmarkEnd w:id="207"/>
    </w:p>
    <w:p>
      <w:pPr>
        <w:spacing w:line="360" w:lineRule="auto"/>
        <w:rPr>
          <w:rFonts w:hint="eastAsia" w:ascii="宋体" w:hAnsi="宋体" w:cs="宋体"/>
          <w:sz w:val="24"/>
        </w:rPr>
      </w:pPr>
    </w:p>
    <w:p>
      <w:pPr>
        <w:spacing w:line="360" w:lineRule="auto"/>
        <w:rPr>
          <w:rFonts w:hint="eastAsia" w:ascii="宋体" w:hAnsi="宋体" w:cs="宋体"/>
          <w:sz w:val="24"/>
        </w:rPr>
      </w:pPr>
      <w:bookmarkStart w:id="208" w:name="_Toc201637982"/>
      <w:bookmarkStart w:id="209" w:name="_Toc214090950"/>
      <w:r>
        <w:rPr>
          <w:rFonts w:hint="eastAsia" w:ascii="宋体" w:hAnsi="宋体" w:cs="宋体"/>
          <w:sz w:val="24"/>
        </w:rPr>
        <w:t>附：法定代表人、被授权人身份证复印件。（二代身份证正、反两面都需复印）</w:t>
      </w:r>
      <w:bookmarkEnd w:id="208"/>
      <w:bookmarkEnd w:id="209"/>
    </w:p>
    <w:tbl>
      <w:tblPr>
        <w:tblStyle w:val="4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2" w:hRule="atLeast"/>
          <w:jc w:val="center"/>
        </w:trPr>
        <w:tc>
          <w:tcPr>
            <w:tcW w:w="4677" w:type="dxa"/>
            <w:vAlign w:val="center"/>
          </w:tcPr>
          <w:p>
            <w:pPr>
              <w:spacing w:line="360" w:lineRule="auto"/>
              <w:jc w:val="center"/>
              <w:rPr>
                <w:rFonts w:hint="eastAsia" w:ascii="宋体" w:hAnsi="宋体" w:cs="宋体"/>
                <w:sz w:val="24"/>
              </w:rPr>
            </w:pPr>
            <w:bookmarkStart w:id="210" w:name="_Toc201637983"/>
            <w:bookmarkStart w:id="211" w:name="_Toc214090951"/>
            <w:r>
              <w:rPr>
                <w:rFonts w:hint="eastAsia" w:ascii="宋体" w:hAnsi="宋体" w:cs="宋体"/>
                <w:sz w:val="24"/>
              </w:rPr>
              <w:t>法定代表人身份证复印件</w:t>
            </w:r>
            <w:bookmarkEnd w:id="210"/>
            <w:bookmarkEnd w:id="211"/>
          </w:p>
          <w:p>
            <w:pPr>
              <w:spacing w:line="360" w:lineRule="auto"/>
              <w:jc w:val="center"/>
              <w:rPr>
                <w:rFonts w:hint="eastAsia" w:ascii="宋体" w:hAnsi="宋体" w:cs="宋体"/>
                <w:sz w:val="24"/>
              </w:rPr>
            </w:pPr>
          </w:p>
        </w:tc>
        <w:tc>
          <w:tcPr>
            <w:tcW w:w="4674" w:type="dxa"/>
            <w:vAlign w:val="center"/>
          </w:tcPr>
          <w:p>
            <w:pPr>
              <w:spacing w:line="360" w:lineRule="auto"/>
              <w:jc w:val="center"/>
              <w:rPr>
                <w:rFonts w:hint="eastAsia" w:ascii="宋体" w:hAnsi="宋体" w:cs="宋体"/>
                <w:sz w:val="24"/>
              </w:rPr>
            </w:pPr>
            <w:bookmarkStart w:id="212" w:name="_Toc214090953"/>
            <w:bookmarkStart w:id="213" w:name="_Toc201637985"/>
            <w:r>
              <w:rPr>
                <w:rFonts w:hint="eastAsia" w:ascii="宋体" w:hAnsi="宋体" w:cs="宋体"/>
                <w:sz w:val="24"/>
              </w:rPr>
              <w:t>被授权人身份证复印件</w:t>
            </w:r>
            <w:bookmarkEnd w:id="212"/>
            <w:bookmarkEnd w:id="213"/>
          </w:p>
          <w:p>
            <w:pPr>
              <w:spacing w:line="360" w:lineRule="auto"/>
              <w:jc w:val="center"/>
              <w:rPr>
                <w:rFonts w:hint="eastAsia" w:ascii="宋体" w:hAnsi="宋体" w:cs="宋体"/>
                <w:sz w:val="24"/>
              </w:rPr>
            </w:pPr>
          </w:p>
        </w:tc>
      </w:tr>
    </w:tbl>
    <w:p>
      <w:pPr>
        <w:spacing w:line="360" w:lineRule="auto"/>
        <w:rPr>
          <w:rFonts w:hint="eastAsia" w:ascii="宋体" w:hAnsi="宋体" w:cs="宋体"/>
          <w:sz w:val="24"/>
        </w:rPr>
      </w:pPr>
    </w:p>
    <w:p>
      <w:pPr>
        <w:spacing w:line="480" w:lineRule="auto"/>
        <w:ind w:left="424" w:leftChars="202" w:right="540" w:rightChars="257"/>
        <w:jc w:val="left"/>
        <w:rPr>
          <w:rFonts w:hint="eastAsia" w:ascii="宋体" w:hAnsi="宋体" w:cs="宋体"/>
          <w:sz w:val="24"/>
        </w:rPr>
      </w:pPr>
      <w:r>
        <w:rPr>
          <w:rFonts w:hint="eastAsia" w:ascii="宋体" w:hAnsi="宋体" w:cs="宋体"/>
          <w:sz w:val="24"/>
        </w:rPr>
        <w:t xml:space="preserve">供应商名称：         （加盖单位公章）      </w:t>
      </w:r>
    </w:p>
    <w:p>
      <w:pPr>
        <w:spacing w:line="480" w:lineRule="auto"/>
        <w:ind w:right="540" w:rightChars="257" w:firstLine="480" w:firstLineChars="200"/>
        <w:jc w:val="left"/>
        <w:rPr>
          <w:rFonts w:hint="eastAsia" w:ascii="宋体" w:hAnsi="宋体" w:cs="宋体"/>
          <w:sz w:val="24"/>
        </w:rPr>
      </w:pPr>
      <w:r>
        <w:rPr>
          <w:rFonts w:hint="eastAsia" w:ascii="宋体" w:hAnsi="宋体" w:cs="宋体"/>
          <w:sz w:val="24"/>
        </w:rPr>
        <w:t xml:space="preserve"> 年     月     日</w:t>
      </w:r>
    </w:p>
    <w:p>
      <w:pPr>
        <w:spacing w:line="480" w:lineRule="auto"/>
        <w:ind w:right="540" w:rightChars="257" w:firstLine="482" w:firstLineChars="200"/>
        <w:jc w:val="left"/>
        <w:rPr>
          <w:rFonts w:hint="eastAsia" w:ascii="宋体" w:hAnsi="宋体" w:cs="宋体"/>
          <w:b/>
          <w:sz w:val="24"/>
          <w:u w:val="single"/>
        </w:rPr>
      </w:pPr>
    </w:p>
    <w:p>
      <w:pPr>
        <w:pStyle w:val="4"/>
        <w:rPr>
          <w:rFonts w:hint="eastAsia" w:cs="宋体"/>
          <w:b w:val="0"/>
          <w:bCs w:val="0"/>
          <w:sz w:val="32"/>
          <w:szCs w:val="32"/>
        </w:rPr>
      </w:pPr>
      <w:bookmarkStart w:id="214" w:name="_Toc9293"/>
      <w:bookmarkStart w:id="215" w:name="_Toc14066"/>
      <w:bookmarkStart w:id="216" w:name="_Toc26300534"/>
      <w:r>
        <w:rPr>
          <w:rFonts w:hint="eastAsia" w:cs="宋体"/>
          <w:sz w:val="32"/>
        </w:rPr>
        <w:t>第二部分 符合性证明文件</w:t>
      </w:r>
      <w:bookmarkEnd w:id="214"/>
      <w:bookmarkEnd w:id="215"/>
      <w:bookmarkEnd w:id="216"/>
      <w:bookmarkStart w:id="217" w:name="_Toc421778386"/>
      <w:bookmarkStart w:id="218" w:name="_Toc32749"/>
      <w:bookmarkStart w:id="219" w:name="_Toc420591667"/>
      <w:bookmarkStart w:id="220" w:name="_Toc23278"/>
      <w:bookmarkStart w:id="221" w:name="_Toc387"/>
      <w:bookmarkStart w:id="222" w:name="_Toc425240481"/>
    </w:p>
    <w:p>
      <w:pPr>
        <w:jc w:val="center"/>
        <w:outlineLvl w:val="1"/>
        <w:rPr>
          <w:rFonts w:hint="eastAsia" w:ascii="宋体" w:hAnsi="宋体" w:cs="宋体"/>
          <w:b/>
          <w:bCs/>
          <w:sz w:val="32"/>
          <w:szCs w:val="32"/>
        </w:rPr>
      </w:pPr>
      <w:bookmarkStart w:id="223" w:name="_Toc26300535"/>
      <w:bookmarkStart w:id="224" w:name="_Toc10237"/>
      <w:bookmarkStart w:id="225" w:name="_Toc18791"/>
      <w:r>
        <w:rPr>
          <w:rFonts w:hint="eastAsia" w:ascii="宋体" w:hAnsi="宋体" w:cs="宋体"/>
          <w:b/>
          <w:bCs/>
          <w:sz w:val="32"/>
          <w:szCs w:val="32"/>
        </w:rPr>
        <w:t>一、</w:t>
      </w:r>
      <w:bookmarkEnd w:id="217"/>
      <w:bookmarkEnd w:id="218"/>
      <w:bookmarkEnd w:id="219"/>
      <w:bookmarkEnd w:id="220"/>
      <w:bookmarkEnd w:id="221"/>
      <w:bookmarkEnd w:id="222"/>
      <w:r>
        <w:rPr>
          <w:rFonts w:hint="eastAsia" w:ascii="宋体" w:hAnsi="宋体" w:cs="宋体"/>
          <w:b/>
          <w:bCs/>
          <w:sz w:val="32"/>
          <w:szCs w:val="32"/>
        </w:rPr>
        <w:t>响应函</w:t>
      </w:r>
      <w:bookmarkEnd w:id="223"/>
      <w:bookmarkEnd w:id="224"/>
      <w:bookmarkEnd w:id="225"/>
    </w:p>
    <w:p>
      <w:pPr>
        <w:jc w:val="center"/>
        <w:outlineLvl w:val="1"/>
        <w:rPr>
          <w:rFonts w:hint="eastAsia" w:ascii="宋体" w:hAnsi="宋体" w:cs="宋体"/>
          <w:b/>
          <w:bCs/>
          <w:sz w:val="32"/>
          <w:szCs w:val="32"/>
        </w:rPr>
      </w:pPr>
    </w:p>
    <w:p>
      <w:pPr>
        <w:pStyle w:val="40"/>
        <w:spacing w:before="0" w:beforeAutospacing="0" w:after="0" w:afterAutospacing="0" w:line="360" w:lineRule="auto"/>
        <w:rPr>
          <w:u w:val="single"/>
        </w:rPr>
      </w:pPr>
      <w:r>
        <w:rPr>
          <w:rFonts w:hint="eastAsia"/>
        </w:rPr>
        <w:t>致：</w:t>
      </w:r>
      <w:r>
        <w:rPr>
          <w:rFonts w:hint="eastAsia"/>
          <w:u w:val="single"/>
        </w:rPr>
        <w:t xml:space="preserve"> （采购人名称）   </w:t>
      </w:r>
    </w:p>
    <w:p>
      <w:pPr>
        <w:adjustRightInd w:val="0"/>
        <w:snapToGrid w:val="0"/>
        <w:spacing w:line="360" w:lineRule="auto"/>
        <w:ind w:firstLine="480" w:firstLineChars="200"/>
        <w:rPr>
          <w:rFonts w:hint="eastAsia"/>
          <w:sz w:val="24"/>
        </w:rPr>
      </w:pPr>
      <w:r>
        <w:rPr>
          <w:rFonts w:hint="eastAsia"/>
          <w:sz w:val="24"/>
        </w:rPr>
        <w:t>根据已收到</w:t>
      </w:r>
      <w:r>
        <w:rPr>
          <w:rFonts w:hint="eastAsia"/>
          <w:sz w:val="24"/>
          <w:u w:val="single"/>
        </w:rPr>
        <w:t xml:space="preserve"> </w:t>
      </w:r>
      <w:r>
        <w:rPr>
          <w:rFonts w:hint="eastAsia" w:ascii="宋体" w:hAnsi="宋体" w:cs="宋体"/>
          <w:b/>
          <w:bCs/>
          <w:sz w:val="24"/>
          <w:u w:val="single"/>
        </w:rPr>
        <w:t xml:space="preserve"> 陕西省高速公路收费中心监控、GIS系统维护服务（项目编号：SXTD-ZB2021-1053）</w:t>
      </w:r>
      <w:r>
        <w:rPr>
          <w:rFonts w:hint="eastAsia"/>
          <w:sz w:val="24"/>
        </w:rPr>
        <w:t>的招标文件，遵照《中华人民共和国政府采购法》、《中华人民共和国招标投标法》、《中华人民共和国招标投标法实施条例》、《中华人民共和国政府采购法实施条例》等有关规定，经踏勘本项目现场和仔细研究本招标文件、答疑纪要（如有）、合同条款、租赁设备清单及其他有关文件后，决定参加该项目投标活动，并参与投标会议。为此，我方郑重声明以下诸点，并负法律责任。</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1.愿意按照招标文件中的所有采购内容及要求，完成本项目服务需求所发生的一切费用的总报价。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2.我方提交的投标文件，正本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份，电子版</w:t>
      </w:r>
      <w:r>
        <w:rPr>
          <w:rFonts w:hint="eastAsia" w:ascii="宋体" w:hAnsi="宋体" w:cs="宋体"/>
          <w:sz w:val="24"/>
          <w:u w:val="single"/>
        </w:rPr>
        <w:t xml:space="preserve">   </w:t>
      </w:r>
      <w:r>
        <w:rPr>
          <w:rFonts w:hint="eastAsia" w:ascii="宋体" w:hAnsi="宋体" w:cs="宋体"/>
          <w:sz w:val="24"/>
        </w:rPr>
        <w:t>份。</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3.如果我们投标文件被接受，我们将履行招标文件中规定的每一项要求，按期、按质、按量完成任务。</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4.我们理解，最低报价不是中标的唯一条件。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5.我们愿按《中华人民共和国合同法》履行自己的全部责任。</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6.我们同意按招标文件规定，遵守贵公司有关规定和收费标准。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7.我方的投标文件有效期为开标之日起</w:t>
      </w:r>
      <w:r>
        <w:rPr>
          <w:rFonts w:hint="eastAsia" w:ascii="宋体" w:hAnsi="宋体" w:cs="宋体"/>
          <w:sz w:val="24"/>
          <w:u w:val="single"/>
        </w:rPr>
        <w:t xml:space="preserve">   90  </w:t>
      </w:r>
      <w:r>
        <w:rPr>
          <w:rFonts w:hint="eastAsia" w:ascii="宋体" w:hAnsi="宋体" w:cs="宋体"/>
          <w:sz w:val="24"/>
        </w:rPr>
        <w:t>（日历天）。</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8.我方完全接受并响应招标文件、答疑文件（如有）、评标办法等关于本项目相关文件的要求，严格遵守招标过程的时间安排、程序安排等细节，对此无任何异议。</w:t>
      </w:r>
    </w:p>
    <w:p>
      <w:pPr>
        <w:spacing w:line="360" w:lineRule="auto"/>
        <w:ind w:firstLine="420"/>
        <w:rPr>
          <w:rFonts w:hint="eastAsia" w:ascii="宋体" w:hAnsi="宋体" w:cs="宋体"/>
          <w:sz w:val="24"/>
        </w:rPr>
      </w:pPr>
      <w:r>
        <w:rPr>
          <w:rFonts w:hint="eastAsia" w:ascii="宋体" w:hAnsi="宋体" w:cs="宋体"/>
          <w:sz w:val="24"/>
        </w:rPr>
        <w:t>9.所有关于本投标文件的函电，请按下列地址联系。</w:t>
      </w:r>
    </w:p>
    <w:p>
      <w:pPr>
        <w:adjustRightInd w:val="0"/>
        <w:snapToGrid w:val="0"/>
        <w:spacing w:line="312" w:lineRule="auto"/>
        <w:ind w:firstLine="211"/>
        <w:jc w:val="left"/>
        <w:rPr>
          <w:rFonts w:hint="eastAsia" w:ascii="宋体" w:hAnsi="宋体" w:cs="宋体"/>
          <w:sz w:val="24"/>
        </w:rPr>
      </w:pPr>
      <w:r>
        <w:rPr>
          <w:rFonts w:hint="eastAsia" w:ascii="宋体" w:hAnsi="宋体" w:cs="宋体"/>
          <w:sz w:val="24"/>
        </w:rPr>
        <w:tab/>
      </w:r>
    </w:p>
    <w:p>
      <w:pPr>
        <w:adjustRightInd w:val="0"/>
        <w:snapToGrid w:val="0"/>
        <w:spacing w:line="312" w:lineRule="auto"/>
        <w:ind w:firstLine="211"/>
        <w:jc w:val="left"/>
        <w:rPr>
          <w:rFonts w:hint="eastAsia" w:ascii="宋体" w:hAnsi="宋体" w:cs="宋体"/>
          <w:sz w:val="24"/>
        </w:rPr>
      </w:pPr>
      <w:r>
        <w:rPr>
          <w:rFonts w:hint="eastAsia" w:ascii="宋体" w:hAnsi="宋体" w:cs="宋体"/>
          <w:sz w:val="24"/>
        </w:rPr>
        <w:t>投标人全称：</w:t>
      </w:r>
      <w:r>
        <w:rPr>
          <w:rFonts w:hint="eastAsia" w:ascii="宋体" w:hAnsi="宋体" w:cs="宋体"/>
          <w:sz w:val="24"/>
          <w:u w:val="single"/>
        </w:rPr>
        <w:t xml:space="preserve">                     </w:t>
      </w:r>
      <w:r>
        <w:rPr>
          <w:rFonts w:hint="eastAsia" w:ascii="宋体" w:hAnsi="宋体" w:cs="宋体"/>
          <w:sz w:val="24"/>
        </w:rPr>
        <w:t>（盖章）</w:t>
      </w:r>
    </w:p>
    <w:p>
      <w:pPr>
        <w:adjustRightInd w:val="0"/>
        <w:snapToGrid w:val="0"/>
        <w:spacing w:line="312" w:lineRule="auto"/>
        <w:ind w:firstLine="211"/>
        <w:jc w:val="left"/>
        <w:rPr>
          <w:rFonts w:hint="eastAsia"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w:t>
      </w:r>
    </w:p>
    <w:p>
      <w:pPr>
        <w:adjustRightInd w:val="0"/>
        <w:snapToGrid w:val="0"/>
        <w:spacing w:line="312" w:lineRule="auto"/>
        <w:ind w:firstLine="211"/>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pPr>
        <w:adjustRightInd w:val="0"/>
        <w:snapToGrid w:val="0"/>
        <w:spacing w:line="312" w:lineRule="auto"/>
        <w:ind w:firstLine="211"/>
        <w:jc w:val="left"/>
        <w:rPr>
          <w:rFonts w:hint="eastAsia" w:ascii="宋体" w:hAnsi="宋体" w:cs="宋体"/>
          <w:sz w:val="24"/>
          <w:u w:val="single"/>
        </w:rPr>
      </w:pPr>
      <w:r>
        <w:rPr>
          <w:rFonts w:hint="eastAsia" w:ascii="宋体" w:hAnsi="宋体" w:cs="宋体"/>
          <w:sz w:val="24"/>
        </w:rPr>
        <w:t>开 户 行：</w:t>
      </w:r>
      <w:r>
        <w:rPr>
          <w:rFonts w:hint="eastAsia" w:ascii="宋体" w:hAnsi="宋体" w:cs="宋体"/>
          <w:sz w:val="24"/>
          <w:u w:val="single"/>
        </w:rPr>
        <w:t xml:space="preserve">                              </w:t>
      </w:r>
    </w:p>
    <w:p>
      <w:pPr>
        <w:adjustRightInd w:val="0"/>
        <w:snapToGrid w:val="0"/>
        <w:spacing w:line="312" w:lineRule="auto"/>
        <w:ind w:firstLine="211"/>
        <w:jc w:val="left"/>
        <w:rPr>
          <w:rFonts w:hint="eastAsia" w:ascii="宋体" w:hAnsi="宋体" w:cs="宋体"/>
          <w:sz w:val="24"/>
        </w:rPr>
      </w:pPr>
      <w:r>
        <w:rPr>
          <w:rFonts w:hint="eastAsia" w:ascii="宋体" w:hAnsi="宋体" w:cs="宋体"/>
          <w:sz w:val="24"/>
        </w:rPr>
        <w:t>帐    号：</w:t>
      </w:r>
      <w:r>
        <w:rPr>
          <w:rFonts w:hint="eastAsia" w:ascii="宋体" w:hAnsi="宋体" w:cs="宋体"/>
          <w:sz w:val="24"/>
          <w:u w:val="single"/>
        </w:rPr>
        <w:t xml:space="preserve">                              </w:t>
      </w:r>
    </w:p>
    <w:p>
      <w:pPr>
        <w:adjustRightInd w:val="0"/>
        <w:snapToGrid w:val="0"/>
        <w:spacing w:line="312" w:lineRule="auto"/>
        <w:ind w:firstLine="211"/>
        <w:jc w:val="left"/>
        <w:rPr>
          <w:rFonts w:hint="eastAsia" w:ascii="宋体" w:hAnsi="宋体" w:cs="宋体"/>
          <w:sz w:val="24"/>
        </w:rPr>
      </w:pPr>
      <w:r>
        <w:rPr>
          <w:rFonts w:hint="eastAsia" w:ascii="宋体" w:hAnsi="宋体" w:cs="宋体"/>
          <w:sz w:val="24"/>
        </w:rPr>
        <w:t>电    话：</w:t>
      </w:r>
      <w:r>
        <w:rPr>
          <w:rFonts w:hint="eastAsia" w:ascii="宋体" w:hAnsi="宋体" w:cs="宋体"/>
          <w:sz w:val="24"/>
          <w:u w:val="single"/>
        </w:rPr>
        <w:t xml:space="preserve">                              </w:t>
      </w:r>
    </w:p>
    <w:p>
      <w:pPr>
        <w:adjustRightInd w:val="0"/>
        <w:snapToGrid w:val="0"/>
        <w:spacing w:line="312" w:lineRule="auto"/>
        <w:ind w:firstLine="211"/>
        <w:jc w:val="left"/>
        <w:rPr>
          <w:rFonts w:hint="eastAsia" w:ascii="宋体" w:hAnsi="宋体" w:cs="宋体"/>
          <w:sz w:val="24"/>
          <w:u w:val="single"/>
        </w:rPr>
      </w:pPr>
      <w:r>
        <w:rPr>
          <w:rFonts w:hint="eastAsia" w:ascii="宋体" w:hAnsi="宋体" w:cs="宋体"/>
          <w:sz w:val="24"/>
        </w:rPr>
        <w:t>邮    编：</w:t>
      </w:r>
      <w:r>
        <w:rPr>
          <w:rFonts w:hint="eastAsia" w:ascii="宋体" w:hAnsi="宋体" w:cs="宋体"/>
          <w:sz w:val="24"/>
          <w:u w:val="single"/>
        </w:rPr>
        <w:t xml:space="preserve">                              </w:t>
      </w:r>
    </w:p>
    <w:p>
      <w:pPr>
        <w:adjustRightInd w:val="0"/>
        <w:snapToGrid w:val="0"/>
        <w:spacing w:line="312" w:lineRule="auto"/>
        <w:ind w:firstLine="211"/>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keepLines/>
        <w:pageBreakBefore/>
        <w:jc w:val="center"/>
        <w:outlineLvl w:val="1"/>
        <w:rPr>
          <w:rFonts w:hint="eastAsia" w:ascii="宋体" w:hAnsi="宋体" w:cs="宋体"/>
          <w:b/>
          <w:bCs/>
          <w:sz w:val="32"/>
          <w:szCs w:val="32"/>
        </w:rPr>
      </w:pPr>
      <w:bookmarkStart w:id="226" w:name="_Toc425240482"/>
      <w:bookmarkStart w:id="227" w:name="_Toc3816"/>
      <w:bookmarkStart w:id="228" w:name="_Toc420591668"/>
      <w:bookmarkStart w:id="229" w:name="_Toc421778387"/>
      <w:bookmarkStart w:id="230" w:name="_Toc3994"/>
      <w:bookmarkStart w:id="231" w:name="_Toc32443"/>
      <w:bookmarkStart w:id="232" w:name="_Toc13868"/>
      <w:bookmarkStart w:id="233" w:name="_Toc26300536"/>
      <w:bookmarkStart w:id="234" w:name="_Toc22009"/>
      <w:r>
        <w:rPr>
          <w:rFonts w:hint="eastAsia" w:ascii="宋体" w:hAnsi="宋体" w:cs="宋体"/>
          <w:b/>
          <w:bCs/>
          <w:sz w:val="32"/>
          <w:szCs w:val="32"/>
        </w:rPr>
        <w:t>二、</w:t>
      </w:r>
      <w:bookmarkEnd w:id="226"/>
      <w:bookmarkEnd w:id="227"/>
      <w:bookmarkEnd w:id="228"/>
      <w:bookmarkEnd w:id="229"/>
      <w:bookmarkEnd w:id="230"/>
      <w:bookmarkEnd w:id="231"/>
      <w:r>
        <w:rPr>
          <w:rFonts w:hint="eastAsia" w:ascii="宋体" w:hAnsi="宋体" w:cs="宋体"/>
          <w:b/>
          <w:bCs/>
          <w:sz w:val="32"/>
          <w:szCs w:val="32"/>
        </w:rPr>
        <w:t>第一次磋商报价表</w:t>
      </w:r>
      <w:bookmarkEnd w:id="232"/>
      <w:bookmarkEnd w:id="233"/>
      <w:bookmarkEnd w:id="234"/>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项目名称：</w:t>
      </w:r>
    </w:p>
    <w:p>
      <w:pPr>
        <w:spacing w:line="360" w:lineRule="auto"/>
        <w:rPr>
          <w:rFonts w:hint="eastAsia" w:ascii="宋体" w:hAnsi="宋体" w:cs="宋体"/>
        </w:rPr>
      </w:pPr>
      <w:r>
        <w:rPr>
          <w:rFonts w:hint="eastAsia" w:ascii="宋体" w:hAnsi="宋体" w:cs="宋体"/>
          <w:sz w:val="24"/>
        </w:rPr>
        <w:t>项目编号：</w:t>
      </w:r>
    </w:p>
    <w:tbl>
      <w:tblPr>
        <w:tblStyle w:val="44"/>
        <w:tblpPr w:leftFromText="180" w:rightFromText="180" w:vertAnchor="page" w:horzAnchor="page" w:tblpX="1732" w:tblpY="3405"/>
        <w:tblW w:w="8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795" w:type="dxa"/>
            <w:vMerge w:val="restart"/>
            <w:vAlign w:val="center"/>
          </w:tcPr>
          <w:p>
            <w:pPr>
              <w:rPr>
                <w:rFonts w:hint="eastAsia" w:ascii="宋体" w:hAnsi="宋体" w:cs="宋体"/>
                <w:sz w:val="24"/>
              </w:rPr>
            </w:pPr>
            <w:r>
              <w:rPr>
                <w:rFonts w:hint="eastAsia" w:ascii="宋体" w:hAnsi="宋体" w:cs="宋体"/>
                <w:sz w:val="24"/>
              </w:rPr>
              <w:t>磋商总报价（元）</w:t>
            </w:r>
          </w:p>
        </w:tc>
        <w:tc>
          <w:tcPr>
            <w:tcW w:w="5540" w:type="dxa"/>
            <w:vAlign w:val="center"/>
          </w:tcPr>
          <w:p>
            <w:pPr>
              <w:rPr>
                <w:rFonts w:hint="eastAsia" w:ascii="宋体" w:hAnsi="宋体" w:cs="宋体"/>
                <w:sz w:val="24"/>
              </w:rPr>
            </w:pP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2795" w:type="dxa"/>
            <w:vMerge w:val="continue"/>
            <w:vAlign w:val="center"/>
          </w:tcPr>
          <w:p>
            <w:pPr>
              <w:rPr>
                <w:rFonts w:hint="eastAsia" w:ascii="宋体" w:hAnsi="宋体" w:cs="宋体"/>
                <w:sz w:val="24"/>
              </w:rPr>
            </w:pPr>
          </w:p>
        </w:tc>
        <w:tc>
          <w:tcPr>
            <w:tcW w:w="5540" w:type="dxa"/>
            <w:vAlign w:val="center"/>
          </w:tcPr>
          <w:p>
            <w:pPr>
              <w:rPr>
                <w:rFonts w:hint="eastAsia" w:ascii="宋体" w:hAnsi="宋体" w:cs="宋体"/>
                <w:sz w:val="24"/>
              </w:rPr>
            </w:pPr>
            <w:r>
              <w:rPr>
                <w:rFonts w:hint="eastAsia" w:ascii="宋体" w:hAnsi="宋体" w:cs="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2795" w:type="dxa"/>
            <w:vAlign w:val="center"/>
          </w:tcPr>
          <w:p>
            <w:pPr>
              <w:rPr>
                <w:rFonts w:hint="eastAsia" w:ascii="宋体" w:hAnsi="宋体" w:cs="宋体"/>
                <w:sz w:val="24"/>
              </w:rPr>
            </w:pPr>
            <w:r>
              <w:rPr>
                <w:rFonts w:hint="eastAsia" w:ascii="宋体" w:hAnsi="宋体" w:cs="宋体"/>
                <w:sz w:val="24"/>
              </w:rPr>
              <w:t>服务期</w:t>
            </w:r>
          </w:p>
        </w:tc>
        <w:tc>
          <w:tcPr>
            <w:tcW w:w="5540" w:type="dxa"/>
            <w:vAlign w:val="center"/>
          </w:tcPr>
          <w:p>
            <w:pPr>
              <w:rPr>
                <w:rFonts w:hint="eastAsia" w:ascii="宋体" w:hAnsi="宋体" w:cs="宋体"/>
                <w:sz w:val="24"/>
              </w:rPr>
            </w:pPr>
          </w:p>
        </w:tc>
      </w:tr>
    </w:tbl>
    <w:p>
      <w:pPr>
        <w:spacing w:line="120" w:lineRule="exact"/>
        <w:rPr>
          <w:rFonts w:hint="eastAsia" w:ascii="宋体" w:hAnsi="宋体" w:cs="宋体"/>
          <w:sz w:val="24"/>
        </w:rPr>
      </w:pPr>
    </w:p>
    <w:p>
      <w:pPr>
        <w:spacing w:line="360" w:lineRule="auto"/>
        <w:ind w:firstLine="360" w:firstLineChars="150"/>
        <w:rPr>
          <w:rFonts w:hint="eastAsia" w:ascii="宋体" w:hAnsi="宋体" w:cs="宋体"/>
          <w:sz w:val="24"/>
        </w:rPr>
      </w:pPr>
      <w:r>
        <w:rPr>
          <w:rFonts w:hint="eastAsia" w:ascii="宋体" w:hAnsi="宋体" w:cs="宋体"/>
          <w:sz w:val="24"/>
        </w:rPr>
        <w:t>注：1、以上表内报价内容以元为单位，保留小数点后两位。</w:t>
      </w:r>
    </w:p>
    <w:p>
      <w:pPr>
        <w:spacing w:line="360" w:lineRule="auto"/>
        <w:ind w:firstLine="360" w:firstLineChars="150"/>
        <w:rPr>
          <w:rFonts w:hint="eastAsia" w:ascii="宋体" w:hAnsi="宋体" w:cs="宋体"/>
          <w:b/>
          <w:sz w:val="24"/>
        </w:rPr>
      </w:pPr>
      <w:r>
        <w:rPr>
          <w:rFonts w:hint="eastAsia" w:ascii="宋体" w:hAnsi="宋体" w:cs="宋体"/>
          <w:sz w:val="24"/>
        </w:rPr>
        <w:t xml:space="preserve">   </w:t>
      </w:r>
    </w:p>
    <w:p>
      <w:pPr>
        <w:spacing w:line="280" w:lineRule="exact"/>
        <w:ind w:right="540" w:rightChars="257" w:firstLine="4440" w:firstLineChars="1850"/>
        <w:jc w:val="left"/>
        <w:rPr>
          <w:rFonts w:hint="eastAsia" w:ascii="宋体" w:hAnsi="宋体" w:cs="宋体"/>
          <w:sz w:val="24"/>
        </w:rPr>
      </w:pPr>
    </w:p>
    <w:p>
      <w:pPr>
        <w:spacing w:line="280" w:lineRule="exact"/>
        <w:ind w:right="540" w:rightChars="257" w:firstLine="4440" w:firstLineChars="1850"/>
        <w:jc w:val="left"/>
        <w:rPr>
          <w:rFonts w:hint="eastAsia" w:ascii="宋体" w:hAnsi="宋体" w:cs="宋体"/>
          <w:sz w:val="24"/>
        </w:rPr>
      </w:pPr>
    </w:p>
    <w:p>
      <w:pPr>
        <w:spacing w:line="280" w:lineRule="exact"/>
        <w:ind w:right="540" w:rightChars="257" w:firstLine="4440" w:firstLineChars="1850"/>
        <w:jc w:val="left"/>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（加盖单位公章）</w:t>
      </w:r>
    </w:p>
    <w:p>
      <w:pPr>
        <w:spacing w:line="280" w:lineRule="exact"/>
        <w:ind w:right="540" w:rightChars="257" w:firstLine="360" w:firstLineChars="150"/>
        <w:jc w:val="left"/>
        <w:rPr>
          <w:rFonts w:hint="eastAsia" w:ascii="宋体" w:hAnsi="宋体" w:cs="宋体"/>
          <w:sz w:val="24"/>
        </w:rPr>
      </w:pPr>
    </w:p>
    <w:p>
      <w:pPr>
        <w:spacing w:line="280" w:lineRule="exact"/>
        <w:ind w:right="540" w:rightChars="257" w:firstLine="4440" w:firstLineChars="1850"/>
        <w:jc w:val="left"/>
        <w:rPr>
          <w:rFonts w:hint="eastAsia" w:ascii="宋体" w:hAnsi="宋体" w:cs="宋体"/>
          <w:sz w:val="24"/>
        </w:rPr>
      </w:pPr>
    </w:p>
    <w:p>
      <w:pPr>
        <w:spacing w:line="280" w:lineRule="exact"/>
        <w:ind w:right="540" w:rightChars="257" w:firstLine="4440" w:firstLineChars="1850"/>
        <w:jc w:val="left"/>
        <w:rPr>
          <w:rFonts w:hint="eastAsia" w:ascii="宋体" w:hAnsi="宋体" w:cs="宋体"/>
          <w:sz w:val="24"/>
          <w:u w:val="single"/>
        </w:rPr>
      </w:pPr>
      <w:r>
        <w:rPr>
          <w:rFonts w:hint="eastAsia" w:ascii="宋体" w:hAnsi="宋体" w:cs="宋体"/>
          <w:sz w:val="24"/>
        </w:rPr>
        <w:t>法定代表人（或被授权人）签字：</w:t>
      </w:r>
      <w:r>
        <w:rPr>
          <w:rFonts w:hint="eastAsia" w:ascii="宋体" w:hAnsi="宋体" w:cs="宋体"/>
          <w:sz w:val="24"/>
          <w:u w:val="single"/>
        </w:rPr>
        <w:t xml:space="preserve">        </w:t>
      </w:r>
    </w:p>
    <w:p>
      <w:pPr>
        <w:spacing w:line="280" w:lineRule="exact"/>
        <w:ind w:right="540" w:rightChars="257" w:firstLine="4440" w:firstLineChars="1850"/>
        <w:jc w:val="left"/>
        <w:rPr>
          <w:rFonts w:hint="eastAsia" w:ascii="宋体" w:hAnsi="宋体" w:cs="宋体"/>
          <w:sz w:val="24"/>
        </w:rPr>
      </w:pPr>
    </w:p>
    <w:p>
      <w:pPr>
        <w:spacing w:line="280" w:lineRule="exact"/>
        <w:ind w:right="540" w:rightChars="257"/>
        <w:jc w:val="left"/>
        <w:rPr>
          <w:rFonts w:hint="eastAsia" w:ascii="宋体" w:hAnsi="宋体" w:cs="宋体"/>
          <w:sz w:val="24"/>
        </w:rPr>
      </w:pPr>
    </w:p>
    <w:p>
      <w:pPr>
        <w:spacing w:line="280" w:lineRule="exact"/>
        <w:ind w:right="540" w:rightChars="257" w:firstLine="4440" w:firstLineChars="1850"/>
        <w:rPr>
          <w:rFonts w:hint="eastAsia" w:ascii="宋体" w:hAnsi="宋体" w:cs="宋体"/>
          <w:b/>
          <w:bCs/>
          <w:sz w:val="24"/>
        </w:rPr>
      </w:pPr>
      <w:r>
        <w:rPr>
          <w:rFonts w:hint="eastAsia" w:ascii="宋体" w:hAnsi="宋体" w:cs="宋体"/>
          <w:sz w:val="24"/>
        </w:rPr>
        <w:t>日期：    年   月    日</w:t>
      </w:r>
    </w:p>
    <w:p>
      <w:pPr>
        <w:keepLines/>
        <w:pageBreakBefore/>
        <w:jc w:val="center"/>
        <w:outlineLvl w:val="1"/>
        <w:rPr>
          <w:rFonts w:hint="eastAsia" w:ascii="宋体" w:hAnsi="宋体" w:cs="宋体"/>
          <w:b/>
          <w:bCs/>
          <w:sz w:val="32"/>
          <w:szCs w:val="32"/>
        </w:rPr>
      </w:pPr>
      <w:bookmarkStart w:id="235" w:name="_Toc8044"/>
      <w:bookmarkStart w:id="236" w:name="_Toc16495"/>
      <w:bookmarkStart w:id="237" w:name="_Toc13497"/>
      <w:bookmarkStart w:id="238" w:name="_Toc26300537"/>
      <w:bookmarkStart w:id="239" w:name="_Toc13665"/>
      <w:bookmarkStart w:id="240" w:name="_Toc5327"/>
      <w:bookmarkStart w:id="241" w:name="_Toc425240485"/>
      <w:bookmarkStart w:id="242" w:name="_Toc421778390"/>
      <w:r>
        <w:rPr>
          <w:rFonts w:hint="eastAsia" w:ascii="宋体" w:hAnsi="宋体" w:cs="宋体"/>
          <w:b/>
          <w:bCs/>
          <w:sz w:val="32"/>
          <w:szCs w:val="32"/>
        </w:rPr>
        <w:t>三、</w:t>
      </w:r>
      <w:bookmarkEnd w:id="235"/>
      <w:bookmarkEnd w:id="236"/>
      <w:bookmarkEnd w:id="237"/>
      <w:r>
        <w:rPr>
          <w:rFonts w:hint="eastAsia" w:ascii="宋体" w:hAnsi="宋体" w:cs="宋体"/>
          <w:b/>
          <w:bCs/>
          <w:sz w:val="32"/>
          <w:szCs w:val="32"/>
        </w:rPr>
        <w:t>分项报价表</w:t>
      </w:r>
      <w:bookmarkEnd w:id="238"/>
      <w:bookmarkEnd w:id="239"/>
      <w:bookmarkEnd w:id="240"/>
    </w:p>
    <w:p>
      <w:pPr>
        <w:pStyle w:val="219"/>
        <w:spacing w:line="480" w:lineRule="auto"/>
        <w:rPr>
          <w:rFonts w:hint="eastAsia" w:hAnsi="宋体" w:cs="宋体"/>
          <w:b w:val="0"/>
          <w:bCs/>
          <w:sz w:val="24"/>
          <w:szCs w:val="24"/>
        </w:rPr>
      </w:pPr>
    </w:p>
    <w:p>
      <w:pPr>
        <w:pStyle w:val="2"/>
        <w:jc w:val="center"/>
        <w:rPr>
          <w:rFonts w:hint="eastAsia"/>
        </w:rPr>
      </w:pPr>
      <w:r>
        <w:rPr>
          <w:rFonts w:hint="eastAsia"/>
        </w:rPr>
        <w:t xml:space="preserve">                                                       单位：元</w:t>
      </w:r>
    </w:p>
    <w:tbl>
      <w:tblPr>
        <w:tblStyle w:val="44"/>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541"/>
        <w:gridCol w:w="889"/>
        <w:gridCol w:w="777"/>
        <w:gridCol w:w="146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0" w:type="dxa"/>
            <w:vAlign w:val="center"/>
          </w:tcPr>
          <w:p>
            <w:pPr>
              <w:spacing w:line="360" w:lineRule="auto"/>
              <w:jc w:val="center"/>
              <w:rPr>
                <w:rFonts w:hint="eastAsia" w:hAnsi="宋体" w:cs="宋体"/>
                <w:sz w:val="24"/>
              </w:rPr>
            </w:pPr>
            <w:r>
              <w:rPr>
                <w:rFonts w:hint="eastAsia" w:hAnsi="宋体" w:cs="宋体"/>
                <w:sz w:val="24"/>
              </w:rPr>
              <w:t>序号</w:t>
            </w:r>
          </w:p>
        </w:tc>
        <w:tc>
          <w:tcPr>
            <w:tcW w:w="2541" w:type="dxa"/>
            <w:vAlign w:val="center"/>
          </w:tcPr>
          <w:p>
            <w:pPr>
              <w:spacing w:line="360" w:lineRule="auto"/>
              <w:jc w:val="center"/>
              <w:rPr>
                <w:rFonts w:hint="eastAsia" w:hAnsi="宋体" w:cs="宋体"/>
                <w:sz w:val="24"/>
              </w:rPr>
            </w:pPr>
            <w:r>
              <w:rPr>
                <w:rFonts w:hint="eastAsia" w:hAnsi="宋体" w:cs="宋体"/>
                <w:sz w:val="24"/>
              </w:rPr>
              <w:t>名称</w:t>
            </w:r>
          </w:p>
        </w:tc>
        <w:tc>
          <w:tcPr>
            <w:tcW w:w="889" w:type="dxa"/>
            <w:vAlign w:val="center"/>
          </w:tcPr>
          <w:p>
            <w:pPr>
              <w:spacing w:line="360" w:lineRule="auto"/>
              <w:jc w:val="center"/>
              <w:rPr>
                <w:rFonts w:hint="eastAsia" w:hAnsi="宋体" w:cs="宋体"/>
                <w:sz w:val="24"/>
              </w:rPr>
            </w:pPr>
            <w:r>
              <w:rPr>
                <w:rFonts w:hint="eastAsia" w:hAnsi="宋体" w:cs="宋体"/>
                <w:sz w:val="24"/>
              </w:rPr>
              <w:t>单位</w:t>
            </w:r>
          </w:p>
        </w:tc>
        <w:tc>
          <w:tcPr>
            <w:tcW w:w="777" w:type="dxa"/>
            <w:vAlign w:val="center"/>
          </w:tcPr>
          <w:p>
            <w:pPr>
              <w:spacing w:line="360" w:lineRule="auto"/>
              <w:jc w:val="center"/>
              <w:rPr>
                <w:rFonts w:hint="eastAsia" w:hAnsi="宋体" w:cs="宋体"/>
                <w:sz w:val="24"/>
              </w:rPr>
            </w:pPr>
            <w:r>
              <w:rPr>
                <w:rFonts w:hint="eastAsia" w:hAnsi="宋体" w:cs="宋体"/>
                <w:sz w:val="24"/>
              </w:rPr>
              <w:t>数量</w:t>
            </w:r>
          </w:p>
        </w:tc>
        <w:tc>
          <w:tcPr>
            <w:tcW w:w="1462" w:type="dxa"/>
            <w:vAlign w:val="center"/>
          </w:tcPr>
          <w:p>
            <w:pPr>
              <w:spacing w:line="360" w:lineRule="auto"/>
              <w:jc w:val="center"/>
              <w:rPr>
                <w:rFonts w:hint="eastAsia" w:hAnsi="宋体" w:cs="宋体"/>
                <w:sz w:val="24"/>
              </w:rPr>
            </w:pPr>
            <w:r>
              <w:rPr>
                <w:rFonts w:hint="eastAsia" w:hAnsi="宋体" w:cs="宋体"/>
                <w:sz w:val="24"/>
              </w:rPr>
              <w:t>单价</w:t>
            </w:r>
          </w:p>
        </w:tc>
        <w:tc>
          <w:tcPr>
            <w:tcW w:w="1812" w:type="dxa"/>
            <w:vAlign w:val="center"/>
          </w:tcPr>
          <w:p>
            <w:pPr>
              <w:spacing w:line="360" w:lineRule="auto"/>
              <w:jc w:val="center"/>
              <w:rPr>
                <w:rFonts w:hint="eastAsia" w:hAnsi="宋体" w:cs="宋体"/>
                <w:sz w:val="24"/>
              </w:rPr>
            </w:pPr>
            <w:r>
              <w:rPr>
                <w:rFonts w:hint="eastAsia" w:hAnsi="宋体" w:cs="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0" w:type="dxa"/>
            <w:vAlign w:val="center"/>
          </w:tcPr>
          <w:p>
            <w:pPr>
              <w:spacing w:line="360" w:lineRule="auto"/>
              <w:jc w:val="center"/>
              <w:rPr>
                <w:rFonts w:hint="eastAsia" w:hAnsi="宋体" w:cs="宋体"/>
                <w:sz w:val="24"/>
              </w:rPr>
            </w:pPr>
            <w:r>
              <w:rPr>
                <w:rFonts w:hint="eastAsia" w:hAnsi="宋体" w:cs="宋体"/>
                <w:sz w:val="24"/>
              </w:rPr>
              <w:t>1</w:t>
            </w:r>
          </w:p>
        </w:tc>
        <w:tc>
          <w:tcPr>
            <w:tcW w:w="2541" w:type="dxa"/>
            <w:vAlign w:val="center"/>
          </w:tcPr>
          <w:p>
            <w:pPr>
              <w:spacing w:line="360" w:lineRule="auto"/>
              <w:jc w:val="left"/>
              <w:rPr>
                <w:rFonts w:hint="eastAsia" w:hAnsi="宋体" w:cs="宋体"/>
                <w:sz w:val="24"/>
              </w:rPr>
            </w:pPr>
          </w:p>
        </w:tc>
        <w:tc>
          <w:tcPr>
            <w:tcW w:w="889" w:type="dxa"/>
            <w:vAlign w:val="center"/>
          </w:tcPr>
          <w:p>
            <w:pPr>
              <w:spacing w:line="360" w:lineRule="auto"/>
              <w:jc w:val="center"/>
              <w:rPr>
                <w:rFonts w:hint="eastAsia" w:hAnsi="宋体" w:cs="宋体"/>
                <w:sz w:val="24"/>
              </w:rPr>
            </w:pPr>
          </w:p>
        </w:tc>
        <w:tc>
          <w:tcPr>
            <w:tcW w:w="777" w:type="dxa"/>
            <w:vAlign w:val="center"/>
          </w:tcPr>
          <w:p>
            <w:pPr>
              <w:spacing w:line="360" w:lineRule="auto"/>
              <w:jc w:val="center"/>
              <w:rPr>
                <w:rFonts w:hint="eastAsia" w:hAnsi="宋体" w:cs="宋体"/>
                <w:sz w:val="24"/>
              </w:rPr>
            </w:pPr>
          </w:p>
        </w:tc>
        <w:tc>
          <w:tcPr>
            <w:tcW w:w="1462" w:type="dxa"/>
            <w:vAlign w:val="center"/>
          </w:tcPr>
          <w:p>
            <w:pPr>
              <w:spacing w:line="360" w:lineRule="auto"/>
              <w:jc w:val="center"/>
              <w:rPr>
                <w:rFonts w:hint="eastAsia" w:hAnsi="宋体" w:cs="宋体"/>
                <w:sz w:val="24"/>
              </w:rPr>
            </w:pPr>
          </w:p>
        </w:tc>
        <w:tc>
          <w:tcPr>
            <w:tcW w:w="1812" w:type="dxa"/>
            <w:vAlign w:val="center"/>
          </w:tcPr>
          <w:p>
            <w:pPr>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0" w:type="dxa"/>
            <w:vAlign w:val="center"/>
          </w:tcPr>
          <w:p>
            <w:pPr>
              <w:spacing w:line="360" w:lineRule="auto"/>
              <w:jc w:val="center"/>
              <w:rPr>
                <w:rFonts w:hint="eastAsia" w:hAnsi="宋体" w:cs="宋体"/>
                <w:sz w:val="24"/>
              </w:rPr>
            </w:pPr>
            <w:r>
              <w:rPr>
                <w:rFonts w:hint="eastAsia" w:hAnsi="宋体" w:cs="宋体"/>
                <w:sz w:val="24"/>
              </w:rPr>
              <w:t>2</w:t>
            </w:r>
          </w:p>
        </w:tc>
        <w:tc>
          <w:tcPr>
            <w:tcW w:w="2541" w:type="dxa"/>
            <w:vAlign w:val="center"/>
          </w:tcPr>
          <w:p>
            <w:pPr>
              <w:spacing w:line="360" w:lineRule="auto"/>
              <w:jc w:val="center"/>
              <w:rPr>
                <w:rFonts w:hint="eastAsia" w:hAnsi="宋体" w:cs="宋体"/>
                <w:sz w:val="24"/>
              </w:rPr>
            </w:pPr>
          </w:p>
        </w:tc>
        <w:tc>
          <w:tcPr>
            <w:tcW w:w="889" w:type="dxa"/>
            <w:vAlign w:val="center"/>
          </w:tcPr>
          <w:p>
            <w:pPr>
              <w:spacing w:line="360" w:lineRule="auto"/>
              <w:jc w:val="center"/>
              <w:rPr>
                <w:rFonts w:hint="eastAsia" w:hAnsi="宋体" w:cs="宋体"/>
                <w:sz w:val="24"/>
              </w:rPr>
            </w:pPr>
          </w:p>
        </w:tc>
        <w:tc>
          <w:tcPr>
            <w:tcW w:w="777" w:type="dxa"/>
            <w:vAlign w:val="center"/>
          </w:tcPr>
          <w:p>
            <w:pPr>
              <w:spacing w:line="360" w:lineRule="auto"/>
              <w:jc w:val="center"/>
              <w:rPr>
                <w:rFonts w:hint="eastAsia" w:hAnsi="宋体" w:cs="宋体"/>
                <w:sz w:val="24"/>
              </w:rPr>
            </w:pPr>
          </w:p>
        </w:tc>
        <w:tc>
          <w:tcPr>
            <w:tcW w:w="1462" w:type="dxa"/>
            <w:vAlign w:val="center"/>
          </w:tcPr>
          <w:p>
            <w:pPr>
              <w:spacing w:line="360" w:lineRule="auto"/>
              <w:jc w:val="center"/>
              <w:rPr>
                <w:rFonts w:hint="eastAsia" w:hAnsi="宋体" w:cs="宋体"/>
                <w:sz w:val="24"/>
              </w:rPr>
            </w:pPr>
          </w:p>
        </w:tc>
        <w:tc>
          <w:tcPr>
            <w:tcW w:w="1812" w:type="dxa"/>
            <w:vAlign w:val="center"/>
          </w:tcPr>
          <w:p>
            <w:pPr>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0" w:type="dxa"/>
            <w:vAlign w:val="center"/>
          </w:tcPr>
          <w:p>
            <w:pPr>
              <w:spacing w:line="360" w:lineRule="auto"/>
              <w:jc w:val="center"/>
              <w:rPr>
                <w:rFonts w:hint="eastAsia" w:hAnsi="宋体" w:cs="宋体"/>
                <w:sz w:val="24"/>
              </w:rPr>
            </w:pPr>
            <w:r>
              <w:rPr>
                <w:rFonts w:hint="eastAsia" w:hAnsi="宋体" w:cs="宋体"/>
                <w:sz w:val="24"/>
              </w:rPr>
              <w:t>3</w:t>
            </w:r>
          </w:p>
        </w:tc>
        <w:tc>
          <w:tcPr>
            <w:tcW w:w="2541" w:type="dxa"/>
            <w:vAlign w:val="center"/>
          </w:tcPr>
          <w:p>
            <w:pPr>
              <w:spacing w:line="360" w:lineRule="auto"/>
              <w:jc w:val="center"/>
              <w:rPr>
                <w:rFonts w:hint="eastAsia" w:hAnsi="宋体" w:cs="宋体"/>
                <w:sz w:val="24"/>
              </w:rPr>
            </w:pPr>
          </w:p>
        </w:tc>
        <w:tc>
          <w:tcPr>
            <w:tcW w:w="889" w:type="dxa"/>
            <w:vAlign w:val="center"/>
          </w:tcPr>
          <w:p>
            <w:pPr>
              <w:spacing w:line="360" w:lineRule="auto"/>
              <w:jc w:val="center"/>
              <w:rPr>
                <w:rFonts w:hint="eastAsia" w:hAnsi="宋体" w:cs="宋体"/>
                <w:sz w:val="24"/>
              </w:rPr>
            </w:pPr>
          </w:p>
        </w:tc>
        <w:tc>
          <w:tcPr>
            <w:tcW w:w="777" w:type="dxa"/>
            <w:vAlign w:val="center"/>
          </w:tcPr>
          <w:p>
            <w:pPr>
              <w:spacing w:line="360" w:lineRule="auto"/>
              <w:jc w:val="center"/>
              <w:rPr>
                <w:rFonts w:hint="eastAsia" w:hAnsi="宋体" w:cs="宋体"/>
                <w:sz w:val="24"/>
              </w:rPr>
            </w:pPr>
          </w:p>
        </w:tc>
        <w:tc>
          <w:tcPr>
            <w:tcW w:w="1462" w:type="dxa"/>
            <w:vAlign w:val="center"/>
          </w:tcPr>
          <w:p>
            <w:pPr>
              <w:spacing w:line="360" w:lineRule="auto"/>
              <w:jc w:val="center"/>
              <w:rPr>
                <w:rFonts w:hint="eastAsia" w:hAnsi="宋体" w:cs="宋体"/>
                <w:sz w:val="24"/>
              </w:rPr>
            </w:pPr>
          </w:p>
        </w:tc>
        <w:tc>
          <w:tcPr>
            <w:tcW w:w="1812" w:type="dxa"/>
            <w:vAlign w:val="center"/>
          </w:tcPr>
          <w:p>
            <w:pPr>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70" w:type="dxa"/>
            <w:vAlign w:val="center"/>
          </w:tcPr>
          <w:p>
            <w:pPr>
              <w:spacing w:line="360" w:lineRule="auto"/>
              <w:jc w:val="center"/>
              <w:rPr>
                <w:rFonts w:hAnsi="宋体" w:cs="宋体"/>
                <w:sz w:val="24"/>
              </w:rPr>
            </w:pPr>
            <w:r>
              <w:rPr>
                <w:rFonts w:hint="eastAsia" w:hAnsi="宋体" w:cs="宋体"/>
                <w:sz w:val="24"/>
              </w:rPr>
              <w:t>4</w:t>
            </w:r>
          </w:p>
        </w:tc>
        <w:tc>
          <w:tcPr>
            <w:tcW w:w="2541" w:type="dxa"/>
            <w:vAlign w:val="center"/>
          </w:tcPr>
          <w:p>
            <w:pPr>
              <w:spacing w:line="360" w:lineRule="auto"/>
              <w:jc w:val="center"/>
              <w:rPr>
                <w:rFonts w:hint="eastAsia" w:hAnsi="宋体" w:cs="宋体"/>
                <w:sz w:val="24"/>
              </w:rPr>
            </w:pPr>
          </w:p>
        </w:tc>
        <w:tc>
          <w:tcPr>
            <w:tcW w:w="889" w:type="dxa"/>
            <w:tcBorders>
              <w:bottom w:val="single" w:color="auto" w:sz="4" w:space="0"/>
            </w:tcBorders>
            <w:vAlign w:val="center"/>
          </w:tcPr>
          <w:p>
            <w:pPr>
              <w:spacing w:line="360" w:lineRule="auto"/>
              <w:jc w:val="center"/>
              <w:rPr>
                <w:rFonts w:hint="eastAsia" w:hAnsi="宋体" w:cs="宋体"/>
                <w:sz w:val="24"/>
              </w:rPr>
            </w:pPr>
          </w:p>
        </w:tc>
        <w:tc>
          <w:tcPr>
            <w:tcW w:w="777" w:type="dxa"/>
            <w:tcBorders>
              <w:bottom w:val="single" w:color="auto" w:sz="4" w:space="0"/>
            </w:tcBorders>
            <w:vAlign w:val="center"/>
          </w:tcPr>
          <w:p>
            <w:pPr>
              <w:spacing w:line="360" w:lineRule="auto"/>
              <w:jc w:val="center"/>
              <w:rPr>
                <w:rFonts w:hint="eastAsia" w:hAnsi="宋体" w:cs="宋体"/>
                <w:sz w:val="24"/>
              </w:rPr>
            </w:pPr>
          </w:p>
        </w:tc>
        <w:tc>
          <w:tcPr>
            <w:tcW w:w="1462" w:type="dxa"/>
            <w:vAlign w:val="center"/>
          </w:tcPr>
          <w:p>
            <w:pPr>
              <w:spacing w:line="360" w:lineRule="auto"/>
              <w:jc w:val="center"/>
              <w:rPr>
                <w:rFonts w:hint="eastAsia" w:hAnsi="宋体" w:cs="宋体"/>
                <w:sz w:val="24"/>
              </w:rPr>
            </w:pPr>
          </w:p>
        </w:tc>
        <w:tc>
          <w:tcPr>
            <w:tcW w:w="1812" w:type="dxa"/>
            <w:vAlign w:val="center"/>
          </w:tcPr>
          <w:p>
            <w:pPr>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0" w:type="dxa"/>
            <w:vAlign w:val="center"/>
          </w:tcPr>
          <w:p>
            <w:pPr>
              <w:spacing w:line="360" w:lineRule="auto"/>
              <w:jc w:val="center"/>
              <w:rPr>
                <w:rFonts w:hAnsi="宋体" w:cs="宋体"/>
                <w:sz w:val="24"/>
              </w:rPr>
            </w:pPr>
            <w:r>
              <w:rPr>
                <w:rFonts w:hint="eastAsia" w:hAnsi="宋体" w:cs="宋体"/>
                <w:sz w:val="24"/>
              </w:rPr>
              <w:t>5</w:t>
            </w:r>
          </w:p>
        </w:tc>
        <w:tc>
          <w:tcPr>
            <w:tcW w:w="2541" w:type="dxa"/>
            <w:vAlign w:val="center"/>
          </w:tcPr>
          <w:p>
            <w:pPr>
              <w:spacing w:line="360" w:lineRule="auto"/>
              <w:rPr>
                <w:rFonts w:hint="eastAsia" w:hAnsi="宋体" w:cs="宋体"/>
                <w:sz w:val="24"/>
              </w:rPr>
            </w:pPr>
          </w:p>
        </w:tc>
        <w:tc>
          <w:tcPr>
            <w:tcW w:w="889" w:type="dxa"/>
            <w:tcBorders>
              <w:top w:val="single" w:color="auto" w:sz="4" w:space="0"/>
              <w:bottom w:val="single" w:color="auto" w:sz="4" w:space="0"/>
            </w:tcBorders>
            <w:vAlign w:val="center"/>
          </w:tcPr>
          <w:p>
            <w:pPr>
              <w:spacing w:line="360" w:lineRule="auto"/>
              <w:jc w:val="center"/>
              <w:rPr>
                <w:rFonts w:hint="eastAsia" w:hAnsi="宋体" w:cs="宋体"/>
                <w:sz w:val="24"/>
              </w:rPr>
            </w:pPr>
          </w:p>
        </w:tc>
        <w:tc>
          <w:tcPr>
            <w:tcW w:w="777" w:type="dxa"/>
            <w:tcBorders>
              <w:top w:val="single" w:color="auto" w:sz="4" w:space="0"/>
              <w:bottom w:val="single" w:color="auto" w:sz="4" w:space="0"/>
            </w:tcBorders>
            <w:vAlign w:val="center"/>
          </w:tcPr>
          <w:p>
            <w:pPr>
              <w:spacing w:line="360" w:lineRule="auto"/>
              <w:jc w:val="center"/>
              <w:rPr>
                <w:rFonts w:hint="eastAsia" w:hAnsi="宋体" w:cs="宋体"/>
                <w:sz w:val="24"/>
              </w:rPr>
            </w:pPr>
          </w:p>
        </w:tc>
        <w:tc>
          <w:tcPr>
            <w:tcW w:w="1462" w:type="dxa"/>
            <w:vAlign w:val="center"/>
          </w:tcPr>
          <w:p>
            <w:pPr>
              <w:spacing w:line="360" w:lineRule="auto"/>
              <w:jc w:val="center"/>
              <w:rPr>
                <w:rFonts w:hint="eastAsia" w:hAnsi="宋体" w:cs="宋体"/>
                <w:sz w:val="24"/>
              </w:rPr>
            </w:pPr>
          </w:p>
        </w:tc>
        <w:tc>
          <w:tcPr>
            <w:tcW w:w="1812" w:type="dxa"/>
            <w:vAlign w:val="center"/>
          </w:tcPr>
          <w:p>
            <w:pPr>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70" w:type="dxa"/>
            <w:vAlign w:val="center"/>
          </w:tcPr>
          <w:p>
            <w:pPr>
              <w:spacing w:line="360" w:lineRule="auto"/>
              <w:jc w:val="center"/>
              <w:rPr>
                <w:rFonts w:hint="eastAsia" w:hAnsi="宋体" w:cs="宋体"/>
                <w:sz w:val="24"/>
              </w:rPr>
            </w:pPr>
            <w:r>
              <w:rPr>
                <w:rFonts w:hint="eastAsia" w:hAnsi="宋体" w:cs="宋体"/>
                <w:sz w:val="24"/>
              </w:rPr>
              <w:t>6</w:t>
            </w:r>
          </w:p>
        </w:tc>
        <w:tc>
          <w:tcPr>
            <w:tcW w:w="2541" w:type="dxa"/>
            <w:vAlign w:val="center"/>
          </w:tcPr>
          <w:p>
            <w:pPr>
              <w:spacing w:line="360" w:lineRule="auto"/>
              <w:rPr>
                <w:rFonts w:hint="eastAsia" w:hAnsi="宋体" w:cs="宋体"/>
                <w:sz w:val="24"/>
              </w:rPr>
            </w:pPr>
          </w:p>
        </w:tc>
        <w:tc>
          <w:tcPr>
            <w:tcW w:w="889" w:type="dxa"/>
            <w:tcBorders>
              <w:top w:val="single" w:color="auto" w:sz="4" w:space="0"/>
              <w:bottom w:val="single" w:color="auto" w:sz="4" w:space="0"/>
            </w:tcBorders>
            <w:vAlign w:val="center"/>
          </w:tcPr>
          <w:p>
            <w:pPr>
              <w:spacing w:line="360" w:lineRule="auto"/>
              <w:jc w:val="center"/>
              <w:rPr>
                <w:rFonts w:hint="eastAsia" w:hAnsi="宋体" w:cs="宋体"/>
                <w:sz w:val="24"/>
              </w:rPr>
            </w:pPr>
          </w:p>
        </w:tc>
        <w:tc>
          <w:tcPr>
            <w:tcW w:w="777" w:type="dxa"/>
            <w:tcBorders>
              <w:top w:val="single" w:color="auto" w:sz="4" w:space="0"/>
              <w:bottom w:val="single" w:color="auto" w:sz="4" w:space="0"/>
            </w:tcBorders>
            <w:vAlign w:val="center"/>
          </w:tcPr>
          <w:p>
            <w:pPr>
              <w:spacing w:line="360" w:lineRule="auto"/>
              <w:jc w:val="center"/>
              <w:rPr>
                <w:rFonts w:hint="eastAsia" w:hAnsi="宋体" w:cs="宋体"/>
                <w:sz w:val="24"/>
              </w:rPr>
            </w:pPr>
          </w:p>
        </w:tc>
        <w:tc>
          <w:tcPr>
            <w:tcW w:w="1462" w:type="dxa"/>
            <w:vAlign w:val="center"/>
          </w:tcPr>
          <w:p>
            <w:pPr>
              <w:spacing w:line="360" w:lineRule="auto"/>
              <w:jc w:val="center"/>
              <w:rPr>
                <w:rFonts w:hint="eastAsia" w:hAnsi="宋体" w:cs="宋体"/>
                <w:sz w:val="24"/>
              </w:rPr>
            </w:pPr>
          </w:p>
        </w:tc>
        <w:tc>
          <w:tcPr>
            <w:tcW w:w="1812" w:type="dxa"/>
            <w:vAlign w:val="center"/>
          </w:tcPr>
          <w:p>
            <w:pPr>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70" w:type="dxa"/>
            <w:vAlign w:val="center"/>
          </w:tcPr>
          <w:p>
            <w:pPr>
              <w:spacing w:line="360" w:lineRule="auto"/>
              <w:jc w:val="center"/>
              <w:rPr>
                <w:rFonts w:hint="eastAsia" w:hAnsi="宋体" w:cs="宋体"/>
                <w:sz w:val="24"/>
              </w:rPr>
            </w:pPr>
          </w:p>
        </w:tc>
        <w:tc>
          <w:tcPr>
            <w:tcW w:w="2541" w:type="dxa"/>
            <w:vAlign w:val="center"/>
          </w:tcPr>
          <w:p>
            <w:pPr>
              <w:spacing w:line="360" w:lineRule="auto"/>
              <w:rPr>
                <w:rFonts w:hint="eastAsia" w:hAnsi="宋体" w:cs="宋体"/>
                <w:sz w:val="24"/>
              </w:rPr>
            </w:pPr>
          </w:p>
        </w:tc>
        <w:tc>
          <w:tcPr>
            <w:tcW w:w="889" w:type="dxa"/>
            <w:tcBorders>
              <w:top w:val="single" w:color="auto" w:sz="4" w:space="0"/>
            </w:tcBorders>
            <w:vAlign w:val="center"/>
          </w:tcPr>
          <w:p>
            <w:pPr>
              <w:spacing w:line="360" w:lineRule="auto"/>
              <w:jc w:val="center"/>
              <w:rPr>
                <w:rFonts w:hint="eastAsia" w:hAnsi="宋体" w:cs="宋体"/>
                <w:sz w:val="24"/>
              </w:rPr>
            </w:pPr>
          </w:p>
        </w:tc>
        <w:tc>
          <w:tcPr>
            <w:tcW w:w="777" w:type="dxa"/>
            <w:tcBorders>
              <w:top w:val="single" w:color="auto" w:sz="4" w:space="0"/>
            </w:tcBorders>
            <w:vAlign w:val="center"/>
          </w:tcPr>
          <w:p>
            <w:pPr>
              <w:spacing w:line="360" w:lineRule="auto"/>
              <w:jc w:val="center"/>
              <w:rPr>
                <w:rFonts w:hint="eastAsia" w:hAnsi="宋体" w:cs="宋体"/>
                <w:sz w:val="24"/>
              </w:rPr>
            </w:pPr>
          </w:p>
        </w:tc>
        <w:tc>
          <w:tcPr>
            <w:tcW w:w="1462" w:type="dxa"/>
            <w:vAlign w:val="center"/>
          </w:tcPr>
          <w:p>
            <w:pPr>
              <w:spacing w:line="360" w:lineRule="auto"/>
              <w:jc w:val="center"/>
              <w:rPr>
                <w:rFonts w:hint="eastAsia" w:hAnsi="宋体" w:cs="宋体"/>
                <w:sz w:val="24"/>
              </w:rPr>
            </w:pPr>
          </w:p>
        </w:tc>
        <w:tc>
          <w:tcPr>
            <w:tcW w:w="1812" w:type="dxa"/>
            <w:vAlign w:val="center"/>
          </w:tcPr>
          <w:p>
            <w:pPr>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70" w:type="dxa"/>
            <w:vAlign w:val="center"/>
          </w:tcPr>
          <w:p>
            <w:pPr>
              <w:spacing w:line="360" w:lineRule="auto"/>
              <w:jc w:val="center"/>
              <w:rPr>
                <w:rFonts w:hint="eastAsia" w:hAnsi="宋体" w:cs="宋体"/>
                <w:sz w:val="24"/>
              </w:rPr>
            </w:pPr>
          </w:p>
        </w:tc>
        <w:tc>
          <w:tcPr>
            <w:tcW w:w="2541" w:type="dxa"/>
            <w:vAlign w:val="center"/>
          </w:tcPr>
          <w:p>
            <w:pPr>
              <w:spacing w:line="360" w:lineRule="auto"/>
              <w:rPr>
                <w:rFonts w:hint="eastAsia" w:hAnsi="宋体" w:cs="宋体"/>
                <w:sz w:val="24"/>
              </w:rPr>
            </w:pPr>
          </w:p>
        </w:tc>
        <w:tc>
          <w:tcPr>
            <w:tcW w:w="889" w:type="dxa"/>
            <w:vAlign w:val="center"/>
          </w:tcPr>
          <w:p>
            <w:pPr>
              <w:spacing w:line="360" w:lineRule="auto"/>
              <w:jc w:val="center"/>
              <w:rPr>
                <w:rFonts w:hint="eastAsia" w:hAnsi="宋体" w:cs="宋体"/>
                <w:sz w:val="24"/>
              </w:rPr>
            </w:pPr>
          </w:p>
        </w:tc>
        <w:tc>
          <w:tcPr>
            <w:tcW w:w="777" w:type="dxa"/>
            <w:vAlign w:val="center"/>
          </w:tcPr>
          <w:p>
            <w:pPr>
              <w:spacing w:line="360" w:lineRule="auto"/>
              <w:jc w:val="center"/>
              <w:rPr>
                <w:rFonts w:hint="eastAsia" w:hAnsi="宋体" w:cs="宋体"/>
                <w:sz w:val="24"/>
              </w:rPr>
            </w:pPr>
          </w:p>
        </w:tc>
        <w:tc>
          <w:tcPr>
            <w:tcW w:w="1462" w:type="dxa"/>
            <w:vAlign w:val="center"/>
          </w:tcPr>
          <w:p>
            <w:pPr>
              <w:spacing w:line="360" w:lineRule="auto"/>
              <w:jc w:val="center"/>
              <w:rPr>
                <w:rFonts w:hint="eastAsia" w:hAnsi="宋体" w:cs="宋体"/>
                <w:sz w:val="24"/>
              </w:rPr>
            </w:pPr>
          </w:p>
        </w:tc>
        <w:tc>
          <w:tcPr>
            <w:tcW w:w="1812" w:type="dxa"/>
            <w:vAlign w:val="center"/>
          </w:tcPr>
          <w:p>
            <w:pPr>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70" w:type="dxa"/>
            <w:vAlign w:val="center"/>
          </w:tcPr>
          <w:p>
            <w:pPr>
              <w:spacing w:line="360" w:lineRule="auto"/>
              <w:jc w:val="center"/>
              <w:rPr>
                <w:rFonts w:hint="eastAsia" w:hAnsi="宋体" w:cs="宋体"/>
                <w:sz w:val="24"/>
              </w:rPr>
            </w:pPr>
            <w:r>
              <w:rPr>
                <w:rFonts w:hint="eastAsia" w:hAnsi="宋体" w:cs="宋体"/>
                <w:sz w:val="24"/>
              </w:rPr>
              <w:t>...</w:t>
            </w:r>
          </w:p>
        </w:tc>
        <w:tc>
          <w:tcPr>
            <w:tcW w:w="2541" w:type="dxa"/>
            <w:vAlign w:val="center"/>
          </w:tcPr>
          <w:p>
            <w:pPr>
              <w:spacing w:line="360" w:lineRule="auto"/>
              <w:rPr>
                <w:rFonts w:hAnsi="宋体" w:cs="宋体"/>
                <w:sz w:val="24"/>
              </w:rPr>
            </w:pPr>
            <w:r>
              <w:rPr>
                <w:rFonts w:hint="eastAsia" w:hAnsi="宋体" w:cs="宋体"/>
                <w:sz w:val="24"/>
              </w:rPr>
              <w:t>...</w:t>
            </w:r>
          </w:p>
        </w:tc>
        <w:tc>
          <w:tcPr>
            <w:tcW w:w="889" w:type="dxa"/>
            <w:vAlign w:val="center"/>
          </w:tcPr>
          <w:p>
            <w:pPr>
              <w:spacing w:line="360" w:lineRule="auto"/>
              <w:jc w:val="center"/>
              <w:rPr>
                <w:rFonts w:hint="eastAsia" w:hAnsi="宋体" w:cs="宋体"/>
                <w:sz w:val="24"/>
              </w:rPr>
            </w:pPr>
          </w:p>
        </w:tc>
        <w:tc>
          <w:tcPr>
            <w:tcW w:w="777" w:type="dxa"/>
            <w:vAlign w:val="center"/>
          </w:tcPr>
          <w:p>
            <w:pPr>
              <w:spacing w:line="360" w:lineRule="auto"/>
              <w:jc w:val="center"/>
              <w:rPr>
                <w:rFonts w:hint="eastAsia" w:hAnsi="宋体" w:cs="宋体"/>
                <w:sz w:val="24"/>
              </w:rPr>
            </w:pPr>
          </w:p>
        </w:tc>
        <w:tc>
          <w:tcPr>
            <w:tcW w:w="1462" w:type="dxa"/>
            <w:vAlign w:val="center"/>
          </w:tcPr>
          <w:p>
            <w:pPr>
              <w:spacing w:line="360" w:lineRule="auto"/>
              <w:jc w:val="center"/>
              <w:rPr>
                <w:rFonts w:hint="eastAsia" w:hAnsi="宋体" w:cs="宋体"/>
                <w:sz w:val="24"/>
              </w:rPr>
            </w:pPr>
          </w:p>
        </w:tc>
        <w:tc>
          <w:tcPr>
            <w:tcW w:w="1812" w:type="dxa"/>
            <w:vAlign w:val="center"/>
          </w:tcPr>
          <w:p>
            <w:pPr>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200" w:type="dxa"/>
            <w:gridSpan w:val="3"/>
            <w:vAlign w:val="center"/>
          </w:tcPr>
          <w:p>
            <w:pPr>
              <w:spacing w:line="360" w:lineRule="auto"/>
              <w:jc w:val="center"/>
              <w:rPr>
                <w:rFonts w:hint="eastAsia" w:hAnsi="宋体" w:cs="宋体"/>
                <w:sz w:val="24"/>
              </w:rPr>
            </w:pPr>
            <w:r>
              <w:rPr>
                <w:rFonts w:hint="eastAsia" w:hAnsi="宋体" w:cs="宋体"/>
                <w:sz w:val="24"/>
              </w:rPr>
              <w:t>合计</w:t>
            </w:r>
          </w:p>
        </w:tc>
        <w:tc>
          <w:tcPr>
            <w:tcW w:w="4051" w:type="dxa"/>
            <w:gridSpan w:val="3"/>
            <w:vAlign w:val="center"/>
          </w:tcPr>
          <w:p>
            <w:pPr>
              <w:spacing w:line="360" w:lineRule="auto"/>
              <w:jc w:val="center"/>
              <w:rPr>
                <w:rFonts w:hint="eastAsia" w:hAnsi="宋体" w:cs="宋体"/>
                <w:sz w:val="24"/>
              </w:rPr>
            </w:pPr>
          </w:p>
        </w:tc>
      </w:tr>
    </w:tbl>
    <w:p>
      <w:pPr>
        <w:spacing w:line="360" w:lineRule="auto"/>
        <w:ind w:firstLine="3120" w:firstLineChars="1300"/>
        <w:rPr>
          <w:rFonts w:hint="eastAsia" w:hAnsi="宋体"/>
          <w:sz w:val="24"/>
        </w:rPr>
      </w:pPr>
    </w:p>
    <w:p>
      <w:pPr>
        <w:spacing w:line="360" w:lineRule="auto"/>
        <w:ind w:firstLine="3120" w:firstLineChars="1300"/>
        <w:rPr>
          <w:rFonts w:hint="eastAsia" w:hAnsi="宋体"/>
          <w:sz w:val="24"/>
        </w:rPr>
      </w:pPr>
    </w:p>
    <w:p>
      <w:pPr>
        <w:spacing w:line="360" w:lineRule="auto"/>
        <w:ind w:firstLine="720" w:firstLineChars="300"/>
        <w:rPr>
          <w:rFonts w:hint="eastAsia" w:hAnsi="宋体"/>
          <w:sz w:val="24"/>
        </w:rPr>
      </w:pPr>
      <w:r>
        <w:rPr>
          <w:rFonts w:hint="eastAsia" w:hAnsi="宋体"/>
          <w:sz w:val="24"/>
        </w:rPr>
        <w:t>供应商名称：</w:t>
      </w:r>
      <w:r>
        <w:rPr>
          <w:rFonts w:hint="eastAsia" w:hAnsi="宋体"/>
          <w:sz w:val="24"/>
          <w:u w:val="single"/>
        </w:rPr>
        <w:t xml:space="preserve">                    </w:t>
      </w:r>
      <w:r>
        <w:rPr>
          <w:rFonts w:hint="eastAsia" w:hAnsi="宋体"/>
          <w:sz w:val="24"/>
        </w:rPr>
        <w:t>（公章）</w:t>
      </w:r>
    </w:p>
    <w:p>
      <w:pPr>
        <w:spacing w:line="360" w:lineRule="auto"/>
        <w:ind w:firstLine="720" w:firstLineChars="300"/>
        <w:rPr>
          <w:rFonts w:hint="eastAsia" w:hAnsi="宋体"/>
          <w:sz w:val="24"/>
        </w:rPr>
      </w:pPr>
      <w:r>
        <w:rPr>
          <w:rFonts w:hint="eastAsia" w:hAnsi="宋体"/>
          <w:sz w:val="24"/>
        </w:rPr>
        <w:t>法定代表人或被授权代表（签字或盖章）：</w:t>
      </w:r>
      <w:r>
        <w:rPr>
          <w:rFonts w:hint="eastAsia" w:hAnsi="宋体"/>
          <w:sz w:val="24"/>
          <w:u w:val="single"/>
        </w:rPr>
        <w:t xml:space="preserve">                         </w:t>
      </w:r>
      <w:r>
        <w:rPr>
          <w:rFonts w:hint="eastAsia" w:hAnsi="宋体"/>
          <w:sz w:val="24"/>
        </w:rPr>
        <w:t xml:space="preserve">         </w:t>
      </w:r>
    </w:p>
    <w:p>
      <w:pPr>
        <w:spacing w:line="360" w:lineRule="auto"/>
        <w:ind w:firstLine="720" w:firstLineChars="300"/>
        <w:rPr>
          <w:rFonts w:hint="eastAsia" w:hAnsi="宋体"/>
          <w:sz w:val="24"/>
        </w:rPr>
      </w:pPr>
      <w:r>
        <w:rPr>
          <w:rFonts w:hint="eastAsia" w:hAnsi="宋体"/>
          <w:sz w:val="24"/>
        </w:rPr>
        <w:t xml:space="preserve">日期：     年    月    日  </w:t>
      </w:r>
    </w:p>
    <w:p>
      <w:pPr>
        <w:spacing w:line="560" w:lineRule="exact"/>
        <w:rPr>
          <w:rFonts w:hint="eastAsia" w:hAnsi="宋体" w:cs="宋体"/>
        </w:rPr>
      </w:pPr>
    </w:p>
    <w:p>
      <w:pPr>
        <w:spacing w:line="560" w:lineRule="exact"/>
        <w:rPr>
          <w:rFonts w:hint="eastAsia" w:hAnsi="宋体" w:cs="宋体"/>
          <w:sz w:val="24"/>
        </w:rPr>
      </w:pPr>
      <w:r>
        <w:rPr>
          <w:rFonts w:hint="eastAsia" w:hAnsi="宋体" w:cs="宋体"/>
          <w:sz w:val="24"/>
        </w:rPr>
        <w:t>注：1.如果按单价计算的结果与总价不一致，以单价为准修正总价。</w:t>
      </w:r>
    </w:p>
    <w:p>
      <w:pPr>
        <w:spacing w:line="560" w:lineRule="exact"/>
        <w:ind w:firstLine="480" w:firstLineChars="200"/>
        <w:rPr>
          <w:rFonts w:hint="eastAsia" w:hAnsi="宋体" w:cs="宋体"/>
          <w:sz w:val="24"/>
        </w:rPr>
      </w:pPr>
      <w:r>
        <w:rPr>
          <w:rFonts w:hint="eastAsia" w:hAnsi="宋体" w:cs="宋体"/>
          <w:sz w:val="24"/>
        </w:rPr>
        <w:t>2.样表仅供参考，供应商根据项目实际情况填写。</w:t>
      </w:r>
    </w:p>
    <w:p>
      <w:pPr>
        <w:spacing w:line="480" w:lineRule="auto"/>
        <w:jc w:val="left"/>
        <w:rPr>
          <w:rFonts w:hint="eastAsia" w:ascii="宋体" w:hAnsi="宋体" w:cs="宋体"/>
          <w:sz w:val="24"/>
        </w:rPr>
      </w:pPr>
    </w:p>
    <w:p>
      <w:pPr>
        <w:spacing w:line="480" w:lineRule="auto"/>
        <w:jc w:val="left"/>
        <w:rPr>
          <w:rFonts w:hint="eastAsia" w:ascii="宋体" w:hAnsi="宋体" w:cs="宋体"/>
          <w:sz w:val="24"/>
        </w:rPr>
      </w:pPr>
    </w:p>
    <w:p>
      <w:pPr>
        <w:keepLines/>
        <w:pageBreakBefore/>
        <w:jc w:val="center"/>
        <w:outlineLvl w:val="1"/>
        <w:rPr>
          <w:rFonts w:hint="eastAsia" w:ascii="宋体" w:hAnsi="宋体" w:cs="宋体"/>
          <w:b/>
          <w:bCs/>
          <w:sz w:val="32"/>
          <w:szCs w:val="32"/>
        </w:rPr>
      </w:pPr>
      <w:bookmarkStart w:id="243" w:name="_Toc25114"/>
      <w:bookmarkStart w:id="244" w:name="_Toc26300539"/>
      <w:bookmarkStart w:id="245" w:name="_Toc4451"/>
      <w:bookmarkStart w:id="246" w:name="_Toc5947"/>
      <w:bookmarkStart w:id="247" w:name="_Toc3574"/>
      <w:r>
        <w:rPr>
          <w:rFonts w:hint="eastAsia" w:ascii="宋体" w:hAnsi="宋体" w:cs="宋体"/>
          <w:b/>
          <w:bCs/>
          <w:sz w:val="32"/>
          <w:szCs w:val="32"/>
        </w:rPr>
        <w:t>四、供应商承诺书</w:t>
      </w:r>
      <w:bookmarkEnd w:id="243"/>
      <w:bookmarkEnd w:id="244"/>
      <w:bookmarkEnd w:id="245"/>
    </w:p>
    <w:p>
      <w:pPr>
        <w:spacing w:line="500" w:lineRule="exact"/>
        <w:rPr>
          <w:rFonts w:hint="eastAsia" w:ascii="宋体" w:hAnsi="宋体" w:cs="宋体"/>
          <w:sz w:val="24"/>
        </w:rPr>
      </w:pPr>
    </w:p>
    <w:p>
      <w:pPr>
        <w:spacing w:beforeLines="50" w:line="500" w:lineRule="exact"/>
        <w:ind w:firstLine="482" w:firstLineChars="200"/>
        <w:jc w:val="center"/>
        <w:rPr>
          <w:rFonts w:hint="eastAsia" w:ascii="宋体" w:hAnsi="宋体" w:cs="宋体"/>
          <w:b/>
          <w:sz w:val="24"/>
        </w:rPr>
      </w:pPr>
      <w:r>
        <w:rPr>
          <w:rFonts w:hint="eastAsia" w:ascii="宋体" w:hAnsi="宋体" w:cs="宋体"/>
          <w:b/>
          <w:sz w:val="24"/>
        </w:rPr>
        <w:t>拒绝政府采购领域商业贿赂承诺书</w:t>
      </w:r>
    </w:p>
    <w:p>
      <w:pPr>
        <w:overflowPunct w:val="0"/>
        <w:topLinePunct/>
        <w:spacing w:line="440" w:lineRule="exact"/>
        <w:jc w:val="center"/>
        <w:rPr>
          <w:rFonts w:hint="eastAsia" w:ascii="宋体" w:hAnsi="宋体" w:cs="宋体"/>
          <w:bCs/>
          <w:color w:val="000000"/>
          <w:sz w:val="24"/>
        </w:rPr>
      </w:pPr>
      <w:r>
        <w:rPr>
          <w:rFonts w:hint="eastAsia" w:ascii="宋体" w:hAnsi="宋体" w:cs="宋体"/>
          <w:bCs/>
          <w:color w:val="000000"/>
          <w:sz w:val="24"/>
        </w:rPr>
        <w:t>（执行陕财办采管[2006]21号文件）</w:t>
      </w:r>
    </w:p>
    <w:p>
      <w:pPr>
        <w:spacing w:line="500" w:lineRule="exact"/>
        <w:ind w:firstLine="480" w:firstLineChars="200"/>
        <w:rPr>
          <w:rFonts w:hint="eastAsia" w:ascii="宋体" w:hAnsi="宋体" w:cs="宋体"/>
          <w:sz w:val="24"/>
        </w:rPr>
      </w:pPr>
    </w:p>
    <w:p>
      <w:pPr>
        <w:spacing w:line="500" w:lineRule="exact"/>
        <w:ind w:firstLine="480" w:firstLineChars="200"/>
        <w:rPr>
          <w:rFonts w:hint="eastAsia" w:ascii="宋体" w:hAnsi="宋体" w:cs="宋体"/>
          <w:sz w:val="24"/>
        </w:rPr>
      </w:pPr>
      <w:r>
        <w:rPr>
          <w:rFonts w:hint="eastAsia" w:ascii="宋体" w:hAnsi="宋体" w:cs="宋体"/>
          <w:sz w:val="24"/>
        </w:rPr>
        <w:t>为响应党中央、国务院关于治理政府采购领域商业贿赂行为的号召，我公司在此庄严承诺：</w:t>
      </w:r>
    </w:p>
    <w:p>
      <w:pPr>
        <w:spacing w:line="500" w:lineRule="exact"/>
        <w:ind w:firstLine="480" w:firstLineChars="200"/>
        <w:rPr>
          <w:rFonts w:hint="eastAsia" w:ascii="宋体" w:hAnsi="宋体" w:cs="宋体"/>
          <w:sz w:val="24"/>
        </w:rPr>
      </w:pPr>
      <w:r>
        <w:rPr>
          <w:rFonts w:hint="eastAsia" w:ascii="宋体" w:hAnsi="宋体" w:cs="宋体"/>
          <w:sz w:val="24"/>
        </w:rPr>
        <w:t>1、在参与政府采购活动中遵纪守法、诚信经营、公平竞标。</w:t>
      </w:r>
    </w:p>
    <w:p>
      <w:pPr>
        <w:spacing w:line="500" w:lineRule="exact"/>
        <w:ind w:firstLine="480" w:firstLineChars="200"/>
        <w:rPr>
          <w:rFonts w:hint="eastAsia" w:ascii="宋体" w:hAnsi="宋体" w:cs="宋体"/>
          <w:sz w:val="24"/>
        </w:rPr>
      </w:pPr>
      <w:r>
        <w:rPr>
          <w:rFonts w:hint="eastAsia" w:ascii="宋体" w:hAnsi="宋体" w:cs="宋体"/>
          <w:sz w:val="24"/>
        </w:rPr>
        <w:t>2、不向政府采购人、采购代理机构和政府采购评审专家进行任何形式的商业贿赂以谋取交易机会。</w:t>
      </w:r>
    </w:p>
    <w:p>
      <w:pPr>
        <w:spacing w:line="500" w:lineRule="exact"/>
        <w:ind w:firstLine="480" w:firstLineChars="200"/>
        <w:rPr>
          <w:rFonts w:hint="eastAsia" w:ascii="宋体" w:hAnsi="宋体" w:cs="宋体"/>
          <w:sz w:val="24"/>
        </w:rPr>
      </w:pPr>
      <w:r>
        <w:rPr>
          <w:rFonts w:hint="eastAsia" w:ascii="宋体" w:hAnsi="宋体" w:cs="宋体"/>
          <w:sz w:val="24"/>
        </w:rPr>
        <w:t>3、不向政府采购代理机构和采购人提供虚假资质文件或采用虚假应标方式参与政府采购市场竞争并谋取中标、成交。</w:t>
      </w:r>
    </w:p>
    <w:p>
      <w:pPr>
        <w:spacing w:line="500" w:lineRule="exact"/>
        <w:ind w:firstLine="480" w:firstLineChars="200"/>
        <w:rPr>
          <w:rFonts w:hint="eastAsia" w:ascii="宋体" w:hAnsi="宋体" w:cs="宋体"/>
          <w:sz w:val="24"/>
        </w:rPr>
      </w:pPr>
      <w:r>
        <w:rPr>
          <w:rFonts w:hint="eastAsia" w:ascii="宋体" w:hAnsi="宋体" w:cs="宋体"/>
          <w:sz w:val="24"/>
        </w:rPr>
        <w:t>4、不采取“围标、陪标”等商业欺诈手段获得政府采购定单。</w:t>
      </w:r>
    </w:p>
    <w:p>
      <w:pPr>
        <w:spacing w:line="500" w:lineRule="exact"/>
        <w:ind w:firstLine="480" w:firstLineChars="200"/>
        <w:rPr>
          <w:rFonts w:hint="eastAsia" w:ascii="宋体" w:hAnsi="宋体" w:cs="宋体"/>
          <w:sz w:val="24"/>
        </w:rPr>
      </w:pPr>
      <w:r>
        <w:rPr>
          <w:rFonts w:hint="eastAsia" w:ascii="宋体" w:hAnsi="宋体" w:cs="宋体"/>
          <w:sz w:val="24"/>
        </w:rPr>
        <w:t>5、不采取不正当手段诋毁、排挤其他供应商。</w:t>
      </w:r>
    </w:p>
    <w:p>
      <w:pPr>
        <w:spacing w:line="500" w:lineRule="exact"/>
        <w:ind w:firstLine="480" w:firstLineChars="200"/>
        <w:rPr>
          <w:rFonts w:hint="eastAsia" w:ascii="宋体" w:hAnsi="宋体" w:cs="宋体"/>
          <w:sz w:val="24"/>
        </w:rPr>
      </w:pPr>
      <w:r>
        <w:rPr>
          <w:rFonts w:hint="eastAsia" w:ascii="宋体" w:hAnsi="宋体" w:cs="宋体"/>
          <w:sz w:val="24"/>
        </w:rPr>
        <w:t>6、不在提供商品和服务时“偷梁换柱、以次充好”损害采购人的合法权益。</w:t>
      </w:r>
    </w:p>
    <w:p>
      <w:pPr>
        <w:spacing w:line="500" w:lineRule="exact"/>
        <w:ind w:firstLine="480" w:firstLineChars="200"/>
        <w:rPr>
          <w:rFonts w:hint="eastAsia" w:ascii="宋体" w:hAnsi="宋体" w:cs="宋体"/>
          <w:sz w:val="24"/>
        </w:rPr>
      </w:pPr>
      <w:r>
        <w:rPr>
          <w:rFonts w:hint="eastAsia" w:ascii="宋体" w:hAnsi="宋体" w:cs="宋体"/>
          <w:sz w:val="24"/>
        </w:rPr>
        <w:t>7、不与采购人、采购代理机构政府采购评审专家或其它供应商恶意串通，进行质疑和投诉，维护政府采购市场秩序。</w:t>
      </w:r>
    </w:p>
    <w:p>
      <w:pPr>
        <w:spacing w:line="500" w:lineRule="exact"/>
        <w:ind w:firstLine="480" w:firstLineChars="200"/>
        <w:rPr>
          <w:rFonts w:hint="eastAsia" w:ascii="宋体" w:hAnsi="宋体" w:cs="宋体"/>
          <w:sz w:val="24"/>
        </w:rPr>
      </w:pPr>
      <w:r>
        <w:rPr>
          <w:rFonts w:hint="eastAsia" w:ascii="宋体" w:hAnsi="宋体" w:cs="宋体"/>
          <w:sz w:val="24"/>
        </w:rPr>
        <w:t>8、尊重和接受政府采购监督管理部门的监督和政府采购代理机构招标采购要求，承担因违约行为给采购人造成的损失。</w:t>
      </w:r>
    </w:p>
    <w:p>
      <w:pPr>
        <w:spacing w:line="500" w:lineRule="exact"/>
        <w:ind w:firstLine="480" w:firstLineChars="200"/>
        <w:rPr>
          <w:rFonts w:hint="eastAsia" w:ascii="宋体" w:hAnsi="宋体" w:cs="宋体"/>
          <w:sz w:val="24"/>
        </w:rPr>
      </w:pPr>
      <w:r>
        <w:rPr>
          <w:rFonts w:hint="eastAsia" w:ascii="宋体" w:hAnsi="宋体" w:cs="宋体"/>
          <w:sz w:val="24"/>
        </w:rPr>
        <w:t>9、不发生其他有悖于政府采购公开、公平、公正和诚信原则的行为。</w:t>
      </w:r>
    </w:p>
    <w:p>
      <w:pPr>
        <w:spacing w:line="500" w:lineRule="exact"/>
        <w:ind w:firstLine="480" w:firstLineChars="200"/>
        <w:rPr>
          <w:rFonts w:hint="eastAsia" w:ascii="宋体" w:hAnsi="宋体" w:cs="宋体"/>
          <w:sz w:val="24"/>
        </w:rPr>
      </w:pPr>
    </w:p>
    <w:p>
      <w:pPr>
        <w:widowControl/>
        <w:spacing w:line="360" w:lineRule="auto"/>
        <w:ind w:left="239" w:leftChars="114"/>
        <w:jc w:val="left"/>
        <w:rPr>
          <w:rFonts w:hint="eastAsia" w:ascii="宋体" w:hAnsi="宋体" w:cs="宋体"/>
          <w:kern w:val="0"/>
          <w:sz w:val="24"/>
        </w:rPr>
      </w:pPr>
      <w:r>
        <w:rPr>
          <w:rFonts w:hint="eastAsia" w:ascii="宋体" w:hAnsi="宋体" w:cs="宋体"/>
          <w:kern w:val="0"/>
          <w:sz w:val="24"/>
        </w:rPr>
        <w:t>承诺单位：                             （盖章）</w:t>
      </w:r>
      <w:r>
        <w:rPr>
          <w:rFonts w:hint="eastAsia" w:ascii="宋体" w:hAnsi="宋体" w:cs="宋体"/>
          <w:kern w:val="0"/>
          <w:sz w:val="24"/>
        </w:rPr>
        <w:br w:type="textWrapping"/>
      </w:r>
      <w:r>
        <w:rPr>
          <w:rFonts w:hint="eastAsia" w:ascii="宋体" w:hAnsi="宋体" w:cs="宋体"/>
          <w:kern w:val="0"/>
          <w:sz w:val="24"/>
        </w:rPr>
        <w:t>被授权人：                              （签字）</w:t>
      </w:r>
      <w:r>
        <w:rPr>
          <w:rFonts w:hint="eastAsia" w:ascii="宋体" w:hAnsi="宋体" w:cs="宋体"/>
          <w:kern w:val="0"/>
          <w:sz w:val="24"/>
        </w:rPr>
        <w:br w:type="textWrapping"/>
      </w:r>
      <w:r>
        <w:rPr>
          <w:rFonts w:hint="eastAsia" w:ascii="宋体" w:hAnsi="宋体" w:cs="宋体"/>
          <w:kern w:val="0"/>
          <w:sz w:val="24"/>
        </w:rPr>
        <w:t xml:space="preserve">地 址：                   </w:t>
      </w:r>
    </w:p>
    <w:p>
      <w:pPr>
        <w:widowControl/>
        <w:spacing w:line="360" w:lineRule="auto"/>
        <w:ind w:left="239" w:leftChars="114"/>
        <w:jc w:val="left"/>
        <w:rPr>
          <w:rFonts w:hint="eastAsia" w:ascii="宋体" w:hAnsi="宋体" w:cs="宋体"/>
          <w:kern w:val="0"/>
          <w:sz w:val="24"/>
        </w:rPr>
      </w:pPr>
      <w:r>
        <w:rPr>
          <w:rFonts w:hint="eastAsia" w:ascii="宋体" w:hAnsi="宋体" w:cs="宋体"/>
          <w:kern w:val="0"/>
          <w:sz w:val="24"/>
        </w:rPr>
        <w:t>邮 编：</w:t>
      </w:r>
      <w:r>
        <w:rPr>
          <w:rFonts w:hint="eastAsia" w:ascii="宋体" w:hAnsi="宋体" w:cs="宋体"/>
          <w:kern w:val="0"/>
          <w:sz w:val="24"/>
        </w:rPr>
        <w:br w:type="textWrapping"/>
      </w:r>
      <w:r>
        <w:rPr>
          <w:rFonts w:hint="eastAsia" w:ascii="宋体" w:hAnsi="宋体" w:cs="宋体"/>
          <w:kern w:val="0"/>
          <w:sz w:val="24"/>
        </w:rPr>
        <w:t xml:space="preserve">电 话： </w:t>
      </w:r>
    </w:p>
    <w:p>
      <w:pPr>
        <w:spacing w:line="360" w:lineRule="auto"/>
        <w:ind w:left="239" w:leftChars="114"/>
        <w:jc w:val="left"/>
        <w:rPr>
          <w:rFonts w:hint="eastAsia" w:ascii="宋体" w:hAnsi="宋体" w:cs="宋体"/>
          <w:kern w:val="0"/>
          <w:sz w:val="24"/>
        </w:rPr>
      </w:pPr>
      <w:r>
        <w:rPr>
          <w:rFonts w:hint="eastAsia" w:ascii="宋体" w:hAnsi="宋体" w:cs="宋体"/>
          <w:kern w:val="0"/>
          <w:sz w:val="24"/>
        </w:rPr>
        <w:t>日期：年  月    日</w:t>
      </w:r>
    </w:p>
    <w:p>
      <w:pPr>
        <w:widowControl/>
        <w:rPr>
          <w:rFonts w:hint="eastAsia" w:ascii="宋体" w:hAnsi="宋体" w:cs="宋体"/>
          <w:sz w:val="24"/>
        </w:rPr>
      </w:pPr>
    </w:p>
    <w:p>
      <w:pPr>
        <w:keepLines/>
        <w:pageBreakBefore/>
        <w:jc w:val="center"/>
        <w:outlineLvl w:val="1"/>
        <w:rPr>
          <w:rFonts w:hint="eastAsia" w:ascii="宋体" w:hAnsi="宋体" w:cs="宋体"/>
          <w:b/>
          <w:bCs/>
          <w:sz w:val="32"/>
          <w:szCs w:val="32"/>
        </w:rPr>
      </w:pPr>
      <w:bookmarkStart w:id="248" w:name="_Toc26300540"/>
      <w:bookmarkStart w:id="249" w:name="_Toc12778"/>
      <w:bookmarkStart w:id="250" w:name="_Toc28736"/>
      <w:bookmarkStart w:id="251" w:name="_Toc15602"/>
      <w:bookmarkStart w:id="252" w:name="_Toc21095"/>
      <w:bookmarkStart w:id="253" w:name="_Toc6747"/>
      <w:r>
        <w:rPr>
          <w:rFonts w:hint="eastAsia" w:ascii="宋体" w:hAnsi="宋体" w:cs="宋体"/>
          <w:b/>
          <w:bCs/>
          <w:sz w:val="32"/>
          <w:szCs w:val="32"/>
        </w:rPr>
        <w:t>第三部分  响应方案</w:t>
      </w:r>
      <w:bookmarkEnd w:id="248"/>
      <w:bookmarkEnd w:id="249"/>
      <w:bookmarkEnd w:id="250"/>
    </w:p>
    <w:p>
      <w:pPr>
        <w:keepLines/>
        <w:pageBreakBefore/>
        <w:jc w:val="center"/>
        <w:outlineLvl w:val="1"/>
        <w:rPr>
          <w:rFonts w:hint="eastAsia" w:ascii="宋体" w:hAnsi="宋体" w:cs="宋体"/>
          <w:b/>
          <w:bCs/>
          <w:sz w:val="32"/>
          <w:szCs w:val="32"/>
        </w:rPr>
      </w:pPr>
      <w:bookmarkStart w:id="254" w:name="_Toc11876"/>
      <w:bookmarkStart w:id="255" w:name="_Toc26300541"/>
      <w:bookmarkStart w:id="256" w:name="_Toc26989"/>
      <w:r>
        <w:rPr>
          <w:rFonts w:hint="eastAsia" w:ascii="宋体" w:hAnsi="宋体" w:cs="宋体"/>
          <w:b/>
          <w:bCs/>
          <w:sz w:val="32"/>
          <w:szCs w:val="32"/>
        </w:rPr>
        <w:t>一、供应商概况及其性质</w:t>
      </w:r>
      <w:bookmarkEnd w:id="254"/>
      <w:bookmarkEnd w:id="255"/>
      <w:bookmarkEnd w:id="256"/>
    </w:p>
    <w:p>
      <w:pPr>
        <w:numPr>
          <w:ilvl w:val="0"/>
          <w:numId w:val="7"/>
        </w:numPr>
        <w:suppressAutoHyphens/>
        <w:spacing w:line="360" w:lineRule="auto"/>
        <w:jc w:val="center"/>
        <w:rPr>
          <w:rFonts w:hint="eastAsia" w:ascii="宋体" w:hAnsi="宋体" w:cs="宋体"/>
          <w:b/>
          <w:spacing w:val="6"/>
          <w:sz w:val="24"/>
        </w:rPr>
      </w:pPr>
      <w:bookmarkStart w:id="257" w:name="_Toc27578"/>
      <w:bookmarkStart w:id="258" w:name="_Toc26300542"/>
    </w:p>
    <w:p>
      <w:pPr>
        <w:numPr>
          <w:ilvl w:val="0"/>
          <w:numId w:val="7"/>
        </w:numPr>
        <w:suppressAutoHyphens/>
        <w:spacing w:line="360" w:lineRule="auto"/>
        <w:jc w:val="center"/>
        <w:rPr>
          <w:rFonts w:hint="eastAsia" w:ascii="宋体" w:hAnsi="宋体" w:cs="宋体"/>
          <w:b/>
          <w:spacing w:val="6"/>
          <w:sz w:val="24"/>
        </w:rPr>
      </w:pPr>
      <w:r>
        <w:rPr>
          <w:rFonts w:hint="eastAsia" w:ascii="宋体" w:hAnsi="宋体" w:cs="宋体"/>
          <w:b/>
          <w:spacing w:val="6"/>
          <w:sz w:val="24"/>
        </w:rPr>
        <w:t>残疾人福利性单位声明函</w:t>
      </w:r>
    </w:p>
    <w:p>
      <w:pPr>
        <w:numPr>
          <w:ilvl w:val="0"/>
          <w:numId w:val="7"/>
        </w:numPr>
        <w:suppressAutoHyphens/>
        <w:spacing w:line="360" w:lineRule="auto"/>
        <w:rPr>
          <w:rFonts w:hint="eastAsia" w:ascii="宋体" w:hAnsi="宋体" w:cs="宋体"/>
          <w:b/>
          <w:spacing w:val="6"/>
          <w:sz w:val="24"/>
        </w:rPr>
      </w:pPr>
    </w:p>
    <w:p>
      <w:pPr>
        <w:numPr>
          <w:ilvl w:val="0"/>
          <w:numId w:val="7"/>
        </w:numPr>
        <w:suppressAutoHyphens/>
        <w:spacing w:line="360" w:lineRule="auto"/>
        <w:rPr>
          <w:rFonts w:hint="eastAsia" w:ascii="宋体" w:hAnsi="宋体" w:cs="宋体"/>
          <w:spacing w:val="6"/>
          <w:sz w:val="24"/>
        </w:rPr>
      </w:pPr>
      <w:r>
        <w:rPr>
          <w:rFonts w:hint="eastAsia" w:ascii="宋体" w:hAnsi="宋体" w:cs="宋体"/>
          <w:spacing w:val="6"/>
          <w:sz w:val="24"/>
        </w:rPr>
        <w:t xml:space="preserve">    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numPr>
          <w:ilvl w:val="0"/>
          <w:numId w:val="7"/>
        </w:numPr>
        <w:suppressAutoHyphens/>
        <w:spacing w:line="360" w:lineRule="auto"/>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pPr>
        <w:numPr>
          <w:ilvl w:val="0"/>
          <w:numId w:val="7"/>
        </w:numPr>
        <w:suppressAutoHyphens/>
        <w:spacing w:line="360" w:lineRule="auto"/>
        <w:rPr>
          <w:rFonts w:hint="eastAsia" w:ascii="宋体" w:hAnsi="宋体" w:cs="宋体"/>
          <w:spacing w:val="6"/>
          <w:sz w:val="24"/>
        </w:rPr>
      </w:pP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备注：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spacing w:line="360" w:lineRule="auto"/>
        <w:rPr>
          <w:rFonts w:hint="eastAsia" w:cs="宋体"/>
        </w:rPr>
      </w:pPr>
    </w:p>
    <w:p>
      <w:pPr>
        <w:spacing w:line="360" w:lineRule="auto"/>
        <w:rPr>
          <w:rFonts w:hint="eastAsia" w:ascii="宋体" w:hAnsi="宋体" w:cs="宋体"/>
        </w:rPr>
      </w:pPr>
    </w:p>
    <w:p>
      <w:pPr>
        <w:numPr>
          <w:ilvl w:val="0"/>
          <w:numId w:val="7"/>
        </w:numPr>
        <w:tabs>
          <w:tab w:val="left" w:pos="4860"/>
        </w:tabs>
        <w:suppressAutoHyphens/>
        <w:spacing w:line="360" w:lineRule="auto"/>
        <w:ind w:right="1560"/>
        <w:jc w:val="center"/>
        <w:rPr>
          <w:rFonts w:hint="eastAsia" w:ascii="宋体" w:hAnsi="宋体" w:cs="宋体"/>
          <w:spacing w:val="6"/>
          <w:sz w:val="24"/>
        </w:rPr>
      </w:pPr>
      <w:r>
        <w:rPr>
          <w:rFonts w:hint="eastAsia" w:ascii="宋体" w:hAnsi="宋体" w:cs="宋体"/>
          <w:spacing w:val="6"/>
          <w:sz w:val="24"/>
        </w:rPr>
        <w:t>单位名称（盖章）：</w:t>
      </w:r>
    </w:p>
    <w:p>
      <w:pPr>
        <w:numPr>
          <w:ilvl w:val="0"/>
          <w:numId w:val="7"/>
        </w:numPr>
        <w:suppressAutoHyphens/>
        <w:spacing w:line="360" w:lineRule="auto"/>
        <w:jc w:val="right"/>
        <w:rPr>
          <w:rFonts w:hint="eastAsia" w:ascii="宋体" w:hAnsi="宋体" w:cs="宋体"/>
          <w:spacing w:val="6"/>
          <w:sz w:val="24"/>
        </w:rPr>
      </w:pPr>
      <w:r>
        <w:rPr>
          <w:rFonts w:hint="eastAsia" w:ascii="宋体" w:hAnsi="宋体" w:cs="宋体"/>
          <w:spacing w:val="6"/>
          <w:sz w:val="24"/>
        </w:rPr>
        <w:t>日  期： 年 月 日</w:t>
      </w:r>
    </w:p>
    <w:p>
      <w:pPr>
        <w:numPr>
          <w:ilvl w:val="0"/>
          <w:numId w:val="7"/>
        </w:numPr>
        <w:suppressAutoHyphens/>
        <w:spacing w:line="360" w:lineRule="auto"/>
        <w:jc w:val="center"/>
        <w:rPr>
          <w:rFonts w:hint="eastAsia" w:ascii="宋体" w:hAnsi="宋体" w:cs="宋体"/>
          <w:b/>
          <w:bCs/>
          <w:color w:val="333333"/>
          <w:spacing w:val="8"/>
        </w:rPr>
      </w:pPr>
      <w:r>
        <w:rPr>
          <w:rFonts w:hint="eastAsia" w:ascii="宋体" w:hAnsi="宋体" w:cs="宋体"/>
          <w:spacing w:val="6"/>
          <w:sz w:val="24"/>
        </w:rPr>
        <w:br w:type="page"/>
      </w:r>
      <w:r>
        <w:rPr>
          <w:rFonts w:hint="eastAsia" w:ascii="宋体" w:hAnsi="宋体" w:cs="宋体"/>
          <w:b/>
          <w:spacing w:val="6"/>
        </w:rPr>
        <w:t xml:space="preserve">     </w:t>
      </w:r>
      <w:r>
        <w:rPr>
          <w:rFonts w:hint="eastAsia" w:ascii="宋体" w:hAnsi="宋体" w:cs="宋体"/>
          <w:b/>
          <w:bCs/>
          <w:color w:val="333333"/>
          <w:spacing w:val="15"/>
          <w:shd w:val="clear" w:color="auto" w:fill="FFFFFF"/>
        </w:rPr>
        <w:t>中小企业声明函(工程、服务)</w:t>
      </w:r>
    </w:p>
    <w:p>
      <w:pPr>
        <w:pStyle w:val="40"/>
        <w:shd w:val="clear" w:color="auto" w:fill="FFFFFF"/>
        <w:spacing w:line="276" w:lineRule="auto"/>
        <w:ind w:firstLine="480" w:firstLineChars="200"/>
        <w:rPr>
          <w:rFonts w:hint="eastAsia"/>
        </w:rPr>
      </w:pPr>
      <w:r>
        <w:rPr>
          <w:rFonts w:hint="eastAsia"/>
        </w:rPr>
        <w:t>本公司(联合体)郑重声明，根据《政府采购促进中小企业发展管理办法》(财库〔2020〕46号)的规定，本公司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40"/>
        <w:shd w:val="clear" w:color="auto" w:fill="FFFFFF"/>
        <w:spacing w:line="276" w:lineRule="auto"/>
        <w:ind w:firstLine="540" w:firstLineChars="200"/>
        <w:rPr>
          <w:rFonts w:hint="eastAsia"/>
          <w:color w:val="333333"/>
          <w:spacing w:val="8"/>
        </w:rPr>
      </w:pPr>
      <w:r>
        <w:rPr>
          <w:rFonts w:hint="eastAsia"/>
          <w:color w:val="333333"/>
          <w:spacing w:val="15"/>
          <w:shd w:val="clear" w:color="auto" w:fill="FFFFFF"/>
        </w:rPr>
        <w:t>1</w:t>
      </w:r>
      <w:r>
        <w:rPr>
          <w:rFonts w:hint="eastAsia"/>
          <w:color w:val="333333"/>
          <w:spacing w:val="15"/>
          <w:u w:val="single"/>
          <w:shd w:val="clear" w:color="auto" w:fill="FFFFFF"/>
        </w:rPr>
        <w:t>. (项目名称)，</w:t>
      </w:r>
      <w:r>
        <w:rPr>
          <w:rFonts w:hint="eastAsia"/>
          <w:color w:val="333333"/>
          <w:spacing w:val="15"/>
          <w:shd w:val="clear" w:color="auto" w:fill="FFFFFF"/>
        </w:rPr>
        <w:t>属于</w:t>
      </w:r>
      <w:r>
        <w:rPr>
          <w:rFonts w:hint="eastAsia"/>
          <w:color w:val="333333"/>
          <w:spacing w:val="15"/>
          <w:u w:val="single"/>
          <w:shd w:val="clear" w:color="auto" w:fill="FFFFFF"/>
        </w:rPr>
        <w:t xml:space="preserve">(采购文件中明确的所属“其他未列明行业”行业); </w:t>
      </w:r>
      <w:r>
        <w:rPr>
          <w:rFonts w:hint="eastAsia"/>
          <w:color w:val="333333"/>
          <w:spacing w:val="15"/>
          <w:shd w:val="clear" w:color="auto" w:fill="FFFFFF"/>
        </w:rPr>
        <w:t>承建(承接)企业为</w:t>
      </w:r>
      <w:r>
        <w:rPr>
          <w:rFonts w:hint="eastAsia"/>
          <w:color w:val="333333"/>
          <w:spacing w:val="15"/>
          <w:u w:val="single"/>
          <w:shd w:val="clear" w:color="auto" w:fill="FFFFFF"/>
        </w:rPr>
        <w:t>(企业名称)，</w:t>
      </w:r>
      <w:r>
        <w:rPr>
          <w:rFonts w:hint="eastAsia"/>
          <w:color w:val="333333"/>
          <w:spacing w:val="15"/>
          <w:shd w:val="clear" w:color="auto" w:fill="FFFFFF"/>
        </w:rPr>
        <w:t>从业人员</w:t>
      </w:r>
      <w:r>
        <w:rPr>
          <w:rFonts w:hint="eastAsia"/>
          <w:color w:val="333333"/>
          <w:spacing w:val="15"/>
          <w:u w:val="single"/>
          <w:shd w:val="clear" w:color="auto" w:fill="FFFFFF"/>
        </w:rPr>
        <w:t>   </w:t>
      </w:r>
      <w:r>
        <w:rPr>
          <w:rFonts w:hint="eastAsia"/>
          <w:color w:val="333333"/>
          <w:spacing w:val="15"/>
          <w:shd w:val="clear" w:color="auto" w:fill="FFFFFF"/>
        </w:rPr>
        <w:t>人，营业收入为</w:t>
      </w:r>
      <w:r>
        <w:rPr>
          <w:rFonts w:hint="eastAsia"/>
          <w:color w:val="333333"/>
          <w:spacing w:val="15"/>
          <w:u w:val="single"/>
          <w:shd w:val="clear" w:color="auto" w:fill="FFFFFF"/>
        </w:rPr>
        <w:t>   </w:t>
      </w:r>
      <w:r>
        <w:rPr>
          <w:rFonts w:hint="eastAsia"/>
          <w:color w:val="333333"/>
          <w:spacing w:val="15"/>
          <w:shd w:val="clear" w:color="auto" w:fill="FFFFFF"/>
        </w:rPr>
        <w:t>万元，资产总额为</w:t>
      </w:r>
      <w:r>
        <w:rPr>
          <w:rFonts w:hint="eastAsia"/>
          <w:color w:val="333333"/>
          <w:spacing w:val="15"/>
          <w:u w:val="single"/>
          <w:shd w:val="clear" w:color="auto" w:fill="FFFFFF"/>
        </w:rPr>
        <w:t>   </w:t>
      </w:r>
      <w:r>
        <w:rPr>
          <w:rFonts w:hint="eastAsia"/>
          <w:color w:val="333333"/>
          <w:spacing w:val="15"/>
          <w:shd w:val="clear" w:color="auto" w:fill="FFFFFF"/>
        </w:rPr>
        <w:t>万元</w:t>
      </w:r>
      <w:r>
        <w:rPr>
          <w:rFonts w:hint="eastAsia"/>
          <w:color w:val="333333"/>
          <w:spacing w:val="15"/>
          <w:shd w:val="clear" w:color="auto" w:fill="FFFFFF"/>
          <w:vertAlign w:val="superscript"/>
        </w:rPr>
        <w:t>1</w:t>
      </w:r>
      <w:r>
        <w:rPr>
          <w:rFonts w:hint="eastAsia"/>
          <w:color w:val="333333"/>
          <w:spacing w:val="15"/>
          <w:shd w:val="clear" w:color="auto" w:fill="FFFFFF"/>
        </w:rPr>
        <w:t>，属于</w:t>
      </w:r>
      <w:r>
        <w:rPr>
          <w:rFonts w:hint="eastAsia"/>
          <w:color w:val="333333"/>
          <w:spacing w:val="15"/>
          <w:u w:val="single"/>
          <w:shd w:val="clear" w:color="auto" w:fill="FFFFFF"/>
        </w:rPr>
        <w:t>(中型企业、小型企业、微型企业);</w:t>
      </w:r>
    </w:p>
    <w:p>
      <w:pPr>
        <w:pStyle w:val="40"/>
        <w:shd w:val="clear" w:color="auto" w:fill="FFFFFF"/>
        <w:spacing w:line="276" w:lineRule="auto"/>
        <w:ind w:firstLine="540" w:firstLineChars="200"/>
        <w:rPr>
          <w:rFonts w:hint="eastAsia"/>
          <w:color w:val="333333"/>
          <w:spacing w:val="8"/>
        </w:rPr>
      </w:pPr>
      <w:r>
        <w:rPr>
          <w:rFonts w:hint="eastAsia"/>
          <w:color w:val="333333"/>
          <w:spacing w:val="15"/>
          <w:shd w:val="clear" w:color="auto" w:fill="FFFFFF"/>
        </w:rPr>
        <w:t>2.</w:t>
      </w:r>
      <w:r>
        <w:rPr>
          <w:rFonts w:hint="eastAsia"/>
          <w:color w:val="333333"/>
          <w:spacing w:val="15"/>
          <w:u w:val="single"/>
          <w:shd w:val="clear" w:color="auto" w:fill="FFFFFF"/>
        </w:rPr>
        <w:t xml:space="preserve"> (项目名称)，</w:t>
      </w:r>
      <w:r>
        <w:rPr>
          <w:rFonts w:hint="eastAsia"/>
          <w:color w:val="333333"/>
          <w:spacing w:val="15"/>
          <w:shd w:val="clear" w:color="auto" w:fill="FFFFFF"/>
        </w:rPr>
        <w:t>属于</w:t>
      </w:r>
      <w:r>
        <w:rPr>
          <w:rFonts w:hint="eastAsia"/>
          <w:color w:val="333333"/>
          <w:spacing w:val="15"/>
          <w:u w:val="single"/>
          <w:shd w:val="clear" w:color="auto" w:fill="FFFFFF"/>
        </w:rPr>
        <w:t xml:space="preserve">(采购文件中明确的所属“其他未列明行业”行业); </w:t>
      </w:r>
      <w:r>
        <w:rPr>
          <w:rFonts w:hint="eastAsia"/>
          <w:color w:val="333333"/>
          <w:spacing w:val="15"/>
          <w:shd w:val="clear" w:color="auto" w:fill="FFFFFF"/>
        </w:rPr>
        <w:t>承建(承接)企业为</w:t>
      </w:r>
      <w:r>
        <w:rPr>
          <w:rFonts w:hint="eastAsia"/>
          <w:color w:val="333333"/>
          <w:spacing w:val="15"/>
          <w:u w:val="single"/>
          <w:shd w:val="clear" w:color="auto" w:fill="FFFFFF"/>
        </w:rPr>
        <w:t>(企业名称)，</w:t>
      </w:r>
      <w:r>
        <w:rPr>
          <w:rFonts w:hint="eastAsia"/>
          <w:color w:val="333333"/>
          <w:spacing w:val="15"/>
          <w:shd w:val="clear" w:color="auto" w:fill="FFFFFF"/>
        </w:rPr>
        <w:t>从业人员</w:t>
      </w:r>
      <w:r>
        <w:rPr>
          <w:rFonts w:hint="eastAsia"/>
          <w:color w:val="333333"/>
          <w:spacing w:val="15"/>
          <w:u w:val="single"/>
          <w:shd w:val="clear" w:color="auto" w:fill="FFFFFF"/>
        </w:rPr>
        <w:t>   </w:t>
      </w:r>
      <w:r>
        <w:rPr>
          <w:rFonts w:hint="eastAsia"/>
          <w:color w:val="333333"/>
          <w:spacing w:val="15"/>
          <w:shd w:val="clear" w:color="auto" w:fill="FFFFFF"/>
        </w:rPr>
        <w:t>人，营业收入为</w:t>
      </w:r>
      <w:r>
        <w:rPr>
          <w:rFonts w:hint="eastAsia"/>
          <w:color w:val="333333"/>
          <w:spacing w:val="15"/>
          <w:u w:val="single"/>
          <w:shd w:val="clear" w:color="auto" w:fill="FFFFFF"/>
        </w:rPr>
        <w:t>   </w:t>
      </w:r>
      <w:r>
        <w:rPr>
          <w:rFonts w:hint="eastAsia"/>
          <w:color w:val="333333"/>
          <w:spacing w:val="15"/>
          <w:shd w:val="clear" w:color="auto" w:fill="FFFFFF"/>
        </w:rPr>
        <w:t>万元，资产总额为</w:t>
      </w:r>
      <w:r>
        <w:rPr>
          <w:rFonts w:hint="eastAsia"/>
          <w:color w:val="333333"/>
          <w:spacing w:val="15"/>
          <w:u w:val="single"/>
          <w:shd w:val="clear" w:color="auto" w:fill="FFFFFF"/>
        </w:rPr>
        <w:t>   </w:t>
      </w:r>
      <w:r>
        <w:rPr>
          <w:rFonts w:hint="eastAsia"/>
          <w:color w:val="333333"/>
          <w:spacing w:val="15"/>
          <w:shd w:val="clear" w:color="auto" w:fill="FFFFFF"/>
        </w:rPr>
        <w:t>万元，属于</w:t>
      </w:r>
      <w:r>
        <w:rPr>
          <w:rFonts w:hint="eastAsia"/>
          <w:color w:val="333333"/>
          <w:spacing w:val="15"/>
          <w:u w:val="single"/>
          <w:shd w:val="clear" w:color="auto" w:fill="FFFFFF"/>
        </w:rPr>
        <w:t>(中型企业、小型企业、微型企业)</w:t>
      </w:r>
      <w:r>
        <w:rPr>
          <w:rFonts w:hint="eastAsia"/>
          <w:color w:val="333333"/>
          <w:spacing w:val="15"/>
          <w:shd w:val="clear" w:color="auto" w:fill="FFFFFF"/>
        </w:rPr>
        <w:t>;</w:t>
      </w:r>
    </w:p>
    <w:p>
      <w:pPr>
        <w:pStyle w:val="40"/>
        <w:shd w:val="clear" w:color="auto" w:fill="FFFFFF"/>
        <w:spacing w:line="276" w:lineRule="auto"/>
        <w:ind w:firstLine="480" w:firstLineChars="200"/>
        <w:rPr>
          <w:rFonts w:hint="eastAsia"/>
        </w:rPr>
      </w:pPr>
      <w:r>
        <w:rPr>
          <w:rFonts w:hint="eastAsia"/>
        </w:rPr>
        <w:t>......</w:t>
      </w:r>
    </w:p>
    <w:p>
      <w:pPr>
        <w:pStyle w:val="40"/>
        <w:shd w:val="clear" w:color="auto" w:fill="FFFFFF"/>
        <w:spacing w:line="276" w:lineRule="auto"/>
        <w:ind w:firstLine="480" w:firstLineChars="200"/>
        <w:rPr>
          <w:rFonts w:hint="eastAsia"/>
        </w:rPr>
      </w:pPr>
      <w:r>
        <w:rPr>
          <w:rFonts w:hint="eastAsia"/>
        </w:rPr>
        <w:t>以上企业，不属于大企业的分支机构，不存在控股股东为大企业的情形，也不存在与大企业的负责人为同一人的情形。本企业对上述声明内容的真实性负责。如有虚假，将依法承担相应责任。</w:t>
      </w:r>
    </w:p>
    <w:p>
      <w:pPr>
        <w:pStyle w:val="40"/>
        <w:shd w:val="clear" w:color="auto" w:fill="FFFFFF"/>
        <w:spacing w:line="276" w:lineRule="auto"/>
        <w:ind w:firstLine="480" w:firstLineChars="200"/>
        <w:rPr>
          <w:rFonts w:hint="eastAsia"/>
        </w:rPr>
      </w:pPr>
      <w:r>
        <w:rPr>
          <w:rFonts w:hint="eastAsia"/>
        </w:rPr>
        <w:t>从业人员、营业收入、资产总额填报上一年度数据，无上一年度数据的新成立企业可不填报。</w:t>
      </w:r>
    </w:p>
    <w:p>
      <w:pPr>
        <w:numPr>
          <w:ilvl w:val="0"/>
          <w:numId w:val="7"/>
        </w:numPr>
        <w:suppressAutoHyphens/>
        <w:spacing w:line="360" w:lineRule="auto"/>
        <w:rPr>
          <w:rFonts w:hint="eastAsia" w:ascii="宋体" w:hAnsi="宋体" w:cs="宋体"/>
          <w:kern w:val="0"/>
          <w:sz w:val="24"/>
        </w:rPr>
      </w:pPr>
      <w:r>
        <w:rPr>
          <w:rFonts w:hint="eastAsia" w:ascii="宋体" w:hAnsi="宋体" w:cs="宋体"/>
          <w:kern w:val="0"/>
          <w:sz w:val="24"/>
        </w:rPr>
        <w:t xml:space="preserve">   备注：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7"/>
        </w:numPr>
        <w:suppressAutoHyphens/>
        <w:spacing w:line="360" w:lineRule="auto"/>
        <w:jc w:val="center"/>
        <w:rPr>
          <w:rFonts w:hint="eastAsia" w:ascii="宋体" w:hAnsi="宋体" w:cs="宋体"/>
          <w:spacing w:val="6"/>
          <w:sz w:val="24"/>
        </w:rPr>
      </w:pPr>
      <w:r>
        <w:rPr>
          <w:rFonts w:hint="eastAsia" w:ascii="宋体" w:hAnsi="宋体" w:cs="宋体"/>
          <w:spacing w:val="6"/>
          <w:sz w:val="24"/>
        </w:rPr>
        <w:t xml:space="preserve">            </w:t>
      </w:r>
    </w:p>
    <w:p>
      <w:pPr>
        <w:numPr>
          <w:ilvl w:val="0"/>
          <w:numId w:val="7"/>
        </w:numPr>
        <w:suppressAutoHyphens/>
        <w:spacing w:line="360" w:lineRule="auto"/>
        <w:jc w:val="center"/>
        <w:rPr>
          <w:rFonts w:hint="eastAsia" w:ascii="宋体" w:hAnsi="宋体" w:cs="宋体"/>
          <w:spacing w:val="6"/>
          <w:sz w:val="24"/>
        </w:rPr>
      </w:pPr>
      <w:r>
        <w:rPr>
          <w:rFonts w:hint="eastAsia" w:ascii="宋体" w:hAnsi="宋体" w:cs="宋体"/>
          <w:spacing w:val="6"/>
          <w:sz w:val="24"/>
        </w:rPr>
        <w:t xml:space="preserve">                                     企业名称（盖章）：</w:t>
      </w:r>
    </w:p>
    <w:p>
      <w:pPr>
        <w:numPr>
          <w:ilvl w:val="0"/>
          <w:numId w:val="7"/>
        </w:numPr>
        <w:suppressAutoHyphens/>
        <w:spacing w:line="360" w:lineRule="auto"/>
        <w:rPr>
          <w:rFonts w:hint="eastAsia" w:ascii="宋体" w:hAnsi="宋体" w:cs="宋体"/>
          <w:b/>
          <w:sz w:val="32"/>
          <w:szCs w:val="32"/>
        </w:rPr>
      </w:pPr>
      <w:r>
        <w:rPr>
          <w:rFonts w:hint="eastAsia" w:ascii="宋体" w:hAnsi="宋体" w:cs="宋体"/>
          <w:spacing w:val="6"/>
          <w:sz w:val="24"/>
        </w:rPr>
        <w:t xml:space="preserve">                                            日  期： 年 月 日</w:t>
      </w:r>
    </w:p>
    <w:bookmarkEnd w:id="257"/>
    <w:bookmarkEnd w:id="258"/>
    <w:p>
      <w:pPr>
        <w:keepLines/>
        <w:pageBreakBefore/>
        <w:numPr>
          <w:ilvl w:val="0"/>
          <w:numId w:val="13"/>
        </w:numPr>
        <w:jc w:val="center"/>
        <w:outlineLvl w:val="1"/>
        <w:rPr>
          <w:rFonts w:hint="eastAsia" w:ascii="宋体" w:hAnsi="宋体" w:cs="宋体"/>
          <w:b/>
          <w:bCs/>
          <w:sz w:val="32"/>
          <w:szCs w:val="32"/>
        </w:rPr>
      </w:pPr>
      <w:bookmarkStart w:id="259" w:name="_Toc16889"/>
      <w:r>
        <w:rPr>
          <w:rFonts w:hint="eastAsia" w:ascii="宋体" w:hAnsi="宋体" w:cs="宋体"/>
          <w:b/>
          <w:bCs/>
          <w:sz w:val="32"/>
          <w:szCs w:val="32"/>
        </w:rPr>
        <w:t>技术方案</w:t>
      </w:r>
      <w:bookmarkEnd w:id="259"/>
    </w:p>
    <w:p>
      <w:pPr>
        <w:pStyle w:val="2"/>
        <w:rPr>
          <w:rFonts w:hint="eastAsia" w:cs="宋体"/>
          <w:b/>
          <w:bCs/>
          <w:sz w:val="32"/>
          <w:szCs w:val="32"/>
        </w:rPr>
      </w:pPr>
    </w:p>
    <w:p>
      <w:pPr>
        <w:rPr>
          <w:rFonts w:hint="eastAsia"/>
        </w:rPr>
      </w:pPr>
    </w:p>
    <w:p>
      <w:pPr>
        <w:pStyle w:val="2"/>
        <w:numPr>
          <w:ilvl w:val="0"/>
          <w:numId w:val="14"/>
        </w:numPr>
        <w:spacing w:line="480" w:lineRule="auto"/>
        <w:rPr>
          <w:rFonts w:hint="eastAsia" w:cs="宋体"/>
          <w:color w:val="000000"/>
          <w:kern w:val="0"/>
        </w:rPr>
      </w:pPr>
      <w:r>
        <w:rPr>
          <w:rFonts w:hint="eastAsia" w:cs="宋体"/>
          <w:color w:val="000000"/>
          <w:kern w:val="0"/>
        </w:rPr>
        <w:t>总体服务方案；</w:t>
      </w:r>
    </w:p>
    <w:p>
      <w:pPr>
        <w:numPr>
          <w:ilvl w:val="0"/>
          <w:numId w:val="14"/>
        </w:numPr>
        <w:spacing w:line="480" w:lineRule="auto"/>
        <w:rPr>
          <w:rFonts w:ascii="宋体" w:hAnsi="宋体" w:cs="宋体"/>
          <w:color w:val="000000"/>
          <w:kern w:val="0"/>
          <w:sz w:val="24"/>
        </w:rPr>
      </w:pPr>
      <w:r>
        <w:rPr>
          <w:rFonts w:hint="eastAsia" w:ascii="宋体" w:hAnsi="宋体" w:cs="宋体"/>
          <w:color w:val="000000"/>
          <w:kern w:val="0"/>
          <w:sz w:val="24"/>
        </w:rPr>
        <w:t>应急预案；</w:t>
      </w:r>
    </w:p>
    <w:p>
      <w:pPr>
        <w:pStyle w:val="2"/>
        <w:numPr>
          <w:ilvl w:val="0"/>
          <w:numId w:val="14"/>
        </w:numPr>
        <w:spacing w:line="480" w:lineRule="auto"/>
        <w:rPr>
          <w:rFonts w:hint="eastAsia" w:cs="宋体"/>
          <w:color w:val="000000"/>
          <w:kern w:val="0"/>
        </w:rPr>
      </w:pPr>
      <w:r>
        <w:rPr>
          <w:rFonts w:hint="eastAsia" w:cs="宋体"/>
          <w:color w:val="000000"/>
          <w:kern w:val="0"/>
        </w:rPr>
        <w:t>人员要求及培训；</w:t>
      </w:r>
    </w:p>
    <w:p>
      <w:pPr>
        <w:numPr>
          <w:ilvl w:val="0"/>
          <w:numId w:val="14"/>
        </w:numPr>
        <w:spacing w:line="480" w:lineRule="auto"/>
      </w:pPr>
      <w:r>
        <w:rPr>
          <w:rFonts w:hint="eastAsia" w:ascii="宋体" w:hAnsi="宋体" w:cs="宋体"/>
          <w:color w:val="000000"/>
          <w:kern w:val="0"/>
          <w:sz w:val="24"/>
        </w:rPr>
        <w:t>履约能力；</w:t>
      </w:r>
    </w:p>
    <w:p>
      <w:pPr>
        <w:spacing w:line="480" w:lineRule="auto"/>
        <w:ind w:left="480"/>
        <w:rPr>
          <w:rFonts w:hint="eastAsia" w:ascii="宋体" w:hAnsi="宋体" w:cs="宋体"/>
          <w:sz w:val="24"/>
          <w:szCs w:val="22"/>
        </w:rPr>
      </w:pPr>
    </w:p>
    <w:bookmarkEnd w:id="251"/>
    <w:bookmarkEnd w:id="252"/>
    <w:bookmarkEnd w:id="253"/>
    <w:p>
      <w:pPr>
        <w:pStyle w:val="89"/>
        <w:ind w:firstLine="643"/>
        <w:jc w:val="center"/>
        <w:rPr>
          <w:rFonts w:hint="eastAsia" w:ascii="宋体" w:hAnsi="宋体" w:cs="宋体"/>
          <w:b/>
          <w:bCs/>
          <w:sz w:val="32"/>
          <w:szCs w:val="32"/>
        </w:rPr>
      </w:pPr>
      <w:bookmarkStart w:id="260" w:name="_Toc26300543"/>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pStyle w:val="89"/>
        <w:ind w:firstLine="643"/>
        <w:jc w:val="center"/>
        <w:rPr>
          <w:rFonts w:hint="eastAsia" w:ascii="宋体" w:hAnsi="宋体" w:cs="宋体"/>
          <w:b/>
          <w:bCs/>
          <w:sz w:val="32"/>
          <w:szCs w:val="32"/>
        </w:rPr>
      </w:pPr>
    </w:p>
    <w:p>
      <w:pPr>
        <w:keepLines/>
        <w:pageBreakBefore/>
        <w:jc w:val="center"/>
        <w:outlineLvl w:val="1"/>
        <w:rPr>
          <w:rFonts w:hint="eastAsia" w:ascii="宋体" w:hAnsi="宋体" w:cs="宋体"/>
          <w:b/>
          <w:bCs/>
          <w:sz w:val="32"/>
          <w:szCs w:val="32"/>
        </w:rPr>
      </w:pPr>
      <w:bookmarkStart w:id="261" w:name="_Toc29849"/>
      <w:bookmarkStart w:id="262" w:name="_Toc8011"/>
      <w:r>
        <w:rPr>
          <w:rFonts w:hint="eastAsia" w:ascii="宋体" w:hAnsi="宋体" w:cs="宋体"/>
          <w:b/>
          <w:bCs/>
          <w:sz w:val="32"/>
          <w:szCs w:val="32"/>
        </w:rPr>
        <w:t>三、技术偏离表</w:t>
      </w:r>
      <w:bookmarkEnd w:id="261"/>
      <w:bookmarkEnd w:id="262"/>
    </w:p>
    <w:p>
      <w:pPr>
        <w:pStyle w:val="89"/>
        <w:ind w:firstLine="482"/>
        <w:rPr>
          <w:rFonts w:hint="eastAsia" w:ascii="宋体" w:hAnsi="宋体" w:cs="宋体"/>
          <w:b/>
          <w:bCs/>
          <w:sz w:val="24"/>
          <w:szCs w:val="24"/>
        </w:rPr>
      </w:pPr>
    </w:p>
    <w:p>
      <w:pPr>
        <w:spacing w:line="360" w:lineRule="auto"/>
        <w:textAlignment w:val="baseline"/>
        <w:rPr>
          <w:rFonts w:hint="eastAsia" w:ascii="宋体" w:hAnsi="宋体" w:cs="宋体"/>
          <w:b/>
          <w:bCs/>
          <w:sz w:val="24"/>
        </w:rPr>
      </w:pPr>
      <w:r>
        <w:rPr>
          <w:rFonts w:hint="eastAsia" w:ascii="宋体" w:hAnsi="宋体" w:cs="宋体"/>
          <w:sz w:val="24"/>
        </w:rPr>
        <w:t xml:space="preserve">                             </w:t>
      </w:r>
    </w:p>
    <w:tbl>
      <w:tblPr>
        <w:tblStyle w:val="44"/>
        <w:tblW w:w="93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0"/>
        <w:gridCol w:w="2792"/>
        <w:gridCol w:w="2875"/>
        <w:gridCol w:w="2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3" w:hRule="atLeast"/>
          <w:jc w:val="center"/>
        </w:trPr>
        <w:tc>
          <w:tcPr>
            <w:tcW w:w="790" w:type="dxa"/>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2792" w:type="dxa"/>
            <w:vAlign w:val="center"/>
          </w:tcPr>
          <w:p>
            <w:pPr>
              <w:spacing w:line="360" w:lineRule="auto"/>
              <w:jc w:val="center"/>
              <w:rPr>
                <w:rFonts w:hint="eastAsia" w:ascii="宋体" w:hAnsi="宋体" w:cs="宋体"/>
                <w:sz w:val="24"/>
              </w:rPr>
            </w:pPr>
            <w:r>
              <w:rPr>
                <w:rFonts w:hint="eastAsia" w:ascii="宋体" w:hAnsi="宋体" w:cs="宋体"/>
                <w:sz w:val="24"/>
              </w:rPr>
              <w:t>磋商文件技术要求</w:t>
            </w:r>
          </w:p>
        </w:tc>
        <w:tc>
          <w:tcPr>
            <w:tcW w:w="2875" w:type="dxa"/>
            <w:vAlign w:val="center"/>
          </w:tcPr>
          <w:p>
            <w:pPr>
              <w:spacing w:line="360" w:lineRule="auto"/>
              <w:jc w:val="center"/>
              <w:rPr>
                <w:rFonts w:hint="eastAsia" w:ascii="宋体" w:hAnsi="宋体" w:cs="宋体"/>
                <w:sz w:val="24"/>
              </w:rPr>
            </w:pPr>
            <w:r>
              <w:rPr>
                <w:rFonts w:hint="eastAsia" w:ascii="宋体" w:hAnsi="宋体" w:cs="宋体"/>
                <w:sz w:val="24"/>
              </w:rPr>
              <w:t>响应文件技术响应描述</w:t>
            </w:r>
          </w:p>
        </w:tc>
        <w:tc>
          <w:tcPr>
            <w:tcW w:w="2881" w:type="dxa"/>
            <w:vAlign w:val="center"/>
          </w:tcPr>
          <w:p>
            <w:pPr>
              <w:spacing w:line="360" w:lineRule="auto"/>
              <w:jc w:val="center"/>
              <w:rPr>
                <w:rFonts w:hint="eastAsia" w:ascii="宋体" w:hAnsi="宋体" w:cs="宋体"/>
                <w:sz w:val="24"/>
                <w:szCs w:val="22"/>
              </w:rPr>
            </w:pPr>
            <w:r>
              <w:rPr>
                <w:rFonts w:hint="eastAsia" w:ascii="宋体" w:hAnsi="宋体" w:cs="宋体"/>
                <w:sz w:val="24"/>
                <w:szCs w:val="22"/>
              </w:rPr>
              <w:t>正偏离或负偏离</w:t>
            </w:r>
          </w:p>
          <w:p>
            <w:pPr>
              <w:spacing w:line="360" w:lineRule="auto"/>
              <w:jc w:val="center"/>
              <w:rPr>
                <w:rFonts w:hint="eastAsia" w:ascii="宋体" w:hAnsi="宋体" w:cs="宋体"/>
                <w:sz w:val="24"/>
              </w:rPr>
            </w:pPr>
            <w:r>
              <w:rPr>
                <w:rFonts w:hint="eastAsia" w:ascii="宋体" w:hAnsi="宋体" w:cs="宋体"/>
                <w:sz w:val="24"/>
                <w:szCs w:val="22"/>
              </w:rPr>
              <w:t>或响应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790" w:type="dxa"/>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2792" w:type="dxa"/>
            <w:vAlign w:val="center"/>
          </w:tcPr>
          <w:p>
            <w:pPr>
              <w:spacing w:line="360" w:lineRule="auto"/>
              <w:jc w:val="center"/>
              <w:rPr>
                <w:rFonts w:hint="eastAsia" w:ascii="宋体" w:hAnsi="宋体" w:cs="宋体"/>
                <w:sz w:val="24"/>
              </w:rPr>
            </w:pPr>
          </w:p>
        </w:tc>
        <w:tc>
          <w:tcPr>
            <w:tcW w:w="2875" w:type="dxa"/>
            <w:vAlign w:val="center"/>
          </w:tcPr>
          <w:p>
            <w:pPr>
              <w:spacing w:line="360" w:lineRule="auto"/>
              <w:jc w:val="center"/>
              <w:rPr>
                <w:rFonts w:hint="eastAsia" w:ascii="宋体" w:hAnsi="宋体" w:cs="宋体"/>
                <w:sz w:val="24"/>
              </w:rPr>
            </w:pPr>
          </w:p>
        </w:tc>
        <w:tc>
          <w:tcPr>
            <w:tcW w:w="2881" w:type="dxa"/>
            <w:vAlign w:val="center"/>
          </w:tcPr>
          <w:p>
            <w:pPr>
              <w:spacing w:line="360" w:lineRule="auto"/>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790" w:type="dxa"/>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2792" w:type="dxa"/>
            <w:vAlign w:val="center"/>
          </w:tcPr>
          <w:p>
            <w:pPr>
              <w:spacing w:line="360" w:lineRule="auto"/>
              <w:jc w:val="center"/>
              <w:rPr>
                <w:rFonts w:hint="eastAsia" w:ascii="宋体" w:hAnsi="宋体" w:cs="宋体"/>
                <w:sz w:val="24"/>
              </w:rPr>
            </w:pPr>
          </w:p>
        </w:tc>
        <w:tc>
          <w:tcPr>
            <w:tcW w:w="2875" w:type="dxa"/>
            <w:vAlign w:val="center"/>
          </w:tcPr>
          <w:p>
            <w:pPr>
              <w:spacing w:line="360" w:lineRule="auto"/>
              <w:jc w:val="center"/>
              <w:rPr>
                <w:rFonts w:hint="eastAsia" w:ascii="宋体" w:hAnsi="宋体" w:cs="宋体"/>
                <w:sz w:val="24"/>
              </w:rPr>
            </w:pPr>
          </w:p>
        </w:tc>
        <w:tc>
          <w:tcPr>
            <w:tcW w:w="2881" w:type="dxa"/>
            <w:vAlign w:val="center"/>
          </w:tcPr>
          <w:p>
            <w:pPr>
              <w:spacing w:line="360" w:lineRule="auto"/>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790" w:type="dxa"/>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2792" w:type="dxa"/>
            <w:vAlign w:val="center"/>
          </w:tcPr>
          <w:p>
            <w:pPr>
              <w:spacing w:line="360" w:lineRule="auto"/>
              <w:jc w:val="center"/>
              <w:rPr>
                <w:rFonts w:hint="eastAsia" w:ascii="宋体" w:hAnsi="宋体" w:cs="宋体"/>
                <w:sz w:val="24"/>
              </w:rPr>
            </w:pPr>
          </w:p>
        </w:tc>
        <w:tc>
          <w:tcPr>
            <w:tcW w:w="2875" w:type="dxa"/>
            <w:vAlign w:val="center"/>
          </w:tcPr>
          <w:p>
            <w:pPr>
              <w:spacing w:line="360" w:lineRule="auto"/>
              <w:jc w:val="center"/>
              <w:rPr>
                <w:rFonts w:hint="eastAsia" w:ascii="宋体" w:hAnsi="宋体" w:cs="宋体"/>
                <w:sz w:val="24"/>
              </w:rPr>
            </w:pPr>
          </w:p>
        </w:tc>
        <w:tc>
          <w:tcPr>
            <w:tcW w:w="2881" w:type="dxa"/>
            <w:vAlign w:val="center"/>
          </w:tcPr>
          <w:p>
            <w:pPr>
              <w:spacing w:line="360" w:lineRule="auto"/>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790" w:type="dxa"/>
            <w:vAlign w:val="center"/>
          </w:tcPr>
          <w:p>
            <w:pPr>
              <w:spacing w:line="360" w:lineRule="auto"/>
              <w:jc w:val="center"/>
              <w:rPr>
                <w:rFonts w:hint="eastAsia" w:ascii="宋体" w:hAnsi="宋体" w:cs="宋体"/>
                <w:sz w:val="24"/>
              </w:rPr>
            </w:pPr>
          </w:p>
        </w:tc>
        <w:tc>
          <w:tcPr>
            <w:tcW w:w="2792" w:type="dxa"/>
            <w:vAlign w:val="center"/>
          </w:tcPr>
          <w:p>
            <w:pPr>
              <w:spacing w:line="360" w:lineRule="auto"/>
              <w:jc w:val="center"/>
              <w:rPr>
                <w:rFonts w:hint="eastAsia" w:ascii="宋体" w:hAnsi="宋体" w:cs="宋体"/>
                <w:sz w:val="24"/>
              </w:rPr>
            </w:pPr>
          </w:p>
        </w:tc>
        <w:tc>
          <w:tcPr>
            <w:tcW w:w="2875" w:type="dxa"/>
            <w:vAlign w:val="center"/>
          </w:tcPr>
          <w:p>
            <w:pPr>
              <w:spacing w:line="360" w:lineRule="auto"/>
              <w:jc w:val="center"/>
              <w:rPr>
                <w:rFonts w:hint="eastAsia" w:ascii="宋体" w:hAnsi="宋体" w:cs="宋体"/>
                <w:sz w:val="24"/>
              </w:rPr>
            </w:pPr>
          </w:p>
        </w:tc>
        <w:tc>
          <w:tcPr>
            <w:tcW w:w="2881" w:type="dxa"/>
            <w:vAlign w:val="center"/>
          </w:tcPr>
          <w:p>
            <w:pPr>
              <w:spacing w:line="360" w:lineRule="auto"/>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3" w:hRule="atLeast"/>
          <w:jc w:val="center"/>
        </w:trPr>
        <w:tc>
          <w:tcPr>
            <w:tcW w:w="790" w:type="dxa"/>
            <w:vAlign w:val="center"/>
          </w:tcPr>
          <w:p>
            <w:pPr>
              <w:spacing w:line="360" w:lineRule="auto"/>
              <w:jc w:val="center"/>
              <w:rPr>
                <w:rFonts w:hint="eastAsia" w:ascii="宋体" w:hAnsi="宋体" w:cs="宋体"/>
                <w:sz w:val="24"/>
              </w:rPr>
            </w:pPr>
            <w:r>
              <w:rPr>
                <w:rFonts w:hint="eastAsia" w:ascii="宋体" w:hAnsi="宋体" w:cs="宋体"/>
                <w:sz w:val="24"/>
              </w:rPr>
              <w:t>备注</w:t>
            </w:r>
          </w:p>
        </w:tc>
        <w:tc>
          <w:tcPr>
            <w:tcW w:w="8548" w:type="dxa"/>
            <w:gridSpan w:val="3"/>
            <w:vAlign w:val="center"/>
          </w:tcPr>
          <w:p>
            <w:pPr>
              <w:spacing w:line="360" w:lineRule="auto"/>
              <w:jc w:val="center"/>
              <w:rPr>
                <w:rFonts w:hint="eastAsia" w:ascii="宋体" w:hAnsi="宋体" w:cs="宋体"/>
                <w:b/>
                <w:sz w:val="24"/>
              </w:rPr>
            </w:pPr>
          </w:p>
        </w:tc>
      </w:tr>
    </w:tbl>
    <w:p>
      <w:pPr>
        <w:spacing w:line="360" w:lineRule="auto"/>
        <w:rPr>
          <w:rFonts w:hint="eastAsia" w:ascii="宋体" w:hAnsi="宋体" w:cs="宋体"/>
          <w:sz w:val="24"/>
        </w:rPr>
      </w:pPr>
      <w:r>
        <w:rPr>
          <w:rFonts w:hint="eastAsia" w:ascii="宋体" w:hAnsi="宋体" w:cs="宋体"/>
          <w:sz w:val="24"/>
          <w:szCs w:val="28"/>
        </w:rPr>
        <w:t>注：</w:t>
      </w:r>
      <w:r>
        <w:rPr>
          <w:rFonts w:hint="eastAsia" w:ascii="宋体" w:hAnsi="宋体" w:cs="宋体"/>
          <w:sz w:val="24"/>
        </w:rPr>
        <w:t>供应商逐条进行技术响应，并提供相关证明材料；存在负偏离的或未按要求附相关证明材料的按无效响应处理。</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280" w:lineRule="exact"/>
        <w:ind w:right="540" w:rightChars="257" w:firstLine="4440" w:firstLineChars="1850"/>
        <w:jc w:val="left"/>
        <w:rPr>
          <w:rFonts w:hint="eastAsia" w:ascii="宋体" w:hAnsi="宋体" w:cs="宋体"/>
          <w:sz w:val="24"/>
        </w:rPr>
      </w:pPr>
    </w:p>
    <w:p>
      <w:pPr>
        <w:spacing w:line="280" w:lineRule="exact"/>
        <w:ind w:right="540" w:rightChars="257" w:firstLine="4440" w:firstLineChars="1850"/>
        <w:jc w:val="left"/>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（加盖单位公章）</w:t>
      </w:r>
    </w:p>
    <w:p>
      <w:pPr>
        <w:spacing w:line="280" w:lineRule="exact"/>
        <w:ind w:right="540" w:rightChars="257" w:firstLine="360" w:firstLineChars="150"/>
        <w:jc w:val="left"/>
        <w:rPr>
          <w:rFonts w:hint="eastAsia" w:ascii="宋体" w:hAnsi="宋体" w:cs="宋体"/>
          <w:sz w:val="24"/>
        </w:rPr>
      </w:pPr>
    </w:p>
    <w:p>
      <w:pPr>
        <w:spacing w:line="280" w:lineRule="exact"/>
        <w:ind w:right="540" w:rightChars="257" w:firstLine="4440" w:firstLineChars="1850"/>
        <w:jc w:val="left"/>
        <w:rPr>
          <w:rFonts w:hint="eastAsia" w:ascii="宋体" w:hAnsi="宋体" w:cs="宋体"/>
          <w:sz w:val="24"/>
        </w:rPr>
      </w:pPr>
    </w:p>
    <w:p>
      <w:pPr>
        <w:spacing w:line="280" w:lineRule="exact"/>
        <w:ind w:right="540" w:rightChars="257" w:firstLine="4440" w:firstLineChars="1850"/>
        <w:jc w:val="left"/>
        <w:rPr>
          <w:rFonts w:hint="eastAsia" w:ascii="宋体" w:hAnsi="宋体" w:cs="宋体"/>
          <w:sz w:val="24"/>
          <w:u w:val="single"/>
        </w:rPr>
      </w:pPr>
      <w:r>
        <w:rPr>
          <w:rFonts w:hint="eastAsia" w:ascii="宋体" w:hAnsi="宋体" w:cs="宋体"/>
          <w:sz w:val="24"/>
        </w:rPr>
        <w:t>法定代表人（或被授权人）签字：</w:t>
      </w:r>
      <w:r>
        <w:rPr>
          <w:rFonts w:hint="eastAsia" w:ascii="宋体" w:hAnsi="宋体" w:cs="宋体"/>
          <w:sz w:val="24"/>
          <w:u w:val="single"/>
        </w:rPr>
        <w:t xml:space="preserve">        </w:t>
      </w:r>
    </w:p>
    <w:p>
      <w:pPr>
        <w:spacing w:line="280" w:lineRule="exact"/>
        <w:ind w:right="540" w:rightChars="257" w:firstLine="4440" w:firstLineChars="1850"/>
        <w:jc w:val="left"/>
        <w:rPr>
          <w:rFonts w:hint="eastAsia" w:ascii="宋体" w:hAnsi="宋体" w:cs="宋体"/>
          <w:sz w:val="24"/>
        </w:rPr>
      </w:pPr>
    </w:p>
    <w:p>
      <w:pPr>
        <w:spacing w:line="280" w:lineRule="exact"/>
        <w:ind w:right="540" w:rightChars="257"/>
        <w:jc w:val="left"/>
        <w:rPr>
          <w:rFonts w:hint="eastAsia" w:ascii="宋体" w:hAnsi="宋体" w:cs="宋体"/>
          <w:sz w:val="24"/>
        </w:rPr>
      </w:pPr>
    </w:p>
    <w:p>
      <w:pPr>
        <w:spacing w:line="280" w:lineRule="exact"/>
        <w:ind w:right="540" w:rightChars="257" w:firstLine="4440" w:firstLineChars="1850"/>
        <w:rPr>
          <w:rFonts w:hint="eastAsia" w:ascii="宋体" w:hAnsi="宋体" w:cs="宋体"/>
          <w:b/>
          <w:bCs/>
          <w:sz w:val="24"/>
        </w:rPr>
      </w:pPr>
      <w:r>
        <w:rPr>
          <w:rFonts w:hint="eastAsia" w:ascii="宋体" w:hAnsi="宋体" w:cs="宋体"/>
          <w:sz w:val="24"/>
        </w:rPr>
        <w:t>日期：    年   月    日</w:t>
      </w:r>
    </w:p>
    <w:p>
      <w:pPr>
        <w:keepLines/>
        <w:pageBreakBefore/>
        <w:jc w:val="center"/>
        <w:outlineLvl w:val="1"/>
        <w:rPr>
          <w:rFonts w:hint="eastAsia" w:ascii="宋体" w:hAnsi="宋体" w:cs="宋体"/>
          <w:b/>
          <w:bCs/>
          <w:sz w:val="32"/>
          <w:szCs w:val="32"/>
        </w:rPr>
      </w:pPr>
      <w:bookmarkStart w:id="263" w:name="_Toc19399"/>
      <w:bookmarkStart w:id="264" w:name="_Toc30944"/>
      <w:r>
        <w:rPr>
          <w:rFonts w:hint="eastAsia" w:ascii="宋体" w:hAnsi="宋体" w:cs="宋体"/>
          <w:b/>
          <w:bCs/>
          <w:sz w:val="32"/>
          <w:szCs w:val="32"/>
        </w:rPr>
        <w:t>四、业绩</w:t>
      </w:r>
      <w:bookmarkEnd w:id="260"/>
      <w:bookmarkEnd w:id="263"/>
      <w:bookmarkEnd w:id="264"/>
    </w:p>
    <w:p>
      <w:pPr>
        <w:keepLines/>
        <w:pageBreakBefore/>
        <w:jc w:val="center"/>
        <w:outlineLvl w:val="1"/>
        <w:rPr>
          <w:rFonts w:hint="eastAsia" w:ascii="宋体" w:hAnsi="宋体" w:cs="宋体"/>
          <w:b/>
          <w:bCs/>
          <w:sz w:val="32"/>
          <w:szCs w:val="32"/>
        </w:rPr>
      </w:pPr>
      <w:bookmarkStart w:id="265" w:name="_Toc5009"/>
      <w:bookmarkStart w:id="266" w:name="_Toc26300544"/>
      <w:bookmarkStart w:id="267" w:name="_Toc25648"/>
      <w:r>
        <w:rPr>
          <w:rFonts w:hint="eastAsia" w:ascii="宋体" w:hAnsi="宋体" w:cs="宋体"/>
          <w:b/>
          <w:bCs/>
          <w:sz w:val="32"/>
          <w:szCs w:val="32"/>
        </w:rPr>
        <w:t>五、其他可以证明供应商实力的文件</w:t>
      </w:r>
      <w:bookmarkEnd w:id="265"/>
      <w:bookmarkEnd w:id="266"/>
      <w:bookmarkEnd w:id="267"/>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p>
      <w:pPr>
        <w:widowControl/>
        <w:spacing w:line="408" w:lineRule="auto"/>
        <w:ind w:left="239" w:leftChars="114"/>
        <w:jc w:val="left"/>
        <w:rPr>
          <w:rFonts w:hint="eastAsia" w:ascii="宋体" w:hAnsi="宋体" w:cs="宋体"/>
          <w:kern w:val="0"/>
          <w:sz w:val="24"/>
        </w:rPr>
      </w:pPr>
    </w:p>
    <w:bookmarkEnd w:id="241"/>
    <w:bookmarkEnd w:id="242"/>
    <w:bookmarkEnd w:id="246"/>
    <w:bookmarkEnd w:id="247"/>
    <w:p>
      <w:pPr>
        <w:rPr>
          <w:rFonts w:hint="eastAsia" w:ascii="宋体" w:hAnsi="宋体" w:cs="宋体"/>
          <w:sz w:val="24"/>
        </w:rPr>
      </w:pPr>
    </w:p>
    <w:bookmarkEnd w:id="0"/>
    <w:p>
      <w:pPr>
        <w:spacing w:line="420" w:lineRule="exact"/>
        <w:jc w:val="left"/>
        <w:rPr>
          <w:rFonts w:hint="eastAsia" w:ascii="宋体" w:hAnsi="宋体" w:cs="宋体"/>
          <w:b/>
          <w:sz w:val="30"/>
          <w:szCs w:val="30"/>
        </w:rPr>
      </w:pPr>
      <w:r>
        <w:rPr>
          <w:rFonts w:hint="eastAsia" w:ascii="宋体" w:hAnsi="宋体" w:cs="宋体"/>
          <w:b/>
          <w:sz w:val="30"/>
          <w:szCs w:val="30"/>
        </w:rPr>
        <w:t>附表：最终报价表</w:t>
      </w:r>
    </w:p>
    <w:p>
      <w:pPr>
        <w:spacing w:line="420" w:lineRule="exact"/>
        <w:jc w:val="center"/>
        <w:rPr>
          <w:rFonts w:hint="eastAsia" w:ascii="宋体" w:hAnsi="宋体" w:cs="宋体"/>
          <w:b/>
          <w:sz w:val="30"/>
          <w:szCs w:val="30"/>
        </w:rPr>
      </w:pPr>
    </w:p>
    <w:p>
      <w:pPr>
        <w:spacing w:line="420" w:lineRule="exact"/>
        <w:jc w:val="center"/>
        <w:rPr>
          <w:rFonts w:hint="eastAsia" w:ascii="宋体" w:hAnsi="宋体" w:cs="宋体"/>
          <w:bCs/>
          <w:sz w:val="28"/>
        </w:rPr>
      </w:pPr>
      <w:r>
        <w:rPr>
          <w:rFonts w:hint="eastAsia" w:ascii="宋体" w:hAnsi="宋体" w:cs="宋体"/>
          <w:bCs/>
          <w:sz w:val="28"/>
        </w:rPr>
        <w:t>最终报价表（范本）</w:t>
      </w:r>
    </w:p>
    <w:p>
      <w:pPr>
        <w:spacing w:line="420" w:lineRule="exact"/>
        <w:jc w:val="center"/>
        <w:rPr>
          <w:rFonts w:hint="eastAsia" w:ascii="宋体" w:hAnsi="宋体" w:cs="宋体"/>
        </w:rPr>
      </w:pPr>
    </w:p>
    <w:tbl>
      <w:tblPr>
        <w:tblStyle w:val="4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2050" w:type="dxa"/>
            <w:vAlign w:val="center"/>
          </w:tcPr>
          <w:p>
            <w:pPr>
              <w:spacing w:line="360" w:lineRule="exact"/>
              <w:jc w:val="center"/>
              <w:rPr>
                <w:rFonts w:hint="eastAsia" w:ascii="宋体" w:hAnsi="宋体" w:cs="宋体"/>
                <w:sz w:val="24"/>
              </w:rPr>
            </w:pPr>
            <w:r>
              <w:rPr>
                <w:rFonts w:hint="eastAsia" w:ascii="宋体" w:hAnsi="宋体" w:cs="宋体"/>
                <w:sz w:val="24"/>
              </w:rPr>
              <w:t>项目编号</w:t>
            </w:r>
          </w:p>
        </w:tc>
        <w:tc>
          <w:tcPr>
            <w:tcW w:w="6723" w:type="dxa"/>
            <w:vAlign w:val="center"/>
          </w:tcPr>
          <w:p>
            <w:pPr>
              <w:spacing w:line="3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2050" w:type="dxa"/>
            <w:vAlign w:val="center"/>
          </w:tcPr>
          <w:p>
            <w:pPr>
              <w:spacing w:line="360" w:lineRule="exact"/>
              <w:jc w:val="center"/>
              <w:rPr>
                <w:rFonts w:hint="eastAsia" w:ascii="宋体" w:hAnsi="宋体" w:cs="宋体"/>
                <w:sz w:val="24"/>
              </w:rPr>
            </w:pPr>
            <w:r>
              <w:rPr>
                <w:rFonts w:hint="eastAsia" w:ascii="宋体" w:hAnsi="宋体" w:cs="宋体"/>
                <w:sz w:val="24"/>
              </w:rPr>
              <w:t>项目名称</w:t>
            </w:r>
          </w:p>
        </w:tc>
        <w:tc>
          <w:tcPr>
            <w:tcW w:w="6723" w:type="dxa"/>
            <w:vAlign w:val="center"/>
          </w:tcPr>
          <w:p>
            <w:pPr>
              <w:spacing w:line="3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exact"/>
          <w:jc w:val="center"/>
        </w:trPr>
        <w:tc>
          <w:tcPr>
            <w:tcW w:w="2050" w:type="dxa"/>
            <w:vAlign w:val="center"/>
          </w:tcPr>
          <w:p>
            <w:pPr>
              <w:spacing w:line="360" w:lineRule="exact"/>
              <w:jc w:val="center"/>
              <w:rPr>
                <w:rFonts w:hint="eastAsia" w:ascii="宋体" w:hAnsi="宋体" w:cs="宋体"/>
                <w:sz w:val="24"/>
              </w:rPr>
            </w:pPr>
            <w:r>
              <w:rPr>
                <w:rFonts w:hint="eastAsia" w:ascii="宋体" w:hAnsi="宋体" w:cs="宋体"/>
                <w:sz w:val="24"/>
              </w:rPr>
              <w:t>最终报价</w:t>
            </w:r>
          </w:p>
          <w:p>
            <w:pPr>
              <w:spacing w:line="360" w:lineRule="exact"/>
              <w:jc w:val="center"/>
              <w:rPr>
                <w:rFonts w:hint="eastAsia" w:ascii="宋体" w:hAnsi="宋体" w:cs="宋体"/>
                <w:sz w:val="24"/>
              </w:rPr>
            </w:pPr>
            <w:r>
              <w:rPr>
                <w:rFonts w:hint="eastAsia" w:ascii="宋体" w:hAnsi="宋体" w:cs="宋体"/>
                <w:sz w:val="24"/>
              </w:rPr>
              <w:t>（人民币）</w:t>
            </w:r>
          </w:p>
        </w:tc>
        <w:tc>
          <w:tcPr>
            <w:tcW w:w="6723" w:type="dxa"/>
            <w:vAlign w:val="center"/>
          </w:tcPr>
          <w:p>
            <w:pPr>
              <w:spacing w:line="400" w:lineRule="exact"/>
              <w:ind w:firstLine="1080" w:firstLineChars="450"/>
              <w:jc w:val="left"/>
              <w:rPr>
                <w:rFonts w:hint="eastAsia" w:ascii="宋体" w:hAnsi="宋体" w:cs="宋体"/>
                <w:sz w:val="24"/>
              </w:rPr>
            </w:pPr>
            <w:r>
              <w:rPr>
                <w:rFonts w:hint="eastAsia" w:ascii="宋体" w:hAnsi="宋体" w:cs="宋体"/>
                <w:sz w:val="24"/>
              </w:rPr>
              <w:t>小写金额：_____________元</w:t>
            </w:r>
          </w:p>
          <w:p>
            <w:pPr>
              <w:spacing w:line="400" w:lineRule="exact"/>
              <w:ind w:firstLine="1080" w:firstLineChars="450"/>
              <w:jc w:val="left"/>
              <w:rPr>
                <w:rFonts w:hint="eastAsia" w:ascii="宋体" w:hAnsi="宋体" w:cs="宋体"/>
                <w:sz w:val="24"/>
                <w:u w:val="single"/>
              </w:rPr>
            </w:pPr>
            <w:r>
              <w:rPr>
                <w:rFonts w:hint="eastAsia" w:ascii="宋体" w:hAnsi="宋体" w:cs="宋体"/>
                <w:sz w:val="24"/>
              </w:rPr>
              <w:t>大写金额：_____________</w:t>
            </w:r>
          </w:p>
        </w:tc>
      </w:tr>
    </w:tbl>
    <w:p>
      <w:pPr>
        <w:spacing w:line="360" w:lineRule="exact"/>
        <w:rPr>
          <w:rFonts w:hint="eastAsia" w:ascii="宋体" w:hAnsi="宋体" w:cs="宋体"/>
          <w:szCs w:val="21"/>
        </w:rPr>
      </w:pPr>
      <w:r>
        <w:rPr>
          <w:rFonts w:hint="eastAsia" w:ascii="宋体" w:hAnsi="宋体" w:cs="宋体"/>
          <w:szCs w:val="21"/>
        </w:rPr>
        <w:t xml:space="preserve"> 备注：1.本表格可不在投标文件中装订，在开标现场按此表格格式填报最终报价；</w:t>
      </w:r>
    </w:p>
    <w:p>
      <w:pPr>
        <w:spacing w:line="360" w:lineRule="exact"/>
        <w:ind w:firstLine="735" w:firstLineChars="350"/>
        <w:rPr>
          <w:rFonts w:hint="eastAsia" w:ascii="宋体" w:hAnsi="宋体" w:cs="宋体"/>
          <w:szCs w:val="21"/>
        </w:rPr>
      </w:pPr>
      <w:r>
        <w:rPr>
          <w:rFonts w:hint="eastAsia" w:ascii="宋体" w:hAnsi="宋体" w:cs="宋体"/>
          <w:szCs w:val="21"/>
        </w:rPr>
        <w:t>2.报价内容以元为单位，保留小数点后两位；</w:t>
      </w:r>
    </w:p>
    <w:p>
      <w:pPr>
        <w:adjustRightInd w:val="0"/>
        <w:snapToGrid w:val="0"/>
        <w:spacing w:line="420" w:lineRule="exact"/>
        <w:ind w:firstLine="735" w:firstLineChars="350"/>
        <w:jc w:val="left"/>
        <w:rPr>
          <w:rFonts w:hint="eastAsia" w:ascii="宋体" w:hAnsi="宋体" w:cs="宋体"/>
          <w:szCs w:val="21"/>
        </w:rPr>
      </w:pPr>
      <w:r>
        <w:rPr>
          <w:rFonts w:hint="eastAsia" w:ascii="宋体" w:hAnsi="宋体" w:cs="宋体"/>
          <w:szCs w:val="21"/>
        </w:rPr>
        <w:t xml:space="preserve">       </w:t>
      </w:r>
    </w:p>
    <w:p>
      <w:pPr>
        <w:spacing w:line="360" w:lineRule="exact"/>
        <w:ind w:firstLine="735" w:firstLineChars="350"/>
        <w:rPr>
          <w:rFonts w:hint="eastAsia" w:ascii="宋体" w:hAnsi="宋体" w:cs="宋体"/>
          <w:color w:val="FF0000"/>
          <w:szCs w:val="21"/>
        </w:rPr>
      </w:pPr>
    </w:p>
    <w:p>
      <w:pPr>
        <w:spacing w:line="420" w:lineRule="exact"/>
        <w:rPr>
          <w:rFonts w:hint="eastAsia" w:ascii="宋体" w:hAnsi="宋体" w:cs="宋体"/>
          <w:color w:val="FF0000"/>
        </w:rPr>
      </w:pPr>
    </w:p>
    <w:p>
      <w:pPr>
        <w:spacing w:line="500" w:lineRule="exact"/>
        <w:ind w:right="-159" w:firstLine="4080" w:firstLineChars="1700"/>
        <w:rPr>
          <w:rFonts w:hint="eastAsia" w:ascii="宋体" w:hAnsi="宋体" w:cs="宋体"/>
          <w:sz w:val="24"/>
        </w:rPr>
      </w:pPr>
      <w:r>
        <w:rPr>
          <w:rFonts w:hint="eastAsia" w:ascii="宋体" w:hAnsi="宋体" w:cs="宋体"/>
          <w:sz w:val="24"/>
        </w:rPr>
        <w:t>供应商名称：_____________________________</w:t>
      </w:r>
    </w:p>
    <w:p>
      <w:pPr>
        <w:spacing w:line="500" w:lineRule="exact"/>
        <w:ind w:right="321" w:firstLine="4080" w:firstLineChars="1700"/>
        <w:rPr>
          <w:rFonts w:hint="eastAsia" w:ascii="宋体" w:hAnsi="宋体" w:cs="宋体"/>
          <w:sz w:val="24"/>
        </w:rPr>
      </w:pPr>
      <w:r>
        <w:rPr>
          <w:rFonts w:hint="eastAsia" w:ascii="宋体" w:hAnsi="宋体" w:cs="宋体"/>
          <w:sz w:val="24"/>
        </w:rPr>
        <w:t>法定代表人或授权代表：（签字）</w:t>
      </w:r>
    </w:p>
    <w:p>
      <w:pPr>
        <w:spacing w:line="500" w:lineRule="exact"/>
        <w:ind w:firstLine="4080" w:firstLineChars="1700"/>
        <w:rPr>
          <w:rFonts w:hint="eastAsia" w:ascii="宋体" w:hAnsi="宋体" w:cs="宋体"/>
          <w:szCs w:val="21"/>
        </w:rPr>
      </w:pPr>
      <w:r>
        <w:rPr>
          <w:rFonts w:hint="eastAsia" w:ascii="宋体" w:hAnsi="宋体" w:cs="宋体"/>
          <w:sz w:val="24"/>
        </w:rPr>
        <w:t>日      期：年  月  日</w:t>
      </w:r>
    </w:p>
    <w:p>
      <w:pPr>
        <w:spacing w:line="420" w:lineRule="exact"/>
        <w:rPr>
          <w:rFonts w:hint="eastAsia" w:ascii="宋体" w:hAnsi="宋体" w:cs="宋体"/>
        </w:rPr>
      </w:pPr>
    </w:p>
    <w:p>
      <w:pPr>
        <w:spacing w:line="360" w:lineRule="auto"/>
        <w:jc w:val="right"/>
        <w:rPr>
          <w:rFonts w:hint="eastAsia" w:ascii="宋体" w:hAnsi="宋体" w:cs="宋体"/>
          <w:color w:val="FF0000"/>
          <w:sz w:val="24"/>
        </w:rPr>
      </w:pPr>
    </w:p>
    <w:p>
      <w:pPr>
        <w:spacing w:line="360" w:lineRule="auto"/>
        <w:jc w:val="right"/>
        <w:rPr>
          <w:rFonts w:hint="eastAsia" w:ascii="宋体" w:hAnsi="宋体" w:cs="宋体"/>
          <w:color w:val="FF0000"/>
          <w:sz w:val="24"/>
        </w:rPr>
      </w:pPr>
    </w:p>
    <w:p>
      <w:pPr>
        <w:spacing w:line="360" w:lineRule="auto"/>
        <w:ind w:right="480"/>
        <w:rPr>
          <w:rFonts w:hint="eastAsia" w:ascii="宋体" w:hAnsi="宋体" w:cs="宋体"/>
          <w:color w:val="FF0000"/>
          <w:sz w:val="24"/>
        </w:rPr>
      </w:pPr>
    </w:p>
    <w:sectPr>
      <w:footerReference r:id="rId21" w:type="first"/>
      <w:headerReference r:id="rId18" w:type="default"/>
      <w:footerReference r:id="rId19" w:type="default"/>
      <w:footerReference r:id="rId20" w:type="even"/>
      <w:pgSz w:w="11906" w:h="16838"/>
      <w:pgMar w:top="1418" w:right="1418" w:bottom="1418" w:left="1418" w:header="680" w:footer="680"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长安大学交通系统工程研究所" w:date="2021-07-21T10:52:54Z" w:initials="">
    <w:p w14:paraId="4411059E">
      <w:pPr>
        <w:pStyle w:val="16"/>
        <w:rPr>
          <w:rFonts w:hint="default" w:eastAsia="宋体"/>
          <w:lang w:val="en-US" w:eastAsia="zh-CN"/>
        </w:rPr>
      </w:pPr>
      <w:r>
        <w:rPr>
          <w:rFonts w:hint="eastAsia"/>
          <w:lang w:val="en-US" w:eastAsia="zh-CN"/>
        </w:rPr>
        <w:t>跟P35页保持一致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1105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Ђˎ̥">
    <w:altName w:val="Tahoma"/>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font-weight : 400">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57</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WWF1rUAQAApg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ixXVVKo91Bj4r3H1Di8dwPuzXwPeJmIDzKY9EVKBOOo7/mqrxgi4elRtaqqEkMcY7OD+MXj&#10;cx8gfhDOkGQ0NOAAs67s9AnimDqnpGrW3Smt8xC1JT2irqt36/ziGkJ0bbFIYjF2m6w47IeJ2t61&#10;Z2TW4xY01OLSU6I/WhQ5LcxshNnYz8bRB3XosMllrgf+9hixndxlqjDCToVxfJnntGppP/71c9bj&#10;77X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Flhda1AEAAKYDAAAOAAAAAAAAAAEAIAAA&#10;ACIBAABkcnMvZTJvRG9jLnhtbFBLBQYAAAAABgAGAFkBAABoBQAA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57</w:t>
                    </w:r>
                    <w:r>
                      <w:fldChar w:fldCharType="end"/>
                    </w:r>
                  </w:p>
                </w:txbxContent>
              </v:textbox>
            </v:shape>
          </w:pict>
        </mc:Fallback>
      </mc:AlternateContent>
    </w:r>
  </w:p>
  <w:p>
    <w:pPr>
      <w:pStyle w:val="29"/>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7N2nUAQAAp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yzzYhUV6h1UmHjvMDUMn+yAezPfA15G4kPrdfwiJYJx1Pd00VcMgfD4qCzKMscQx9jsIH72&#10;+Nx5CJ+F1SQaNfU4wKQrO36FMKbOKbGasbdSqTREZUiPqKvyapVeXEKIrgwWiSzGbqMVht0wUdvZ&#10;5oTMetyCmhpcekrUF4Mix4WZDT8bu9k4OC/3HTa5TPXA3RwCtpO6jBVG2Kkwji/xnFYt7sdTP2U9&#10;/l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7ezdp1AEAAKYDAAAOAAAAAAAAAAEAIAAA&#10;ACIBAABkcnMvZTJvRG9jLnhtbFBLBQYAAAAABgAGAFkBAABoBQAA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26</w:t>
                    </w:r>
                    <w:r>
                      <w:fldChar w:fldCharType="end"/>
                    </w:r>
                  </w:p>
                </w:txbxContent>
              </v:textbox>
            </v:shape>
          </w:pict>
        </mc:Fallback>
      </mc:AlternateContent>
    </w:r>
  </w:p>
  <w:p>
    <w:pPr>
      <w:pStyle w:val="29"/>
      <w:rPr>
        <w:rFonts w:hint="eastAsia"/>
      </w:rPr>
    </w:pP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fldChar w:fldCharType="begin"/>
    </w:r>
    <w:r>
      <w:rPr>
        <w:rStyle w:val="48"/>
      </w:rPr>
      <w:instrText xml:space="preserve">PAGE  </w:instrText>
    </w:r>
    <w:r>
      <w:fldChar w:fldCharType="end"/>
    </w:r>
  </w:p>
  <w:p>
    <w:pPr>
      <w:pStyle w:val="2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VEVvVAQAApgMAAA4AAABkcnMvZTJvRG9jLnhtbK1TzY7TMBC+&#10;I/EOlu80acU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LJcXSeFeg81Jt55TI3DBzfg3sz3gJeJ+CCDSV+kRDCO+p4u+oohEp4eVauqKjHEMTY7iF88&#10;PPcB4kfhDElGQwMOMOvKjp8hjqlzSqpm3a3SOg9RW9Ij6lX17iq/uIQQXVsskliM3SYrDrthorZz&#10;7QmZ9bgFDbW49JToTxZFTgszG2E2drNx8EHtO2xymeuBf3+I2E7uMlUYYafCOL7Mc1q1tB//+znr&#10;4ffa/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TNURW9UBAACmAwAADgAAAAAAAAABACAA&#10;AAAiAQAAZHJzL2Uyb0RvYy54bWxQSwUGAAAAAAYABgBZAQAAaQUAA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w80rVAQAApgMAAA4AAABkcnMvZTJvRG9jLnhtbK1TS27bMBDd&#10;F+gdCO5ryQaSCILlIIWRokDRFkhzAJoiLQL8gUNb8gXaG3TVTfc9l8/RISU5RbrJIhtqhjN8M+/N&#10;aH07GE2OIoBytqHLRUmJsNy1yu4b+vjt/l1FCURmW6adFQ09CaC3m7dv1r2vxcp1TrciEASxUPe+&#10;oV2Mvi4K4J0wDBbOC4tB6YJhEd2wL9rAekQ3uliV5XXRu9D64LgAwNvtGKQTYngJoJNScbF1/GCE&#10;jSNqEJpFpASd8kA3uVspBY9fpAQRiW4oMo35xCJo79JZbNas3gfmO8WnFthLWnjGyTBlsegFassi&#10;I4eg/oMyigcHTsYFd6YYiWRFkMWyfKbNQ8e8yFxQavAX0eH1YPnn49dAVNvQa0osMzjw888f519/&#10;zr+/k2W5ukkK9R5qTHzwmBqH927AvZnvAS8T8UEGk75IiWAc9T1d9BVDJDw9qlZVVWKIY2x2EL94&#10;eu4DxA/CGZKMhgYcYNaVHT9BHFPnlFTNunuldR6itqRH1Kvq5iq/uIQQXVsskliM3SYrDrthorZz&#10;7QmZ9bgFDbW49JTojxZFTgszG2E2drNx8EHtO2xymeuBvztEbCd3mSqMsFNhHF/mOa1a2o9//Zz1&#10;9Ht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4bDzStUBAACmAwAADgAAAAAAAAABACAA&#10;AAAiAQAAZHJzL2Uyb0RvYy54bWxQSwUGAAAAAAYABgBZAQAAaQUAA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line="276" w:lineRule="auto"/>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0cLjjVAQAApgMAAA4AAABkcnMvZTJvRG9jLnhtbK1TzY7TMBC+&#10;I/EOlu80adF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rNx8EHtO2xymeuBf3+I2E7uMlUYYafCOL7Mc1q1tB//+znr&#10;/vfa3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vRwuONUBAACmAwAADgAAAAAAAAABACAA&#10;AAAiAQAAZHJzL2Uyb0RvYy54bWxQSwUGAAAAAAYABgBZAQAAaQUAA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rPr>
        <w:rFonts w:hAnsi="宋体" w:cs="宋体"/>
        <w:color w:val="006C31"/>
        <w:sz w:val="18"/>
        <w:szCs w:val="18"/>
      </w:rPr>
    </w:pPr>
    <w:r>
      <w:rPr>
        <w:rFonts w:hint="eastAsia" w:hAnsi="宋体" w:cs="宋体"/>
        <w:color w:val="006C31"/>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ind w:firstLine="4860" w:firstLineChars="2700"/>
      <w:jc w:val="both"/>
    </w:pPr>
    <w:r>
      <w:rPr>
        <w:rFonts w:hint="eastAsia" w:hAnsi="宋体" w:cs="宋体"/>
        <w:color w:val="006C3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rPr>
        <w:rFonts w:hAnsi="宋体" w:cs="宋体"/>
        <w:color w:val="006C31"/>
        <w:sz w:val="18"/>
        <w:szCs w:val="18"/>
      </w:rPr>
    </w:pPr>
    <w:r>
      <w:rPr>
        <w:rFonts w:hint="eastAsia" w:hAnsi="宋体" w:cs="宋体"/>
        <w:color w:val="006C31"/>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spacing w:line="276" w:lineRule="auto"/>
      <w:jc w:val="both"/>
      <w:rPr>
        <w:b/>
        <w:color w:val="00B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8008E"/>
    <w:multiLevelType w:val="singleLevel"/>
    <w:tmpl w:val="80A8008E"/>
    <w:lvl w:ilvl="0" w:tentative="0">
      <w:start w:val="1"/>
      <w:numFmt w:val="decimal"/>
      <w:lvlText w:val="%1."/>
      <w:lvlJc w:val="left"/>
      <w:pPr>
        <w:ind w:left="425" w:hanging="425"/>
      </w:pPr>
      <w:rPr>
        <w:rFonts w:hint="default"/>
      </w:rPr>
    </w:lvl>
  </w:abstractNum>
  <w:abstractNum w:abstractNumId="1">
    <w:nsid w:val="80C8D69E"/>
    <w:multiLevelType w:val="singleLevel"/>
    <w:tmpl w:val="80C8D69E"/>
    <w:lvl w:ilvl="0" w:tentative="0">
      <w:start w:val="1"/>
      <w:numFmt w:val="decimal"/>
      <w:suff w:val="nothing"/>
      <w:lvlText w:val="（%1）"/>
      <w:lvlJc w:val="left"/>
    </w:lvl>
  </w:abstractNum>
  <w:abstractNum w:abstractNumId="2">
    <w:nsid w:val="993BC7FA"/>
    <w:multiLevelType w:val="singleLevel"/>
    <w:tmpl w:val="993BC7FA"/>
    <w:lvl w:ilvl="0" w:tentative="0">
      <w:start w:val="3"/>
      <w:numFmt w:val="decimal"/>
      <w:suff w:val="nothing"/>
      <w:lvlText w:val="%1．"/>
      <w:lvlJc w:val="left"/>
    </w:lvl>
  </w:abstractNum>
  <w:abstractNum w:abstractNumId="3">
    <w:nsid w:val="AA22893D"/>
    <w:multiLevelType w:val="singleLevel"/>
    <w:tmpl w:val="AA22893D"/>
    <w:lvl w:ilvl="0" w:tentative="0">
      <w:start w:val="1"/>
      <w:numFmt w:val="decimal"/>
      <w:suff w:val="nothing"/>
      <w:lvlText w:val="%1、"/>
      <w:lvlJc w:val="left"/>
    </w:lvl>
  </w:abstractNum>
  <w:abstractNum w:abstractNumId="4">
    <w:nsid w:val="B05910CA"/>
    <w:multiLevelType w:val="singleLevel"/>
    <w:tmpl w:val="B05910CA"/>
    <w:lvl w:ilvl="0" w:tentative="0">
      <w:start w:val="1"/>
      <w:numFmt w:val="decimal"/>
      <w:suff w:val="nothing"/>
      <w:lvlText w:val="%1、"/>
      <w:lvlJc w:val="left"/>
    </w:lvl>
  </w:abstractNum>
  <w:abstractNum w:abstractNumId="5">
    <w:nsid w:val="D967C193"/>
    <w:multiLevelType w:val="singleLevel"/>
    <w:tmpl w:val="D967C193"/>
    <w:lvl w:ilvl="0" w:tentative="0">
      <w:start w:val="6"/>
      <w:numFmt w:val="chineseCounting"/>
      <w:suff w:val="nothing"/>
      <w:lvlText w:val="%1、"/>
      <w:lvlJc w:val="left"/>
      <w:rPr>
        <w:rFonts w:hint="eastAsia"/>
      </w:rPr>
    </w:lvl>
  </w:abstractNum>
  <w:abstractNum w:abstractNumId="6">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7">
    <w:nsid w:val="01E39F13"/>
    <w:multiLevelType w:val="singleLevel"/>
    <w:tmpl w:val="01E39F13"/>
    <w:lvl w:ilvl="0" w:tentative="0">
      <w:start w:val="9"/>
      <w:numFmt w:val="decimal"/>
      <w:lvlText w:val="%1."/>
      <w:lvlJc w:val="left"/>
      <w:pPr>
        <w:tabs>
          <w:tab w:val="left" w:pos="312"/>
        </w:tabs>
      </w:pPr>
    </w:lvl>
  </w:abstractNum>
  <w:abstractNum w:abstractNumId="8">
    <w:nsid w:val="05BE7571"/>
    <w:multiLevelType w:val="singleLevel"/>
    <w:tmpl w:val="05BE7571"/>
    <w:lvl w:ilvl="0" w:tentative="0">
      <w:start w:val="1"/>
      <w:numFmt w:val="decimal"/>
      <w:lvlText w:val="%1."/>
      <w:lvlJc w:val="left"/>
      <w:pPr>
        <w:ind w:left="425" w:hanging="425"/>
      </w:pPr>
      <w:rPr>
        <w:rFonts w:hint="default"/>
      </w:rPr>
    </w:lvl>
  </w:abstractNum>
  <w:abstractNum w:abstractNumId="9">
    <w:nsid w:val="133432FA"/>
    <w:multiLevelType w:val="singleLevel"/>
    <w:tmpl w:val="133432FA"/>
    <w:lvl w:ilvl="0" w:tentative="0">
      <w:start w:val="1"/>
      <w:numFmt w:val="decimal"/>
      <w:lvlText w:val="%1."/>
      <w:lvlJc w:val="left"/>
      <w:pPr>
        <w:ind w:left="425" w:hanging="425"/>
      </w:pPr>
      <w:rPr>
        <w:rFonts w:hint="default"/>
      </w:rPr>
    </w:lvl>
  </w:abstractNum>
  <w:abstractNum w:abstractNumId="10">
    <w:nsid w:val="322CBA6A"/>
    <w:multiLevelType w:val="singleLevel"/>
    <w:tmpl w:val="322CBA6A"/>
    <w:lvl w:ilvl="0" w:tentative="0">
      <w:start w:val="2"/>
      <w:numFmt w:val="chineseCounting"/>
      <w:suff w:val="nothing"/>
      <w:lvlText w:val="%1、"/>
      <w:lvlJc w:val="left"/>
      <w:rPr>
        <w:rFonts w:hint="eastAsia"/>
      </w:rPr>
    </w:lvl>
  </w:abstractNum>
  <w:abstractNum w:abstractNumId="11">
    <w:nsid w:val="38090108"/>
    <w:multiLevelType w:val="multilevel"/>
    <w:tmpl w:val="38090108"/>
    <w:lvl w:ilvl="0" w:tentative="0">
      <w:start w:val="1"/>
      <w:numFmt w:val="decimal"/>
      <w:lvlText w:val="%1."/>
      <w:lvlJc w:val="left"/>
      <w:pPr>
        <w:tabs>
          <w:tab w:val="left" w:pos="425"/>
        </w:tabs>
        <w:ind w:left="425" w:hanging="425"/>
      </w:pPr>
      <w:rPr>
        <w:rFonts w:hint="eastAsia" w:eastAsia="宋体"/>
        <w:b/>
        <w:i w:val="0"/>
        <w:sz w:val="24"/>
        <w:szCs w:val="24"/>
      </w:rPr>
    </w:lvl>
    <w:lvl w:ilvl="1" w:tentative="0">
      <w:start w:val="1"/>
      <w:numFmt w:val="decimal"/>
      <w:lvlText w:val="%1.%2."/>
      <w:lvlJc w:val="left"/>
      <w:pPr>
        <w:tabs>
          <w:tab w:val="left" w:pos="567"/>
        </w:tabs>
        <w:ind w:left="567" w:hanging="567"/>
      </w:pPr>
      <w:rPr>
        <w:rFonts w:hint="eastAsia" w:ascii="宋体" w:hAnsi="宋体" w:eastAsia="宋体"/>
        <w:b/>
        <w:i w:val="0"/>
        <w:color w:val="auto"/>
        <w:sz w:val="24"/>
        <w:szCs w:val="24"/>
        <w:u w:val="none"/>
      </w:rPr>
    </w:lvl>
    <w:lvl w:ilvl="2" w:tentative="0">
      <w:start w:val="1"/>
      <w:numFmt w:val="decimal"/>
      <w:lvlText w:val="%1.%2.%3."/>
      <w:lvlJc w:val="left"/>
      <w:pPr>
        <w:tabs>
          <w:tab w:val="left" w:pos="709"/>
        </w:tabs>
        <w:ind w:left="709" w:hanging="709"/>
      </w:pPr>
      <w:rPr>
        <w:rFonts w:hint="eastAsia" w:ascii="宋体" w:hAnsi="宋体" w:eastAsia="宋体"/>
        <w:caps w:val="0"/>
        <w:strike w:val="0"/>
        <w:dstrike w:val="0"/>
        <w:shadow w:val="0"/>
        <w:emboss w:val="0"/>
        <w:imprint w:val="0"/>
        <w:vanish w:val="0"/>
        <w:vertAlign w:val="baseline"/>
      </w:rPr>
    </w:lvl>
    <w:lvl w:ilvl="3" w:tentative="0">
      <w:start w:val="1"/>
      <w:numFmt w:val="decimal"/>
      <w:pStyle w:val="7"/>
      <w:lvlText w:val="%1.%2.%3.%4."/>
      <w:lvlJc w:val="left"/>
      <w:pPr>
        <w:tabs>
          <w:tab w:val="left" w:pos="851"/>
        </w:tabs>
        <w:ind w:left="851" w:hanging="851"/>
      </w:pPr>
      <w:rPr>
        <w:rFonts w:hint="eastAsia" w:ascii="宋体" w:hAnsi="宋体" w:eastAsia="宋体"/>
        <w:b/>
        <w:sz w:val="24"/>
        <w:szCs w:val="24"/>
      </w:rPr>
    </w:lvl>
    <w:lvl w:ilvl="4" w:tentative="0">
      <w:start w:val="1"/>
      <w:numFmt w:val="decimal"/>
      <w:pStyle w:val="8"/>
      <w:lvlText w:val="%1.%2.%3.%4.%5."/>
      <w:lvlJc w:val="left"/>
      <w:pPr>
        <w:tabs>
          <w:tab w:val="left" w:pos="992"/>
        </w:tabs>
        <w:ind w:left="992" w:hanging="992"/>
      </w:pPr>
      <w:rPr>
        <w:rFonts w:hint="eastAsia"/>
        <w:b/>
        <w:i w:val="0"/>
        <w:sz w:val="24"/>
        <w:szCs w:val="24"/>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565E3A2D"/>
    <w:multiLevelType w:val="singleLevel"/>
    <w:tmpl w:val="565E3A2D"/>
    <w:lvl w:ilvl="0" w:tentative="0">
      <w:start w:val="1"/>
      <w:numFmt w:val="decimal"/>
      <w:lvlText w:val="%1."/>
      <w:lvlJc w:val="left"/>
      <w:pPr>
        <w:ind w:left="2551" w:hanging="425"/>
      </w:pPr>
      <w:rPr>
        <w:rFonts w:hint="default"/>
      </w:rPr>
    </w:lvl>
  </w:abstractNum>
  <w:abstractNum w:abstractNumId="13">
    <w:nsid w:val="5F0CC793"/>
    <w:multiLevelType w:val="singleLevel"/>
    <w:tmpl w:val="5F0CC793"/>
    <w:lvl w:ilvl="0" w:tentative="0">
      <w:start w:val="1"/>
      <w:numFmt w:val="decimal"/>
      <w:lvlText w:val="%1."/>
      <w:lvlJc w:val="left"/>
      <w:pPr>
        <w:ind w:left="425" w:hanging="425"/>
      </w:pPr>
      <w:rPr>
        <w:rFonts w:hint="default"/>
      </w:rPr>
    </w:lvl>
  </w:abstractNum>
  <w:num w:numId="1">
    <w:abstractNumId w:val="11"/>
  </w:num>
  <w:num w:numId="2">
    <w:abstractNumId w:val="5"/>
  </w:num>
  <w:num w:numId="3">
    <w:abstractNumId w:val="1"/>
  </w:num>
  <w:num w:numId="4">
    <w:abstractNumId w:val="3"/>
  </w:num>
  <w:num w:numId="5">
    <w:abstractNumId w:val="2"/>
  </w:num>
  <w:num w:numId="6">
    <w:abstractNumId w:val="7"/>
  </w:num>
  <w:num w:numId="7">
    <w:abstractNumId w:val="6"/>
  </w:num>
  <w:num w:numId="8">
    <w:abstractNumId w:val="0"/>
  </w:num>
  <w:num w:numId="9">
    <w:abstractNumId w:val="12"/>
  </w:num>
  <w:num w:numId="10">
    <w:abstractNumId w:val="9"/>
  </w:num>
  <w:num w:numId="11">
    <w:abstractNumId w:val="13"/>
  </w:num>
  <w:num w:numId="12">
    <w:abstractNumId w:val="8"/>
  </w:num>
  <w:num w:numId="13">
    <w:abstractNumId w:val="10"/>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长安大学交通系统工程研究所">
    <w15:presenceInfo w15:providerId="WPS Office" w15:userId="3090817896"/>
  </w15:person>
  <w15:person w15:author="Administrator">
    <w15:presenceInfo w15:providerId="None" w15:userId="Administrator"/>
  </w15:person>
  <w15:person w15:author="遇见@多多">
    <w15:presenceInfo w15:providerId="WPS Office" w15:userId="2418415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visionView w:markup="0"/>
  <w:trackRevisions w:val="1"/>
  <w:documentProtection w:edit="readOnly"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1F"/>
    <w:rsid w:val="00002B35"/>
    <w:rsid w:val="00002E47"/>
    <w:rsid w:val="00004D3C"/>
    <w:rsid w:val="000057AC"/>
    <w:rsid w:val="00005AC4"/>
    <w:rsid w:val="00006AC7"/>
    <w:rsid w:val="00006B49"/>
    <w:rsid w:val="00006BA3"/>
    <w:rsid w:val="00010D94"/>
    <w:rsid w:val="00012217"/>
    <w:rsid w:val="00012662"/>
    <w:rsid w:val="00014981"/>
    <w:rsid w:val="00014A80"/>
    <w:rsid w:val="00014C44"/>
    <w:rsid w:val="00014E56"/>
    <w:rsid w:val="000169CC"/>
    <w:rsid w:val="00016F18"/>
    <w:rsid w:val="00017701"/>
    <w:rsid w:val="00021065"/>
    <w:rsid w:val="0002327B"/>
    <w:rsid w:val="00023827"/>
    <w:rsid w:val="00023B71"/>
    <w:rsid w:val="00024765"/>
    <w:rsid w:val="0002740C"/>
    <w:rsid w:val="000277A2"/>
    <w:rsid w:val="0003112E"/>
    <w:rsid w:val="0003152E"/>
    <w:rsid w:val="0003297D"/>
    <w:rsid w:val="000342A6"/>
    <w:rsid w:val="00034A9A"/>
    <w:rsid w:val="000356F2"/>
    <w:rsid w:val="00035E0B"/>
    <w:rsid w:val="00036597"/>
    <w:rsid w:val="00036945"/>
    <w:rsid w:val="00036E47"/>
    <w:rsid w:val="00037E2A"/>
    <w:rsid w:val="00041103"/>
    <w:rsid w:val="00042B49"/>
    <w:rsid w:val="0004365E"/>
    <w:rsid w:val="00043BD1"/>
    <w:rsid w:val="00043D6E"/>
    <w:rsid w:val="0004598E"/>
    <w:rsid w:val="00050FA4"/>
    <w:rsid w:val="0005106F"/>
    <w:rsid w:val="00051B9A"/>
    <w:rsid w:val="000528CD"/>
    <w:rsid w:val="00055E09"/>
    <w:rsid w:val="0005730B"/>
    <w:rsid w:val="0006046F"/>
    <w:rsid w:val="00061192"/>
    <w:rsid w:val="00061B37"/>
    <w:rsid w:val="00063354"/>
    <w:rsid w:val="000639F4"/>
    <w:rsid w:val="000650B7"/>
    <w:rsid w:val="00066E32"/>
    <w:rsid w:val="00067E58"/>
    <w:rsid w:val="000704AC"/>
    <w:rsid w:val="000704D0"/>
    <w:rsid w:val="00070C0E"/>
    <w:rsid w:val="00070CA4"/>
    <w:rsid w:val="00071B4D"/>
    <w:rsid w:val="00073BC7"/>
    <w:rsid w:val="0007470F"/>
    <w:rsid w:val="000756EA"/>
    <w:rsid w:val="000763F3"/>
    <w:rsid w:val="000778A2"/>
    <w:rsid w:val="00077BB3"/>
    <w:rsid w:val="000801FB"/>
    <w:rsid w:val="00080479"/>
    <w:rsid w:val="00080648"/>
    <w:rsid w:val="0008117C"/>
    <w:rsid w:val="0008141F"/>
    <w:rsid w:val="000816AD"/>
    <w:rsid w:val="00081C89"/>
    <w:rsid w:val="00082160"/>
    <w:rsid w:val="00084F48"/>
    <w:rsid w:val="0008596B"/>
    <w:rsid w:val="000870E7"/>
    <w:rsid w:val="000873BE"/>
    <w:rsid w:val="0008762B"/>
    <w:rsid w:val="00087DFA"/>
    <w:rsid w:val="0009044E"/>
    <w:rsid w:val="00090683"/>
    <w:rsid w:val="000925F5"/>
    <w:rsid w:val="00092755"/>
    <w:rsid w:val="000927CB"/>
    <w:rsid w:val="000928C9"/>
    <w:rsid w:val="00092CAC"/>
    <w:rsid w:val="00093EB9"/>
    <w:rsid w:val="00094ACB"/>
    <w:rsid w:val="00097DE4"/>
    <w:rsid w:val="000A0265"/>
    <w:rsid w:val="000A03B9"/>
    <w:rsid w:val="000A080B"/>
    <w:rsid w:val="000A1058"/>
    <w:rsid w:val="000A1628"/>
    <w:rsid w:val="000A1F3E"/>
    <w:rsid w:val="000A2A1F"/>
    <w:rsid w:val="000A2AFB"/>
    <w:rsid w:val="000A3DB4"/>
    <w:rsid w:val="000A725F"/>
    <w:rsid w:val="000A7630"/>
    <w:rsid w:val="000B0C01"/>
    <w:rsid w:val="000B1A07"/>
    <w:rsid w:val="000B2008"/>
    <w:rsid w:val="000B2B2A"/>
    <w:rsid w:val="000B2F87"/>
    <w:rsid w:val="000B3D42"/>
    <w:rsid w:val="000B48BB"/>
    <w:rsid w:val="000B52EE"/>
    <w:rsid w:val="000B6478"/>
    <w:rsid w:val="000B6857"/>
    <w:rsid w:val="000B6DD6"/>
    <w:rsid w:val="000C00F0"/>
    <w:rsid w:val="000C1070"/>
    <w:rsid w:val="000C1A20"/>
    <w:rsid w:val="000C1BC5"/>
    <w:rsid w:val="000C3BD2"/>
    <w:rsid w:val="000C4510"/>
    <w:rsid w:val="000C4995"/>
    <w:rsid w:val="000C7468"/>
    <w:rsid w:val="000D3862"/>
    <w:rsid w:val="000D5365"/>
    <w:rsid w:val="000E0DF7"/>
    <w:rsid w:val="000E152B"/>
    <w:rsid w:val="000E2AE2"/>
    <w:rsid w:val="000E2DBE"/>
    <w:rsid w:val="000E33B7"/>
    <w:rsid w:val="000E66EE"/>
    <w:rsid w:val="000E6CCA"/>
    <w:rsid w:val="000E7350"/>
    <w:rsid w:val="000F179A"/>
    <w:rsid w:val="000F246B"/>
    <w:rsid w:val="000F50A9"/>
    <w:rsid w:val="000F6A48"/>
    <w:rsid w:val="000F78A2"/>
    <w:rsid w:val="00102682"/>
    <w:rsid w:val="00103BF6"/>
    <w:rsid w:val="00103E0B"/>
    <w:rsid w:val="00103FAE"/>
    <w:rsid w:val="00105C2F"/>
    <w:rsid w:val="00106B30"/>
    <w:rsid w:val="00107961"/>
    <w:rsid w:val="00110E30"/>
    <w:rsid w:val="0011125E"/>
    <w:rsid w:val="0011191C"/>
    <w:rsid w:val="00112947"/>
    <w:rsid w:val="00112C9B"/>
    <w:rsid w:val="00114472"/>
    <w:rsid w:val="00115F24"/>
    <w:rsid w:val="00116408"/>
    <w:rsid w:val="0011678E"/>
    <w:rsid w:val="00121F6C"/>
    <w:rsid w:val="00123926"/>
    <w:rsid w:val="00123B31"/>
    <w:rsid w:val="00125500"/>
    <w:rsid w:val="0012681F"/>
    <w:rsid w:val="0012714C"/>
    <w:rsid w:val="00131557"/>
    <w:rsid w:val="00131A69"/>
    <w:rsid w:val="001322C0"/>
    <w:rsid w:val="00132E0D"/>
    <w:rsid w:val="00136767"/>
    <w:rsid w:val="0014045E"/>
    <w:rsid w:val="001414A7"/>
    <w:rsid w:val="00143650"/>
    <w:rsid w:val="00143F01"/>
    <w:rsid w:val="0014469D"/>
    <w:rsid w:val="00144E36"/>
    <w:rsid w:val="001453A6"/>
    <w:rsid w:val="001454CB"/>
    <w:rsid w:val="00145FB0"/>
    <w:rsid w:val="001466B5"/>
    <w:rsid w:val="00146705"/>
    <w:rsid w:val="001469FE"/>
    <w:rsid w:val="0015145E"/>
    <w:rsid w:val="00151AF8"/>
    <w:rsid w:val="0015247F"/>
    <w:rsid w:val="00152DA0"/>
    <w:rsid w:val="001531A7"/>
    <w:rsid w:val="00155C7F"/>
    <w:rsid w:val="00161354"/>
    <w:rsid w:val="0016333E"/>
    <w:rsid w:val="00163925"/>
    <w:rsid w:val="00163AC4"/>
    <w:rsid w:val="00165641"/>
    <w:rsid w:val="0016594E"/>
    <w:rsid w:val="00165960"/>
    <w:rsid w:val="00166ED7"/>
    <w:rsid w:val="00167283"/>
    <w:rsid w:val="001679F3"/>
    <w:rsid w:val="00170A25"/>
    <w:rsid w:val="001736CF"/>
    <w:rsid w:val="00174D88"/>
    <w:rsid w:val="00174DBE"/>
    <w:rsid w:val="0017582B"/>
    <w:rsid w:val="00175BA4"/>
    <w:rsid w:val="00177F12"/>
    <w:rsid w:val="00180B53"/>
    <w:rsid w:val="001814BC"/>
    <w:rsid w:val="0018262C"/>
    <w:rsid w:val="00183506"/>
    <w:rsid w:val="00185235"/>
    <w:rsid w:val="00185719"/>
    <w:rsid w:val="00190F6F"/>
    <w:rsid w:val="00193FBA"/>
    <w:rsid w:val="00195050"/>
    <w:rsid w:val="00195068"/>
    <w:rsid w:val="00195E71"/>
    <w:rsid w:val="00197054"/>
    <w:rsid w:val="001976A5"/>
    <w:rsid w:val="001A2581"/>
    <w:rsid w:val="001A3FCB"/>
    <w:rsid w:val="001A471F"/>
    <w:rsid w:val="001A7497"/>
    <w:rsid w:val="001B1754"/>
    <w:rsid w:val="001B1EFB"/>
    <w:rsid w:val="001B3722"/>
    <w:rsid w:val="001B5B13"/>
    <w:rsid w:val="001B6639"/>
    <w:rsid w:val="001B79A3"/>
    <w:rsid w:val="001C1E1A"/>
    <w:rsid w:val="001C2576"/>
    <w:rsid w:val="001C3A4A"/>
    <w:rsid w:val="001C427B"/>
    <w:rsid w:val="001C448C"/>
    <w:rsid w:val="001C4E91"/>
    <w:rsid w:val="001C5E0F"/>
    <w:rsid w:val="001C76B4"/>
    <w:rsid w:val="001D02FA"/>
    <w:rsid w:val="001D089C"/>
    <w:rsid w:val="001D08E8"/>
    <w:rsid w:val="001D0D99"/>
    <w:rsid w:val="001D170D"/>
    <w:rsid w:val="001D1DCD"/>
    <w:rsid w:val="001D2376"/>
    <w:rsid w:val="001D3A7A"/>
    <w:rsid w:val="001D41F3"/>
    <w:rsid w:val="001D79BD"/>
    <w:rsid w:val="001E04EE"/>
    <w:rsid w:val="001E09D1"/>
    <w:rsid w:val="001E1D1D"/>
    <w:rsid w:val="001E2504"/>
    <w:rsid w:val="001E2C29"/>
    <w:rsid w:val="001E3B79"/>
    <w:rsid w:val="001E4AD2"/>
    <w:rsid w:val="001E4B80"/>
    <w:rsid w:val="001E5C99"/>
    <w:rsid w:val="001E5FAF"/>
    <w:rsid w:val="001E6A66"/>
    <w:rsid w:val="001E728C"/>
    <w:rsid w:val="001F00CC"/>
    <w:rsid w:val="001F153B"/>
    <w:rsid w:val="001F2048"/>
    <w:rsid w:val="001F2D25"/>
    <w:rsid w:val="001F4D4D"/>
    <w:rsid w:val="001F7993"/>
    <w:rsid w:val="001F7A59"/>
    <w:rsid w:val="00200374"/>
    <w:rsid w:val="002005CC"/>
    <w:rsid w:val="0020255D"/>
    <w:rsid w:val="00203250"/>
    <w:rsid w:val="00203BE4"/>
    <w:rsid w:val="00203E8F"/>
    <w:rsid w:val="00205614"/>
    <w:rsid w:val="002075EA"/>
    <w:rsid w:val="002112CA"/>
    <w:rsid w:val="0021133A"/>
    <w:rsid w:val="00211596"/>
    <w:rsid w:val="00211BDC"/>
    <w:rsid w:val="00215B2A"/>
    <w:rsid w:val="00220491"/>
    <w:rsid w:val="0022262B"/>
    <w:rsid w:val="00222FC2"/>
    <w:rsid w:val="0022374C"/>
    <w:rsid w:val="00227825"/>
    <w:rsid w:val="00230525"/>
    <w:rsid w:val="00232986"/>
    <w:rsid w:val="00233E0A"/>
    <w:rsid w:val="00235442"/>
    <w:rsid w:val="00235A1E"/>
    <w:rsid w:val="002410F2"/>
    <w:rsid w:val="00241558"/>
    <w:rsid w:val="002428C8"/>
    <w:rsid w:val="0024323F"/>
    <w:rsid w:val="00245747"/>
    <w:rsid w:val="0024609D"/>
    <w:rsid w:val="00246104"/>
    <w:rsid w:val="002467AA"/>
    <w:rsid w:val="00246DA5"/>
    <w:rsid w:val="002470D7"/>
    <w:rsid w:val="00247CFF"/>
    <w:rsid w:val="0025196F"/>
    <w:rsid w:val="00251B5D"/>
    <w:rsid w:val="0025316D"/>
    <w:rsid w:val="00253B7A"/>
    <w:rsid w:val="00255031"/>
    <w:rsid w:val="002558FE"/>
    <w:rsid w:val="00256FF8"/>
    <w:rsid w:val="00261B50"/>
    <w:rsid w:val="00261DD4"/>
    <w:rsid w:val="00262580"/>
    <w:rsid w:val="00263ACA"/>
    <w:rsid w:val="00264213"/>
    <w:rsid w:val="0026650F"/>
    <w:rsid w:val="002674B4"/>
    <w:rsid w:val="002702D0"/>
    <w:rsid w:val="00270AE8"/>
    <w:rsid w:val="00270E10"/>
    <w:rsid w:val="00270ED6"/>
    <w:rsid w:val="00271392"/>
    <w:rsid w:val="00271A34"/>
    <w:rsid w:val="00273990"/>
    <w:rsid w:val="00274DBF"/>
    <w:rsid w:val="002761D4"/>
    <w:rsid w:val="00276F15"/>
    <w:rsid w:val="002770E5"/>
    <w:rsid w:val="00277767"/>
    <w:rsid w:val="00283C56"/>
    <w:rsid w:val="002852BF"/>
    <w:rsid w:val="00285715"/>
    <w:rsid w:val="002869E0"/>
    <w:rsid w:val="0028734F"/>
    <w:rsid w:val="0028752F"/>
    <w:rsid w:val="00287819"/>
    <w:rsid w:val="00287A7E"/>
    <w:rsid w:val="00290643"/>
    <w:rsid w:val="002908BB"/>
    <w:rsid w:val="002909DD"/>
    <w:rsid w:val="00291B8B"/>
    <w:rsid w:val="00293DF5"/>
    <w:rsid w:val="00293E4E"/>
    <w:rsid w:val="00294310"/>
    <w:rsid w:val="00294CFB"/>
    <w:rsid w:val="00294FBC"/>
    <w:rsid w:val="002969CF"/>
    <w:rsid w:val="00296FD1"/>
    <w:rsid w:val="002A1C9E"/>
    <w:rsid w:val="002A1EAF"/>
    <w:rsid w:val="002A40A6"/>
    <w:rsid w:val="002A60F0"/>
    <w:rsid w:val="002A64DC"/>
    <w:rsid w:val="002A6A94"/>
    <w:rsid w:val="002A6B29"/>
    <w:rsid w:val="002A7A0D"/>
    <w:rsid w:val="002B0296"/>
    <w:rsid w:val="002B0F59"/>
    <w:rsid w:val="002B1281"/>
    <w:rsid w:val="002B133B"/>
    <w:rsid w:val="002B16F1"/>
    <w:rsid w:val="002B31A7"/>
    <w:rsid w:val="002B41AB"/>
    <w:rsid w:val="002B43CB"/>
    <w:rsid w:val="002B4D1F"/>
    <w:rsid w:val="002B5212"/>
    <w:rsid w:val="002B642F"/>
    <w:rsid w:val="002C175A"/>
    <w:rsid w:val="002C3BC9"/>
    <w:rsid w:val="002C4098"/>
    <w:rsid w:val="002C45B2"/>
    <w:rsid w:val="002C4747"/>
    <w:rsid w:val="002C4AF6"/>
    <w:rsid w:val="002C635E"/>
    <w:rsid w:val="002C70B9"/>
    <w:rsid w:val="002C768E"/>
    <w:rsid w:val="002D0660"/>
    <w:rsid w:val="002D0A3F"/>
    <w:rsid w:val="002D118B"/>
    <w:rsid w:val="002D1A20"/>
    <w:rsid w:val="002D24FA"/>
    <w:rsid w:val="002D32B6"/>
    <w:rsid w:val="002D3504"/>
    <w:rsid w:val="002D3898"/>
    <w:rsid w:val="002D4FB7"/>
    <w:rsid w:val="002D500A"/>
    <w:rsid w:val="002D6878"/>
    <w:rsid w:val="002D693B"/>
    <w:rsid w:val="002D7955"/>
    <w:rsid w:val="002E12B8"/>
    <w:rsid w:val="002E2130"/>
    <w:rsid w:val="002E4A7E"/>
    <w:rsid w:val="002E517A"/>
    <w:rsid w:val="002E7F18"/>
    <w:rsid w:val="002F1B53"/>
    <w:rsid w:val="002F2F69"/>
    <w:rsid w:val="002F4A9A"/>
    <w:rsid w:val="002F4C99"/>
    <w:rsid w:val="002F5B20"/>
    <w:rsid w:val="002F63DD"/>
    <w:rsid w:val="002F6CDA"/>
    <w:rsid w:val="002F6EB0"/>
    <w:rsid w:val="00300ED4"/>
    <w:rsid w:val="00301DFE"/>
    <w:rsid w:val="00304385"/>
    <w:rsid w:val="00306F56"/>
    <w:rsid w:val="003076ED"/>
    <w:rsid w:val="00310F17"/>
    <w:rsid w:val="003117F7"/>
    <w:rsid w:val="0031306C"/>
    <w:rsid w:val="003202CD"/>
    <w:rsid w:val="00320CD8"/>
    <w:rsid w:val="00320E3B"/>
    <w:rsid w:val="003211E2"/>
    <w:rsid w:val="00321765"/>
    <w:rsid w:val="00321924"/>
    <w:rsid w:val="00321F25"/>
    <w:rsid w:val="00322473"/>
    <w:rsid w:val="00322B46"/>
    <w:rsid w:val="00324873"/>
    <w:rsid w:val="00324C88"/>
    <w:rsid w:val="00324D9C"/>
    <w:rsid w:val="003269A7"/>
    <w:rsid w:val="00327380"/>
    <w:rsid w:val="003279A7"/>
    <w:rsid w:val="00327A24"/>
    <w:rsid w:val="0033089B"/>
    <w:rsid w:val="00332785"/>
    <w:rsid w:val="0033287C"/>
    <w:rsid w:val="00334D82"/>
    <w:rsid w:val="00335277"/>
    <w:rsid w:val="00336149"/>
    <w:rsid w:val="00336648"/>
    <w:rsid w:val="0033777E"/>
    <w:rsid w:val="003418A3"/>
    <w:rsid w:val="003418C2"/>
    <w:rsid w:val="00343322"/>
    <w:rsid w:val="00345ADE"/>
    <w:rsid w:val="003478D0"/>
    <w:rsid w:val="003517AF"/>
    <w:rsid w:val="0035189F"/>
    <w:rsid w:val="003531B4"/>
    <w:rsid w:val="0035431D"/>
    <w:rsid w:val="00354FE6"/>
    <w:rsid w:val="00355796"/>
    <w:rsid w:val="0035655D"/>
    <w:rsid w:val="00361E71"/>
    <w:rsid w:val="00363123"/>
    <w:rsid w:val="00365E15"/>
    <w:rsid w:val="003661D9"/>
    <w:rsid w:val="00372947"/>
    <w:rsid w:val="00372D20"/>
    <w:rsid w:val="00373F6F"/>
    <w:rsid w:val="00374909"/>
    <w:rsid w:val="00374ECA"/>
    <w:rsid w:val="003770B4"/>
    <w:rsid w:val="0038088B"/>
    <w:rsid w:val="00380C83"/>
    <w:rsid w:val="0038144B"/>
    <w:rsid w:val="0038185E"/>
    <w:rsid w:val="00381EEB"/>
    <w:rsid w:val="0038239E"/>
    <w:rsid w:val="00383779"/>
    <w:rsid w:val="00383C1A"/>
    <w:rsid w:val="00384D71"/>
    <w:rsid w:val="00384E3D"/>
    <w:rsid w:val="003857D3"/>
    <w:rsid w:val="00387033"/>
    <w:rsid w:val="0039184E"/>
    <w:rsid w:val="00391D0A"/>
    <w:rsid w:val="003935D9"/>
    <w:rsid w:val="00394BD2"/>
    <w:rsid w:val="00397DB5"/>
    <w:rsid w:val="003A102E"/>
    <w:rsid w:val="003A2295"/>
    <w:rsid w:val="003A27B5"/>
    <w:rsid w:val="003A2A7F"/>
    <w:rsid w:val="003A3244"/>
    <w:rsid w:val="003A3953"/>
    <w:rsid w:val="003A686E"/>
    <w:rsid w:val="003A7F4E"/>
    <w:rsid w:val="003B145E"/>
    <w:rsid w:val="003B300D"/>
    <w:rsid w:val="003B348D"/>
    <w:rsid w:val="003B36C2"/>
    <w:rsid w:val="003B48AD"/>
    <w:rsid w:val="003C0877"/>
    <w:rsid w:val="003C0EC5"/>
    <w:rsid w:val="003C1721"/>
    <w:rsid w:val="003C29FB"/>
    <w:rsid w:val="003C3DC7"/>
    <w:rsid w:val="003C717A"/>
    <w:rsid w:val="003D0AF9"/>
    <w:rsid w:val="003D1435"/>
    <w:rsid w:val="003D2FE0"/>
    <w:rsid w:val="003D3B65"/>
    <w:rsid w:val="003D4490"/>
    <w:rsid w:val="003D48CE"/>
    <w:rsid w:val="003D5E5A"/>
    <w:rsid w:val="003D73F3"/>
    <w:rsid w:val="003E3BDA"/>
    <w:rsid w:val="003E3FC6"/>
    <w:rsid w:val="003E475C"/>
    <w:rsid w:val="003E593C"/>
    <w:rsid w:val="003E5A79"/>
    <w:rsid w:val="003E6547"/>
    <w:rsid w:val="003E6798"/>
    <w:rsid w:val="003F0E2C"/>
    <w:rsid w:val="003F2E93"/>
    <w:rsid w:val="003F3B79"/>
    <w:rsid w:val="003F4DED"/>
    <w:rsid w:val="003F54E1"/>
    <w:rsid w:val="003F5668"/>
    <w:rsid w:val="004006EB"/>
    <w:rsid w:val="00401F03"/>
    <w:rsid w:val="004025D6"/>
    <w:rsid w:val="00405510"/>
    <w:rsid w:val="0040665C"/>
    <w:rsid w:val="00410E40"/>
    <w:rsid w:val="00411690"/>
    <w:rsid w:val="004140C2"/>
    <w:rsid w:val="004155FF"/>
    <w:rsid w:val="00420887"/>
    <w:rsid w:val="00420993"/>
    <w:rsid w:val="00420C5E"/>
    <w:rsid w:val="00420FBC"/>
    <w:rsid w:val="0042351B"/>
    <w:rsid w:val="0042362B"/>
    <w:rsid w:val="00423AE7"/>
    <w:rsid w:val="00423B05"/>
    <w:rsid w:val="00423BFA"/>
    <w:rsid w:val="004273FA"/>
    <w:rsid w:val="0043220E"/>
    <w:rsid w:val="004334DA"/>
    <w:rsid w:val="00442516"/>
    <w:rsid w:val="00444136"/>
    <w:rsid w:val="004448A7"/>
    <w:rsid w:val="0044500A"/>
    <w:rsid w:val="00446350"/>
    <w:rsid w:val="0045122A"/>
    <w:rsid w:val="004532E8"/>
    <w:rsid w:val="0045425F"/>
    <w:rsid w:val="00456C76"/>
    <w:rsid w:val="00460D29"/>
    <w:rsid w:val="004617C9"/>
    <w:rsid w:val="00461DF7"/>
    <w:rsid w:val="00462CF4"/>
    <w:rsid w:val="00463120"/>
    <w:rsid w:val="00463A33"/>
    <w:rsid w:val="00464425"/>
    <w:rsid w:val="00467C0B"/>
    <w:rsid w:val="0047012B"/>
    <w:rsid w:val="00472BE9"/>
    <w:rsid w:val="00472D34"/>
    <w:rsid w:val="00474211"/>
    <w:rsid w:val="004777BA"/>
    <w:rsid w:val="004779ED"/>
    <w:rsid w:val="0048026D"/>
    <w:rsid w:val="00482580"/>
    <w:rsid w:val="00483E6B"/>
    <w:rsid w:val="0048477C"/>
    <w:rsid w:val="004848EC"/>
    <w:rsid w:val="00485490"/>
    <w:rsid w:val="00485723"/>
    <w:rsid w:val="00485AC8"/>
    <w:rsid w:val="00487CE5"/>
    <w:rsid w:val="004905E5"/>
    <w:rsid w:val="00492606"/>
    <w:rsid w:val="00492EDC"/>
    <w:rsid w:val="00493520"/>
    <w:rsid w:val="00495C50"/>
    <w:rsid w:val="00496754"/>
    <w:rsid w:val="00496EDC"/>
    <w:rsid w:val="00497165"/>
    <w:rsid w:val="004A1871"/>
    <w:rsid w:val="004A1B41"/>
    <w:rsid w:val="004A24FC"/>
    <w:rsid w:val="004A337B"/>
    <w:rsid w:val="004A3B9A"/>
    <w:rsid w:val="004A41A1"/>
    <w:rsid w:val="004A7DD0"/>
    <w:rsid w:val="004B0B68"/>
    <w:rsid w:val="004B165B"/>
    <w:rsid w:val="004B19DF"/>
    <w:rsid w:val="004B38A9"/>
    <w:rsid w:val="004B3A4F"/>
    <w:rsid w:val="004B3B2C"/>
    <w:rsid w:val="004B416C"/>
    <w:rsid w:val="004B4BF3"/>
    <w:rsid w:val="004B4FE7"/>
    <w:rsid w:val="004C0075"/>
    <w:rsid w:val="004C4AF2"/>
    <w:rsid w:val="004C4BA0"/>
    <w:rsid w:val="004C5B0E"/>
    <w:rsid w:val="004C617A"/>
    <w:rsid w:val="004C6334"/>
    <w:rsid w:val="004C7030"/>
    <w:rsid w:val="004D05E0"/>
    <w:rsid w:val="004D1B24"/>
    <w:rsid w:val="004D21EB"/>
    <w:rsid w:val="004D3354"/>
    <w:rsid w:val="004D60EF"/>
    <w:rsid w:val="004D6D20"/>
    <w:rsid w:val="004D75B6"/>
    <w:rsid w:val="004E0A3B"/>
    <w:rsid w:val="004E12FC"/>
    <w:rsid w:val="004E17F3"/>
    <w:rsid w:val="004E1AC3"/>
    <w:rsid w:val="004E274E"/>
    <w:rsid w:val="004E37DD"/>
    <w:rsid w:val="004E3B6B"/>
    <w:rsid w:val="004E6E0F"/>
    <w:rsid w:val="004E79E6"/>
    <w:rsid w:val="004F0753"/>
    <w:rsid w:val="004F0D5B"/>
    <w:rsid w:val="004F1B62"/>
    <w:rsid w:val="004F231F"/>
    <w:rsid w:val="004F2F7E"/>
    <w:rsid w:val="004F3F3E"/>
    <w:rsid w:val="004F4521"/>
    <w:rsid w:val="004F4FCE"/>
    <w:rsid w:val="004F5326"/>
    <w:rsid w:val="004F5694"/>
    <w:rsid w:val="004F64F7"/>
    <w:rsid w:val="00500F29"/>
    <w:rsid w:val="00502702"/>
    <w:rsid w:val="00502ED7"/>
    <w:rsid w:val="005038C6"/>
    <w:rsid w:val="00503BDE"/>
    <w:rsid w:val="0050485F"/>
    <w:rsid w:val="005060B8"/>
    <w:rsid w:val="005062FC"/>
    <w:rsid w:val="00506D54"/>
    <w:rsid w:val="00506F08"/>
    <w:rsid w:val="0050786F"/>
    <w:rsid w:val="00507CBD"/>
    <w:rsid w:val="00510656"/>
    <w:rsid w:val="00510971"/>
    <w:rsid w:val="00511A24"/>
    <w:rsid w:val="0051248E"/>
    <w:rsid w:val="00516BC2"/>
    <w:rsid w:val="00516ED3"/>
    <w:rsid w:val="00517232"/>
    <w:rsid w:val="00517590"/>
    <w:rsid w:val="005200EA"/>
    <w:rsid w:val="00520817"/>
    <w:rsid w:val="00520E98"/>
    <w:rsid w:val="005213E2"/>
    <w:rsid w:val="00521460"/>
    <w:rsid w:val="00521BF3"/>
    <w:rsid w:val="00522FEF"/>
    <w:rsid w:val="005245FD"/>
    <w:rsid w:val="0052494A"/>
    <w:rsid w:val="00525DFA"/>
    <w:rsid w:val="00526089"/>
    <w:rsid w:val="0052658B"/>
    <w:rsid w:val="005265BC"/>
    <w:rsid w:val="0052688E"/>
    <w:rsid w:val="00530902"/>
    <w:rsid w:val="00530C85"/>
    <w:rsid w:val="00531093"/>
    <w:rsid w:val="00531836"/>
    <w:rsid w:val="00531C61"/>
    <w:rsid w:val="005326A1"/>
    <w:rsid w:val="00533438"/>
    <w:rsid w:val="00533AEE"/>
    <w:rsid w:val="00533B44"/>
    <w:rsid w:val="005357BF"/>
    <w:rsid w:val="0053585D"/>
    <w:rsid w:val="00535E08"/>
    <w:rsid w:val="00536B97"/>
    <w:rsid w:val="00537327"/>
    <w:rsid w:val="00540C1A"/>
    <w:rsid w:val="0054108C"/>
    <w:rsid w:val="00542F2E"/>
    <w:rsid w:val="00542FB2"/>
    <w:rsid w:val="00544052"/>
    <w:rsid w:val="00547582"/>
    <w:rsid w:val="00550555"/>
    <w:rsid w:val="00552D09"/>
    <w:rsid w:val="00552F98"/>
    <w:rsid w:val="00553427"/>
    <w:rsid w:val="0055416B"/>
    <w:rsid w:val="00554C55"/>
    <w:rsid w:val="005579D3"/>
    <w:rsid w:val="00560001"/>
    <w:rsid w:val="00563837"/>
    <w:rsid w:val="00565DD3"/>
    <w:rsid w:val="005662A0"/>
    <w:rsid w:val="00566C40"/>
    <w:rsid w:val="005700E6"/>
    <w:rsid w:val="00571E40"/>
    <w:rsid w:val="00571E99"/>
    <w:rsid w:val="00572F92"/>
    <w:rsid w:val="00574A29"/>
    <w:rsid w:val="005767B7"/>
    <w:rsid w:val="0057713A"/>
    <w:rsid w:val="005779E1"/>
    <w:rsid w:val="00577CBD"/>
    <w:rsid w:val="00581713"/>
    <w:rsid w:val="00581A1D"/>
    <w:rsid w:val="00582355"/>
    <w:rsid w:val="00582C54"/>
    <w:rsid w:val="00583EB5"/>
    <w:rsid w:val="00584600"/>
    <w:rsid w:val="00586417"/>
    <w:rsid w:val="00590D90"/>
    <w:rsid w:val="00591561"/>
    <w:rsid w:val="00592015"/>
    <w:rsid w:val="00594330"/>
    <w:rsid w:val="0059494F"/>
    <w:rsid w:val="005956E1"/>
    <w:rsid w:val="005A11ED"/>
    <w:rsid w:val="005A1625"/>
    <w:rsid w:val="005A1724"/>
    <w:rsid w:val="005A2EC0"/>
    <w:rsid w:val="005A349C"/>
    <w:rsid w:val="005A4D72"/>
    <w:rsid w:val="005A6CDC"/>
    <w:rsid w:val="005A7466"/>
    <w:rsid w:val="005B0DC5"/>
    <w:rsid w:val="005B1414"/>
    <w:rsid w:val="005B1EAD"/>
    <w:rsid w:val="005B3353"/>
    <w:rsid w:val="005B3359"/>
    <w:rsid w:val="005B4F12"/>
    <w:rsid w:val="005B5265"/>
    <w:rsid w:val="005B6B44"/>
    <w:rsid w:val="005B75B2"/>
    <w:rsid w:val="005C0383"/>
    <w:rsid w:val="005C1BCF"/>
    <w:rsid w:val="005C1E70"/>
    <w:rsid w:val="005C2877"/>
    <w:rsid w:val="005C292D"/>
    <w:rsid w:val="005C2FB4"/>
    <w:rsid w:val="005C36B7"/>
    <w:rsid w:val="005C3E90"/>
    <w:rsid w:val="005C4EBE"/>
    <w:rsid w:val="005C522C"/>
    <w:rsid w:val="005C7595"/>
    <w:rsid w:val="005C7914"/>
    <w:rsid w:val="005C7E61"/>
    <w:rsid w:val="005C7F6E"/>
    <w:rsid w:val="005D0A11"/>
    <w:rsid w:val="005D2869"/>
    <w:rsid w:val="005D52B0"/>
    <w:rsid w:val="005D5943"/>
    <w:rsid w:val="005D6603"/>
    <w:rsid w:val="005D6DE4"/>
    <w:rsid w:val="005D701C"/>
    <w:rsid w:val="005E1CD6"/>
    <w:rsid w:val="005E229D"/>
    <w:rsid w:val="005E46B0"/>
    <w:rsid w:val="005E49F5"/>
    <w:rsid w:val="005E4F81"/>
    <w:rsid w:val="005E5E99"/>
    <w:rsid w:val="005E5F0F"/>
    <w:rsid w:val="005E745F"/>
    <w:rsid w:val="005F02DD"/>
    <w:rsid w:val="005F15F8"/>
    <w:rsid w:val="005F2CF7"/>
    <w:rsid w:val="005F2F9B"/>
    <w:rsid w:val="005F3B37"/>
    <w:rsid w:val="005F43CD"/>
    <w:rsid w:val="00600794"/>
    <w:rsid w:val="00600ECA"/>
    <w:rsid w:val="0060109E"/>
    <w:rsid w:val="00601336"/>
    <w:rsid w:val="00601665"/>
    <w:rsid w:val="006052D1"/>
    <w:rsid w:val="00605921"/>
    <w:rsid w:val="00606189"/>
    <w:rsid w:val="0060699A"/>
    <w:rsid w:val="00606B32"/>
    <w:rsid w:val="0060734F"/>
    <w:rsid w:val="00611BAC"/>
    <w:rsid w:val="0061201B"/>
    <w:rsid w:val="006127AA"/>
    <w:rsid w:val="00612CC8"/>
    <w:rsid w:val="00612F90"/>
    <w:rsid w:val="006175E2"/>
    <w:rsid w:val="00617A82"/>
    <w:rsid w:val="00622473"/>
    <w:rsid w:val="006231BC"/>
    <w:rsid w:val="00624323"/>
    <w:rsid w:val="006246D1"/>
    <w:rsid w:val="00624DDC"/>
    <w:rsid w:val="0062674E"/>
    <w:rsid w:val="006303C9"/>
    <w:rsid w:val="0063222B"/>
    <w:rsid w:val="006323C0"/>
    <w:rsid w:val="00632B3A"/>
    <w:rsid w:val="006374BC"/>
    <w:rsid w:val="006376DF"/>
    <w:rsid w:val="00641723"/>
    <w:rsid w:val="006439A8"/>
    <w:rsid w:val="0064414B"/>
    <w:rsid w:val="00644C14"/>
    <w:rsid w:val="00644D8F"/>
    <w:rsid w:val="00645AAA"/>
    <w:rsid w:val="00646091"/>
    <w:rsid w:val="00651EBC"/>
    <w:rsid w:val="006524BC"/>
    <w:rsid w:val="00655124"/>
    <w:rsid w:val="00655BFC"/>
    <w:rsid w:val="006614C1"/>
    <w:rsid w:val="0066312A"/>
    <w:rsid w:val="00663A65"/>
    <w:rsid w:val="00663DBB"/>
    <w:rsid w:val="006653A4"/>
    <w:rsid w:val="0066616A"/>
    <w:rsid w:val="00666564"/>
    <w:rsid w:val="006666E7"/>
    <w:rsid w:val="00667300"/>
    <w:rsid w:val="00667458"/>
    <w:rsid w:val="00670119"/>
    <w:rsid w:val="00672C8C"/>
    <w:rsid w:val="00673E6A"/>
    <w:rsid w:val="0067445D"/>
    <w:rsid w:val="0067482D"/>
    <w:rsid w:val="00675464"/>
    <w:rsid w:val="0067699B"/>
    <w:rsid w:val="00676A53"/>
    <w:rsid w:val="00677DD0"/>
    <w:rsid w:val="006809E2"/>
    <w:rsid w:val="00680D5E"/>
    <w:rsid w:val="00680FF7"/>
    <w:rsid w:val="00683486"/>
    <w:rsid w:val="00683E8A"/>
    <w:rsid w:val="006844A4"/>
    <w:rsid w:val="0068520B"/>
    <w:rsid w:val="00691600"/>
    <w:rsid w:val="006919BA"/>
    <w:rsid w:val="00692260"/>
    <w:rsid w:val="0069238B"/>
    <w:rsid w:val="00693047"/>
    <w:rsid w:val="0069536B"/>
    <w:rsid w:val="006968E6"/>
    <w:rsid w:val="0069785E"/>
    <w:rsid w:val="006A09CA"/>
    <w:rsid w:val="006A0DFF"/>
    <w:rsid w:val="006A22BF"/>
    <w:rsid w:val="006A2491"/>
    <w:rsid w:val="006A3197"/>
    <w:rsid w:val="006A5AF4"/>
    <w:rsid w:val="006A60DD"/>
    <w:rsid w:val="006A6135"/>
    <w:rsid w:val="006A655E"/>
    <w:rsid w:val="006A7F73"/>
    <w:rsid w:val="006B0F5B"/>
    <w:rsid w:val="006B177F"/>
    <w:rsid w:val="006B2160"/>
    <w:rsid w:val="006B27F0"/>
    <w:rsid w:val="006B2D58"/>
    <w:rsid w:val="006B3931"/>
    <w:rsid w:val="006B5654"/>
    <w:rsid w:val="006B5D2C"/>
    <w:rsid w:val="006B6037"/>
    <w:rsid w:val="006B7248"/>
    <w:rsid w:val="006C1E9D"/>
    <w:rsid w:val="006C4B32"/>
    <w:rsid w:val="006C4F9F"/>
    <w:rsid w:val="006D102A"/>
    <w:rsid w:val="006D1381"/>
    <w:rsid w:val="006D2C8A"/>
    <w:rsid w:val="006D3073"/>
    <w:rsid w:val="006D31C3"/>
    <w:rsid w:val="006D4BD7"/>
    <w:rsid w:val="006D4DD9"/>
    <w:rsid w:val="006D50A8"/>
    <w:rsid w:val="006D5CF4"/>
    <w:rsid w:val="006D624B"/>
    <w:rsid w:val="006D6681"/>
    <w:rsid w:val="006E0328"/>
    <w:rsid w:val="006E0F14"/>
    <w:rsid w:val="006E18B2"/>
    <w:rsid w:val="006E1AA3"/>
    <w:rsid w:val="006E3830"/>
    <w:rsid w:val="006E39AD"/>
    <w:rsid w:val="006E3A0F"/>
    <w:rsid w:val="006E3A50"/>
    <w:rsid w:val="006E3BD8"/>
    <w:rsid w:val="006E5CAD"/>
    <w:rsid w:val="006E5D77"/>
    <w:rsid w:val="006E6022"/>
    <w:rsid w:val="006E6EF7"/>
    <w:rsid w:val="006E78C1"/>
    <w:rsid w:val="006F0802"/>
    <w:rsid w:val="006F3283"/>
    <w:rsid w:val="006F34F0"/>
    <w:rsid w:val="006F466B"/>
    <w:rsid w:val="006F4D79"/>
    <w:rsid w:val="006F7BDB"/>
    <w:rsid w:val="00700C5D"/>
    <w:rsid w:val="0070138C"/>
    <w:rsid w:val="00701643"/>
    <w:rsid w:val="00702AEF"/>
    <w:rsid w:val="007032E1"/>
    <w:rsid w:val="00703D8B"/>
    <w:rsid w:val="007042EE"/>
    <w:rsid w:val="00705462"/>
    <w:rsid w:val="00706358"/>
    <w:rsid w:val="00706BF8"/>
    <w:rsid w:val="00707C75"/>
    <w:rsid w:val="00707F3A"/>
    <w:rsid w:val="00710589"/>
    <w:rsid w:val="0071076F"/>
    <w:rsid w:val="00711A31"/>
    <w:rsid w:val="00712955"/>
    <w:rsid w:val="00712FC4"/>
    <w:rsid w:val="00713608"/>
    <w:rsid w:val="00713FBA"/>
    <w:rsid w:val="0071456A"/>
    <w:rsid w:val="00715C78"/>
    <w:rsid w:val="00717E3D"/>
    <w:rsid w:val="00721411"/>
    <w:rsid w:val="00723067"/>
    <w:rsid w:val="00723505"/>
    <w:rsid w:val="007248D5"/>
    <w:rsid w:val="00726A15"/>
    <w:rsid w:val="00730541"/>
    <w:rsid w:val="00730CE1"/>
    <w:rsid w:val="00731857"/>
    <w:rsid w:val="007321E6"/>
    <w:rsid w:val="0073248B"/>
    <w:rsid w:val="007326C1"/>
    <w:rsid w:val="00732E4D"/>
    <w:rsid w:val="007339B3"/>
    <w:rsid w:val="00735727"/>
    <w:rsid w:val="00735C1E"/>
    <w:rsid w:val="00735CB0"/>
    <w:rsid w:val="00736C5D"/>
    <w:rsid w:val="007374D3"/>
    <w:rsid w:val="0074189A"/>
    <w:rsid w:val="00742D46"/>
    <w:rsid w:val="007438A1"/>
    <w:rsid w:val="00743B26"/>
    <w:rsid w:val="00744CC2"/>
    <w:rsid w:val="0074698C"/>
    <w:rsid w:val="00750049"/>
    <w:rsid w:val="007504C5"/>
    <w:rsid w:val="007512EE"/>
    <w:rsid w:val="00752AF2"/>
    <w:rsid w:val="0075303F"/>
    <w:rsid w:val="0075359E"/>
    <w:rsid w:val="007535DF"/>
    <w:rsid w:val="00753A51"/>
    <w:rsid w:val="00754AC2"/>
    <w:rsid w:val="00756725"/>
    <w:rsid w:val="00757338"/>
    <w:rsid w:val="00757CE9"/>
    <w:rsid w:val="007631FC"/>
    <w:rsid w:val="00765CC8"/>
    <w:rsid w:val="0077024F"/>
    <w:rsid w:val="0077148D"/>
    <w:rsid w:val="00771F75"/>
    <w:rsid w:val="00772D9B"/>
    <w:rsid w:val="00773D9C"/>
    <w:rsid w:val="0077645A"/>
    <w:rsid w:val="00777CB5"/>
    <w:rsid w:val="00777E22"/>
    <w:rsid w:val="00780984"/>
    <w:rsid w:val="007811E1"/>
    <w:rsid w:val="00781F93"/>
    <w:rsid w:val="0078288B"/>
    <w:rsid w:val="007828B7"/>
    <w:rsid w:val="00783538"/>
    <w:rsid w:val="00784228"/>
    <w:rsid w:val="0078501D"/>
    <w:rsid w:val="00785102"/>
    <w:rsid w:val="0078568D"/>
    <w:rsid w:val="00785C3F"/>
    <w:rsid w:val="0078730D"/>
    <w:rsid w:val="00790A80"/>
    <w:rsid w:val="0079124A"/>
    <w:rsid w:val="00791AA5"/>
    <w:rsid w:val="0079240F"/>
    <w:rsid w:val="00795C1B"/>
    <w:rsid w:val="00797004"/>
    <w:rsid w:val="007976A0"/>
    <w:rsid w:val="007A0068"/>
    <w:rsid w:val="007A0AF3"/>
    <w:rsid w:val="007A11A8"/>
    <w:rsid w:val="007A1A45"/>
    <w:rsid w:val="007A1AC7"/>
    <w:rsid w:val="007A316E"/>
    <w:rsid w:val="007A3817"/>
    <w:rsid w:val="007A3A2B"/>
    <w:rsid w:val="007A42C8"/>
    <w:rsid w:val="007A475D"/>
    <w:rsid w:val="007B047A"/>
    <w:rsid w:val="007B0AAD"/>
    <w:rsid w:val="007B0C25"/>
    <w:rsid w:val="007B11F5"/>
    <w:rsid w:val="007B4D8F"/>
    <w:rsid w:val="007B577E"/>
    <w:rsid w:val="007B6C68"/>
    <w:rsid w:val="007C38DF"/>
    <w:rsid w:val="007C5F1F"/>
    <w:rsid w:val="007C67AE"/>
    <w:rsid w:val="007C708A"/>
    <w:rsid w:val="007C7E29"/>
    <w:rsid w:val="007D136B"/>
    <w:rsid w:val="007D23A0"/>
    <w:rsid w:val="007D319B"/>
    <w:rsid w:val="007D5DC7"/>
    <w:rsid w:val="007D6578"/>
    <w:rsid w:val="007D66AA"/>
    <w:rsid w:val="007D6AF8"/>
    <w:rsid w:val="007D707E"/>
    <w:rsid w:val="007D781E"/>
    <w:rsid w:val="007D7C3A"/>
    <w:rsid w:val="007E0048"/>
    <w:rsid w:val="007E00EE"/>
    <w:rsid w:val="007E1570"/>
    <w:rsid w:val="007E18FA"/>
    <w:rsid w:val="007E32EB"/>
    <w:rsid w:val="007E3A7A"/>
    <w:rsid w:val="007E3FAF"/>
    <w:rsid w:val="007E4EE1"/>
    <w:rsid w:val="007E580D"/>
    <w:rsid w:val="007E768D"/>
    <w:rsid w:val="007F1429"/>
    <w:rsid w:val="007F1F3F"/>
    <w:rsid w:val="007F2DAE"/>
    <w:rsid w:val="007F4957"/>
    <w:rsid w:val="007F589F"/>
    <w:rsid w:val="007F5D47"/>
    <w:rsid w:val="007F6FA1"/>
    <w:rsid w:val="007F7215"/>
    <w:rsid w:val="007F75FE"/>
    <w:rsid w:val="00800739"/>
    <w:rsid w:val="0080139D"/>
    <w:rsid w:val="00801F73"/>
    <w:rsid w:val="00802B84"/>
    <w:rsid w:val="00803797"/>
    <w:rsid w:val="00803FC8"/>
    <w:rsid w:val="008054DA"/>
    <w:rsid w:val="0080759E"/>
    <w:rsid w:val="00807B8F"/>
    <w:rsid w:val="008104CD"/>
    <w:rsid w:val="008105FD"/>
    <w:rsid w:val="008106A4"/>
    <w:rsid w:val="00811644"/>
    <w:rsid w:val="008117CA"/>
    <w:rsid w:val="00812292"/>
    <w:rsid w:val="008136F3"/>
    <w:rsid w:val="00813C88"/>
    <w:rsid w:val="008143AD"/>
    <w:rsid w:val="00814696"/>
    <w:rsid w:val="00814C97"/>
    <w:rsid w:val="00815820"/>
    <w:rsid w:val="00815C3A"/>
    <w:rsid w:val="0082021A"/>
    <w:rsid w:val="00820C23"/>
    <w:rsid w:val="008219C9"/>
    <w:rsid w:val="00821AA0"/>
    <w:rsid w:val="0082236F"/>
    <w:rsid w:val="00822E67"/>
    <w:rsid w:val="008242A0"/>
    <w:rsid w:val="0082469D"/>
    <w:rsid w:val="00825256"/>
    <w:rsid w:val="008254E6"/>
    <w:rsid w:val="008274BE"/>
    <w:rsid w:val="008312A2"/>
    <w:rsid w:val="00831667"/>
    <w:rsid w:val="0083177A"/>
    <w:rsid w:val="00833800"/>
    <w:rsid w:val="00833D93"/>
    <w:rsid w:val="00834D4A"/>
    <w:rsid w:val="00834F0A"/>
    <w:rsid w:val="00835C5E"/>
    <w:rsid w:val="0083708E"/>
    <w:rsid w:val="008372E0"/>
    <w:rsid w:val="00837ADC"/>
    <w:rsid w:val="00840721"/>
    <w:rsid w:val="00841A84"/>
    <w:rsid w:val="00843D1D"/>
    <w:rsid w:val="0084523B"/>
    <w:rsid w:val="00845414"/>
    <w:rsid w:val="00845CBD"/>
    <w:rsid w:val="0084627F"/>
    <w:rsid w:val="008466BE"/>
    <w:rsid w:val="008477D3"/>
    <w:rsid w:val="00850651"/>
    <w:rsid w:val="0085066F"/>
    <w:rsid w:val="00850687"/>
    <w:rsid w:val="008506FA"/>
    <w:rsid w:val="008507AF"/>
    <w:rsid w:val="008517FA"/>
    <w:rsid w:val="008522FD"/>
    <w:rsid w:val="008529B9"/>
    <w:rsid w:val="00853E65"/>
    <w:rsid w:val="0085616F"/>
    <w:rsid w:val="0085628E"/>
    <w:rsid w:val="00857183"/>
    <w:rsid w:val="00857CB2"/>
    <w:rsid w:val="00857DBF"/>
    <w:rsid w:val="00857FAE"/>
    <w:rsid w:val="00857FEA"/>
    <w:rsid w:val="00860633"/>
    <w:rsid w:val="0086234A"/>
    <w:rsid w:val="0086435E"/>
    <w:rsid w:val="00864D91"/>
    <w:rsid w:val="00864D9E"/>
    <w:rsid w:val="00865144"/>
    <w:rsid w:val="00867396"/>
    <w:rsid w:val="00871623"/>
    <w:rsid w:val="00871652"/>
    <w:rsid w:val="008730A4"/>
    <w:rsid w:val="00875396"/>
    <w:rsid w:val="00875C3D"/>
    <w:rsid w:val="00875D0A"/>
    <w:rsid w:val="0088340A"/>
    <w:rsid w:val="00883B61"/>
    <w:rsid w:val="00883C8C"/>
    <w:rsid w:val="008847A5"/>
    <w:rsid w:val="0088483B"/>
    <w:rsid w:val="008867F5"/>
    <w:rsid w:val="008878FA"/>
    <w:rsid w:val="00887EF2"/>
    <w:rsid w:val="00891385"/>
    <w:rsid w:val="00892FF6"/>
    <w:rsid w:val="00893FAA"/>
    <w:rsid w:val="0089431B"/>
    <w:rsid w:val="008952A9"/>
    <w:rsid w:val="0089541C"/>
    <w:rsid w:val="00897C3E"/>
    <w:rsid w:val="00897C5D"/>
    <w:rsid w:val="008A0CD0"/>
    <w:rsid w:val="008A0CF4"/>
    <w:rsid w:val="008A15D2"/>
    <w:rsid w:val="008A254D"/>
    <w:rsid w:val="008A2672"/>
    <w:rsid w:val="008A2B8B"/>
    <w:rsid w:val="008A3679"/>
    <w:rsid w:val="008A4D7C"/>
    <w:rsid w:val="008A519F"/>
    <w:rsid w:val="008A69AC"/>
    <w:rsid w:val="008A730C"/>
    <w:rsid w:val="008A73CA"/>
    <w:rsid w:val="008A7816"/>
    <w:rsid w:val="008A7EC4"/>
    <w:rsid w:val="008B0669"/>
    <w:rsid w:val="008B0BE7"/>
    <w:rsid w:val="008B0D40"/>
    <w:rsid w:val="008B0EFB"/>
    <w:rsid w:val="008B2545"/>
    <w:rsid w:val="008B3EC3"/>
    <w:rsid w:val="008B441D"/>
    <w:rsid w:val="008B581E"/>
    <w:rsid w:val="008B6684"/>
    <w:rsid w:val="008C0442"/>
    <w:rsid w:val="008C08EC"/>
    <w:rsid w:val="008C0D81"/>
    <w:rsid w:val="008C61B6"/>
    <w:rsid w:val="008C68DB"/>
    <w:rsid w:val="008C7334"/>
    <w:rsid w:val="008D16FD"/>
    <w:rsid w:val="008D1D47"/>
    <w:rsid w:val="008D1DC4"/>
    <w:rsid w:val="008D253F"/>
    <w:rsid w:val="008D2B89"/>
    <w:rsid w:val="008D2E1C"/>
    <w:rsid w:val="008D4533"/>
    <w:rsid w:val="008D507B"/>
    <w:rsid w:val="008D75AB"/>
    <w:rsid w:val="008E1FAE"/>
    <w:rsid w:val="008E423A"/>
    <w:rsid w:val="008E4269"/>
    <w:rsid w:val="008E59E1"/>
    <w:rsid w:val="008E5DE2"/>
    <w:rsid w:val="008E6C92"/>
    <w:rsid w:val="008E702E"/>
    <w:rsid w:val="008E734B"/>
    <w:rsid w:val="008F4612"/>
    <w:rsid w:val="008F5F89"/>
    <w:rsid w:val="008F7BC4"/>
    <w:rsid w:val="009009AD"/>
    <w:rsid w:val="00902567"/>
    <w:rsid w:val="00902B62"/>
    <w:rsid w:val="009030BD"/>
    <w:rsid w:val="00903818"/>
    <w:rsid w:val="00903FEB"/>
    <w:rsid w:val="00904D73"/>
    <w:rsid w:val="0090557B"/>
    <w:rsid w:val="00906CCB"/>
    <w:rsid w:val="00910588"/>
    <w:rsid w:val="00911150"/>
    <w:rsid w:val="009124BF"/>
    <w:rsid w:val="009135C3"/>
    <w:rsid w:val="00913E54"/>
    <w:rsid w:val="0091408B"/>
    <w:rsid w:val="009150D2"/>
    <w:rsid w:val="0091519D"/>
    <w:rsid w:val="0091522F"/>
    <w:rsid w:val="0091549A"/>
    <w:rsid w:val="00917E18"/>
    <w:rsid w:val="00920E7D"/>
    <w:rsid w:val="009218AA"/>
    <w:rsid w:val="00922202"/>
    <w:rsid w:val="0092250E"/>
    <w:rsid w:val="00923C83"/>
    <w:rsid w:val="00924D19"/>
    <w:rsid w:val="00930790"/>
    <w:rsid w:val="00931C27"/>
    <w:rsid w:val="0093274D"/>
    <w:rsid w:val="009332C5"/>
    <w:rsid w:val="009352D3"/>
    <w:rsid w:val="0093670E"/>
    <w:rsid w:val="00936DEA"/>
    <w:rsid w:val="00937171"/>
    <w:rsid w:val="0094347C"/>
    <w:rsid w:val="0094391D"/>
    <w:rsid w:val="00943EB1"/>
    <w:rsid w:val="00945097"/>
    <w:rsid w:val="00945BD2"/>
    <w:rsid w:val="00945E35"/>
    <w:rsid w:val="00947E5A"/>
    <w:rsid w:val="0095190A"/>
    <w:rsid w:val="00951DB1"/>
    <w:rsid w:val="0095276A"/>
    <w:rsid w:val="00952DD3"/>
    <w:rsid w:val="00954797"/>
    <w:rsid w:val="0095481C"/>
    <w:rsid w:val="00954FEF"/>
    <w:rsid w:val="00955915"/>
    <w:rsid w:val="00956943"/>
    <w:rsid w:val="00956D08"/>
    <w:rsid w:val="009603D3"/>
    <w:rsid w:val="0096043E"/>
    <w:rsid w:val="00961655"/>
    <w:rsid w:val="00961A9C"/>
    <w:rsid w:val="00961B10"/>
    <w:rsid w:val="0096269E"/>
    <w:rsid w:val="009638F0"/>
    <w:rsid w:val="00963ADF"/>
    <w:rsid w:val="00964FA2"/>
    <w:rsid w:val="00965A22"/>
    <w:rsid w:val="0096688C"/>
    <w:rsid w:val="009673C4"/>
    <w:rsid w:val="009674FF"/>
    <w:rsid w:val="00967A9F"/>
    <w:rsid w:val="009711EB"/>
    <w:rsid w:val="009713C5"/>
    <w:rsid w:val="00971BDB"/>
    <w:rsid w:val="00971E94"/>
    <w:rsid w:val="009724E4"/>
    <w:rsid w:val="00973465"/>
    <w:rsid w:val="0097352E"/>
    <w:rsid w:val="009758CC"/>
    <w:rsid w:val="00975F3E"/>
    <w:rsid w:val="00976218"/>
    <w:rsid w:val="00976A7D"/>
    <w:rsid w:val="009801AD"/>
    <w:rsid w:val="00981707"/>
    <w:rsid w:val="00981861"/>
    <w:rsid w:val="00981A64"/>
    <w:rsid w:val="00982559"/>
    <w:rsid w:val="00985723"/>
    <w:rsid w:val="00985A32"/>
    <w:rsid w:val="009864D9"/>
    <w:rsid w:val="00986F5E"/>
    <w:rsid w:val="009870A2"/>
    <w:rsid w:val="0098734A"/>
    <w:rsid w:val="009902B8"/>
    <w:rsid w:val="0099266F"/>
    <w:rsid w:val="009936C6"/>
    <w:rsid w:val="00996BA3"/>
    <w:rsid w:val="00997BAD"/>
    <w:rsid w:val="009A0619"/>
    <w:rsid w:val="009A0B4A"/>
    <w:rsid w:val="009A17A4"/>
    <w:rsid w:val="009A19F0"/>
    <w:rsid w:val="009A25D7"/>
    <w:rsid w:val="009A303E"/>
    <w:rsid w:val="009A3F5B"/>
    <w:rsid w:val="009A4506"/>
    <w:rsid w:val="009A780D"/>
    <w:rsid w:val="009A78FA"/>
    <w:rsid w:val="009B02AC"/>
    <w:rsid w:val="009B02DF"/>
    <w:rsid w:val="009B139F"/>
    <w:rsid w:val="009B1480"/>
    <w:rsid w:val="009B31AD"/>
    <w:rsid w:val="009B375E"/>
    <w:rsid w:val="009B4502"/>
    <w:rsid w:val="009B75E3"/>
    <w:rsid w:val="009B7608"/>
    <w:rsid w:val="009B79C3"/>
    <w:rsid w:val="009B79EB"/>
    <w:rsid w:val="009C17B9"/>
    <w:rsid w:val="009C1EFC"/>
    <w:rsid w:val="009C2A3D"/>
    <w:rsid w:val="009C475B"/>
    <w:rsid w:val="009C47AB"/>
    <w:rsid w:val="009C563D"/>
    <w:rsid w:val="009C6124"/>
    <w:rsid w:val="009C79FD"/>
    <w:rsid w:val="009C7C7E"/>
    <w:rsid w:val="009D04B0"/>
    <w:rsid w:val="009D1004"/>
    <w:rsid w:val="009D1321"/>
    <w:rsid w:val="009D172A"/>
    <w:rsid w:val="009D1FE4"/>
    <w:rsid w:val="009D2288"/>
    <w:rsid w:val="009D2385"/>
    <w:rsid w:val="009D2A37"/>
    <w:rsid w:val="009D33BA"/>
    <w:rsid w:val="009D3720"/>
    <w:rsid w:val="009D46B4"/>
    <w:rsid w:val="009D5106"/>
    <w:rsid w:val="009D663E"/>
    <w:rsid w:val="009E1A49"/>
    <w:rsid w:val="009E26FB"/>
    <w:rsid w:val="009E4E60"/>
    <w:rsid w:val="009E4EC8"/>
    <w:rsid w:val="009E58D6"/>
    <w:rsid w:val="009E5DCB"/>
    <w:rsid w:val="009F0450"/>
    <w:rsid w:val="009F0E7A"/>
    <w:rsid w:val="009F1797"/>
    <w:rsid w:val="009F1A14"/>
    <w:rsid w:val="009F252A"/>
    <w:rsid w:val="009F2FB5"/>
    <w:rsid w:val="009F3FB8"/>
    <w:rsid w:val="009F51DB"/>
    <w:rsid w:val="009F5A53"/>
    <w:rsid w:val="009F62C6"/>
    <w:rsid w:val="009F720E"/>
    <w:rsid w:val="009F7B31"/>
    <w:rsid w:val="009F7E28"/>
    <w:rsid w:val="00A0008C"/>
    <w:rsid w:val="00A00D31"/>
    <w:rsid w:val="00A02EE0"/>
    <w:rsid w:val="00A07012"/>
    <w:rsid w:val="00A07960"/>
    <w:rsid w:val="00A10FDA"/>
    <w:rsid w:val="00A1131E"/>
    <w:rsid w:val="00A116B7"/>
    <w:rsid w:val="00A11EF8"/>
    <w:rsid w:val="00A1272A"/>
    <w:rsid w:val="00A12E52"/>
    <w:rsid w:val="00A13188"/>
    <w:rsid w:val="00A14D8A"/>
    <w:rsid w:val="00A15703"/>
    <w:rsid w:val="00A15B1B"/>
    <w:rsid w:val="00A169ED"/>
    <w:rsid w:val="00A204DC"/>
    <w:rsid w:val="00A207FD"/>
    <w:rsid w:val="00A20B3A"/>
    <w:rsid w:val="00A20C45"/>
    <w:rsid w:val="00A2166B"/>
    <w:rsid w:val="00A21F8E"/>
    <w:rsid w:val="00A22A10"/>
    <w:rsid w:val="00A24110"/>
    <w:rsid w:val="00A24562"/>
    <w:rsid w:val="00A259C7"/>
    <w:rsid w:val="00A25AB7"/>
    <w:rsid w:val="00A25B0F"/>
    <w:rsid w:val="00A26C62"/>
    <w:rsid w:val="00A279AC"/>
    <w:rsid w:val="00A32811"/>
    <w:rsid w:val="00A32FC5"/>
    <w:rsid w:val="00A333E5"/>
    <w:rsid w:val="00A33988"/>
    <w:rsid w:val="00A3460C"/>
    <w:rsid w:val="00A36AEE"/>
    <w:rsid w:val="00A37A04"/>
    <w:rsid w:val="00A37F3E"/>
    <w:rsid w:val="00A40119"/>
    <w:rsid w:val="00A4019D"/>
    <w:rsid w:val="00A40C90"/>
    <w:rsid w:val="00A427A5"/>
    <w:rsid w:val="00A42B17"/>
    <w:rsid w:val="00A43B15"/>
    <w:rsid w:val="00A446BF"/>
    <w:rsid w:val="00A44925"/>
    <w:rsid w:val="00A45617"/>
    <w:rsid w:val="00A45749"/>
    <w:rsid w:val="00A4593F"/>
    <w:rsid w:val="00A46A60"/>
    <w:rsid w:val="00A478D0"/>
    <w:rsid w:val="00A50826"/>
    <w:rsid w:val="00A51F1F"/>
    <w:rsid w:val="00A540F3"/>
    <w:rsid w:val="00A54119"/>
    <w:rsid w:val="00A55CD9"/>
    <w:rsid w:val="00A55E01"/>
    <w:rsid w:val="00A5638C"/>
    <w:rsid w:val="00A61F2D"/>
    <w:rsid w:val="00A623EB"/>
    <w:rsid w:val="00A62EAD"/>
    <w:rsid w:val="00A649C6"/>
    <w:rsid w:val="00A661C7"/>
    <w:rsid w:val="00A66A07"/>
    <w:rsid w:val="00A66B87"/>
    <w:rsid w:val="00A70FB9"/>
    <w:rsid w:val="00A72B02"/>
    <w:rsid w:val="00A73B93"/>
    <w:rsid w:val="00A75AE2"/>
    <w:rsid w:val="00A762FF"/>
    <w:rsid w:val="00A76C26"/>
    <w:rsid w:val="00A80DD5"/>
    <w:rsid w:val="00A828F1"/>
    <w:rsid w:val="00A83180"/>
    <w:rsid w:val="00A84372"/>
    <w:rsid w:val="00A84700"/>
    <w:rsid w:val="00A8682E"/>
    <w:rsid w:val="00A87656"/>
    <w:rsid w:val="00A87CA1"/>
    <w:rsid w:val="00A87DCF"/>
    <w:rsid w:val="00A907B7"/>
    <w:rsid w:val="00A90E45"/>
    <w:rsid w:val="00A90EE9"/>
    <w:rsid w:val="00A910D3"/>
    <w:rsid w:val="00A93218"/>
    <w:rsid w:val="00A93797"/>
    <w:rsid w:val="00A939A8"/>
    <w:rsid w:val="00A93BBE"/>
    <w:rsid w:val="00AA0D9F"/>
    <w:rsid w:val="00AA14EC"/>
    <w:rsid w:val="00AA3C0F"/>
    <w:rsid w:val="00AA49C7"/>
    <w:rsid w:val="00AA4A4D"/>
    <w:rsid w:val="00AA5A60"/>
    <w:rsid w:val="00AA60DE"/>
    <w:rsid w:val="00AA700D"/>
    <w:rsid w:val="00AA7D53"/>
    <w:rsid w:val="00AB042A"/>
    <w:rsid w:val="00AB0AB2"/>
    <w:rsid w:val="00AB0B73"/>
    <w:rsid w:val="00AB0CA6"/>
    <w:rsid w:val="00AB16FB"/>
    <w:rsid w:val="00AB460A"/>
    <w:rsid w:val="00AB493B"/>
    <w:rsid w:val="00AB7862"/>
    <w:rsid w:val="00AB7F92"/>
    <w:rsid w:val="00AC1F0E"/>
    <w:rsid w:val="00AC3015"/>
    <w:rsid w:val="00AC4FCB"/>
    <w:rsid w:val="00AC6C73"/>
    <w:rsid w:val="00AC700E"/>
    <w:rsid w:val="00AC72BD"/>
    <w:rsid w:val="00AC7767"/>
    <w:rsid w:val="00AD070B"/>
    <w:rsid w:val="00AD0ABD"/>
    <w:rsid w:val="00AD101A"/>
    <w:rsid w:val="00AD24F5"/>
    <w:rsid w:val="00AD31AC"/>
    <w:rsid w:val="00AD4663"/>
    <w:rsid w:val="00AD4988"/>
    <w:rsid w:val="00AD4B29"/>
    <w:rsid w:val="00AD7A24"/>
    <w:rsid w:val="00AE0F95"/>
    <w:rsid w:val="00AE1608"/>
    <w:rsid w:val="00AE1E30"/>
    <w:rsid w:val="00AE1EA0"/>
    <w:rsid w:val="00AE338A"/>
    <w:rsid w:val="00AE354F"/>
    <w:rsid w:val="00AE433E"/>
    <w:rsid w:val="00AE449C"/>
    <w:rsid w:val="00AE52C9"/>
    <w:rsid w:val="00AE6739"/>
    <w:rsid w:val="00AE710A"/>
    <w:rsid w:val="00AE7174"/>
    <w:rsid w:val="00AF19D1"/>
    <w:rsid w:val="00AF3DE0"/>
    <w:rsid w:val="00AF3DEC"/>
    <w:rsid w:val="00AF4C4B"/>
    <w:rsid w:val="00AF4C9F"/>
    <w:rsid w:val="00AF5011"/>
    <w:rsid w:val="00AF5AE4"/>
    <w:rsid w:val="00B00A90"/>
    <w:rsid w:val="00B010D0"/>
    <w:rsid w:val="00B02867"/>
    <w:rsid w:val="00B04E6B"/>
    <w:rsid w:val="00B0767D"/>
    <w:rsid w:val="00B116B0"/>
    <w:rsid w:val="00B122C2"/>
    <w:rsid w:val="00B123E5"/>
    <w:rsid w:val="00B1424C"/>
    <w:rsid w:val="00B1520A"/>
    <w:rsid w:val="00B17CEF"/>
    <w:rsid w:val="00B17ED0"/>
    <w:rsid w:val="00B207F8"/>
    <w:rsid w:val="00B2091F"/>
    <w:rsid w:val="00B209A8"/>
    <w:rsid w:val="00B22447"/>
    <w:rsid w:val="00B22A75"/>
    <w:rsid w:val="00B26B7A"/>
    <w:rsid w:val="00B300FC"/>
    <w:rsid w:val="00B308C6"/>
    <w:rsid w:val="00B31514"/>
    <w:rsid w:val="00B34D73"/>
    <w:rsid w:val="00B35C0E"/>
    <w:rsid w:val="00B370FC"/>
    <w:rsid w:val="00B37E6F"/>
    <w:rsid w:val="00B37EC6"/>
    <w:rsid w:val="00B37F54"/>
    <w:rsid w:val="00B4096B"/>
    <w:rsid w:val="00B427E4"/>
    <w:rsid w:val="00B42ADB"/>
    <w:rsid w:val="00B43ACF"/>
    <w:rsid w:val="00B4424F"/>
    <w:rsid w:val="00B455E8"/>
    <w:rsid w:val="00B467C1"/>
    <w:rsid w:val="00B47074"/>
    <w:rsid w:val="00B52D12"/>
    <w:rsid w:val="00B53E2F"/>
    <w:rsid w:val="00B5414F"/>
    <w:rsid w:val="00B54C97"/>
    <w:rsid w:val="00B60881"/>
    <w:rsid w:val="00B60ED9"/>
    <w:rsid w:val="00B626D8"/>
    <w:rsid w:val="00B637E8"/>
    <w:rsid w:val="00B66C0D"/>
    <w:rsid w:val="00B67410"/>
    <w:rsid w:val="00B70D05"/>
    <w:rsid w:val="00B7200D"/>
    <w:rsid w:val="00B733E5"/>
    <w:rsid w:val="00B73AF0"/>
    <w:rsid w:val="00B740F5"/>
    <w:rsid w:val="00B806B2"/>
    <w:rsid w:val="00B80C7F"/>
    <w:rsid w:val="00B80D2E"/>
    <w:rsid w:val="00B82C94"/>
    <w:rsid w:val="00B830B2"/>
    <w:rsid w:val="00B843B7"/>
    <w:rsid w:val="00B865AE"/>
    <w:rsid w:val="00B86EE5"/>
    <w:rsid w:val="00B92408"/>
    <w:rsid w:val="00B9256D"/>
    <w:rsid w:val="00B93480"/>
    <w:rsid w:val="00B93EDD"/>
    <w:rsid w:val="00B944EB"/>
    <w:rsid w:val="00BA0BBF"/>
    <w:rsid w:val="00BA1FAE"/>
    <w:rsid w:val="00BA244C"/>
    <w:rsid w:val="00BA28FC"/>
    <w:rsid w:val="00BA4419"/>
    <w:rsid w:val="00BA4799"/>
    <w:rsid w:val="00BA49FB"/>
    <w:rsid w:val="00BA5E9F"/>
    <w:rsid w:val="00BA5EFA"/>
    <w:rsid w:val="00BA77D2"/>
    <w:rsid w:val="00BA7D05"/>
    <w:rsid w:val="00BB0AE4"/>
    <w:rsid w:val="00BB1B1A"/>
    <w:rsid w:val="00BB1BFB"/>
    <w:rsid w:val="00BB3396"/>
    <w:rsid w:val="00BB4B4F"/>
    <w:rsid w:val="00BB4CFC"/>
    <w:rsid w:val="00BB7E63"/>
    <w:rsid w:val="00BC0CD8"/>
    <w:rsid w:val="00BC1581"/>
    <w:rsid w:val="00BC1C9C"/>
    <w:rsid w:val="00BC2814"/>
    <w:rsid w:val="00BC37C4"/>
    <w:rsid w:val="00BC38B9"/>
    <w:rsid w:val="00BC4609"/>
    <w:rsid w:val="00BC4C39"/>
    <w:rsid w:val="00BC52C2"/>
    <w:rsid w:val="00BC53A7"/>
    <w:rsid w:val="00BC68F6"/>
    <w:rsid w:val="00BD30CD"/>
    <w:rsid w:val="00BD37B4"/>
    <w:rsid w:val="00BD3FCB"/>
    <w:rsid w:val="00BD4BE4"/>
    <w:rsid w:val="00BD7847"/>
    <w:rsid w:val="00BD786F"/>
    <w:rsid w:val="00BE067C"/>
    <w:rsid w:val="00BE17C2"/>
    <w:rsid w:val="00BE1A69"/>
    <w:rsid w:val="00BE1D92"/>
    <w:rsid w:val="00BE2DE7"/>
    <w:rsid w:val="00BE4BD4"/>
    <w:rsid w:val="00BE5564"/>
    <w:rsid w:val="00BE71CC"/>
    <w:rsid w:val="00BE7374"/>
    <w:rsid w:val="00BE7D22"/>
    <w:rsid w:val="00BF0039"/>
    <w:rsid w:val="00BF1C28"/>
    <w:rsid w:val="00BF20ED"/>
    <w:rsid w:val="00BF22D2"/>
    <w:rsid w:val="00BF41A5"/>
    <w:rsid w:val="00BF42B8"/>
    <w:rsid w:val="00BF4E56"/>
    <w:rsid w:val="00BF630C"/>
    <w:rsid w:val="00C01A38"/>
    <w:rsid w:val="00C0437C"/>
    <w:rsid w:val="00C04493"/>
    <w:rsid w:val="00C04C56"/>
    <w:rsid w:val="00C05C63"/>
    <w:rsid w:val="00C1105B"/>
    <w:rsid w:val="00C13882"/>
    <w:rsid w:val="00C13AC1"/>
    <w:rsid w:val="00C1522A"/>
    <w:rsid w:val="00C1542E"/>
    <w:rsid w:val="00C1562C"/>
    <w:rsid w:val="00C15736"/>
    <w:rsid w:val="00C20656"/>
    <w:rsid w:val="00C20994"/>
    <w:rsid w:val="00C21B12"/>
    <w:rsid w:val="00C22278"/>
    <w:rsid w:val="00C2302B"/>
    <w:rsid w:val="00C23873"/>
    <w:rsid w:val="00C25675"/>
    <w:rsid w:val="00C303F0"/>
    <w:rsid w:val="00C311D3"/>
    <w:rsid w:val="00C35A92"/>
    <w:rsid w:val="00C362EF"/>
    <w:rsid w:val="00C36CAB"/>
    <w:rsid w:val="00C37061"/>
    <w:rsid w:val="00C37191"/>
    <w:rsid w:val="00C373E3"/>
    <w:rsid w:val="00C37691"/>
    <w:rsid w:val="00C3795E"/>
    <w:rsid w:val="00C41763"/>
    <w:rsid w:val="00C41E1E"/>
    <w:rsid w:val="00C4766B"/>
    <w:rsid w:val="00C515D4"/>
    <w:rsid w:val="00C518F6"/>
    <w:rsid w:val="00C51FD9"/>
    <w:rsid w:val="00C54EF3"/>
    <w:rsid w:val="00C5544C"/>
    <w:rsid w:val="00C56AD3"/>
    <w:rsid w:val="00C60956"/>
    <w:rsid w:val="00C61219"/>
    <w:rsid w:val="00C658E1"/>
    <w:rsid w:val="00C67B5A"/>
    <w:rsid w:val="00C70277"/>
    <w:rsid w:val="00C73A77"/>
    <w:rsid w:val="00C758B6"/>
    <w:rsid w:val="00C76702"/>
    <w:rsid w:val="00C768C8"/>
    <w:rsid w:val="00C76A64"/>
    <w:rsid w:val="00C812D2"/>
    <w:rsid w:val="00C81E0C"/>
    <w:rsid w:val="00C82CFF"/>
    <w:rsid w:val="00C83077"/>
    <w:rsid w:val="00C8371A"/>
    <w:rsid w:val="00C83944"/>
    <w:rsid w:val="00C85AA6"/>
    <w:rsid w:val="00C860C0"/>
    <w:rsid w:val="00C86AE7"/>
    <w:rsid w:val="00C86F2B"/>
    <w:rsid w:val="00C8736E"/>
    <w:rsid w:val="00C87582"/>
    <w:rsid w:val="00C87C46"/>
    <w:rsid w:val="00C919F0"/>
    <w:rsid w:val="00C947FC"/>
    <w:rsid w:val="00C969FF"/>
    <w:rsid w:val="00C96C5F"/>
    <w:rsid w:val="00CA01F0"/>
    <w:rsid w:val="00CA2097"/>
    <w:rsid w:val="00CA3495"/>
    <w:rsid w:val="00CA51BE"/>
    <w:rsid w:val="00CA5373"/>
    <w:rsid w:val="00CA5D28"/>
    <w:rsid w:val="00CA670B"/>
    <w:rsid w:val="00CA7398"/>
    <w:rsid w:val="00CB06F1"/>
    <w:rsid w:val="00CB145A"/>
    <w:rsid w:val="00CB23B5"/>
    <w:rsid w:val="00CB5A48"/>
    <w:rsid w:val="00CB6188"/>
    <w:rsid w:val="00CB7948"/>
    <w:rsid w:val="00CC0757"/>
    <w:rsid w:val="00CC0C6D"/>
    <w:rsid w:val="00CC1E9E"/>
    <w:rsid w:val="00CC3CD5"/>
    <w:rsid w:val="00CC47A8"/>
    <w:rsid w:val="00CC58CF"/>
    <w:rsid w:val="00CC6081"/>
    <w:rsid w:val="00CC76F1"/>
    <w:rsid w:val="00CC7870"/>
    <w:rsid w:val="00CD0225"/>
    <w:rsid w:val="00CD16F6"/>
    <w:rsid w:val="00CD4F98"/>
    <w:rsid w:val="00CD5602"/>
    <w:rsid w:val="00CD5BA0"/>
    <w:rsid w:val="00CD5E35"/>
    <w:rsid w:val="00CE0522"/>
    <w:rsid w:val="00CE0C87"/>
    <w:rsid w:val="00CE22E4"/>
    <w:rsid w:val="00CE2F1E"/>
    <w:rsid w:val="00CE3738"/>
    <w:rsid w:val="00CE5A07"/>
    <w:rsid w:val="00CE5C01"/>
    <w:rsid w:val="00CE6780"/>
    <w:rsid w:val="00CE7A6E"/>
    <w:rsid w:val="00CF0CCB"/>
    <w:rsid w:val="00CF26CE"/>
    <w:rsid w:val="00CF6705"/>
    <w:rsid w:val="00CF6CC7"/>
    <w:rsid w:val="00CF734C"/>
    <w:rsid w:val="00D00744"/>
    <w:rsid w:val="00D0530A"/>
    <w:rsid w:val="00D10F31"/>
    <w:rsid w:val="00D11477"/>
    <w:rsid w:val="00D122FE"/>
    <w:rsid w:val="00D12A55"/>
    <w:rsid w:val="00D1376C"/>
    <w:rsid w:val="00D14FEE"/>
    <w:rsid w:val="00D17855"/>
    <w:rsid w:val="00D20698"/>
    <w:rsid w:val="00D2074A"/>
    <w:rsid w:val="00D20752"/>
    <w:rsid w:val="00D2083A"/>
    <w:rsid w:val="00D2167D"/>
    <w:rsid w:val="00D21EA5"/>
    <w:rsid w:val="00D22CF1"/>
    <w:rsid w:val="00D23522"/>
    <w:rsid w:val="00D23975"/>
    <w:rsid w:val="00D23BED"/>
    <w:rsid w:val="00D254D8"/>
    <w:rsid w:val="00D25AAE"/>
    <w:rsid w:val="00D314F9"/>
    <w:rsid w:val="00D347C4"/>
    <w:rsid w:val="00D354CC"/>
    <w:rsid w:val="00D35F1A"/>
    <w:rsid w:val="00D37190"/>
    <w:rsid w:val="00D37BC8"/>
    <w:rsid w:val="00D40821"/>
    <w:rsid w:val="00D41328"/>
    <w:rsid w:val="00D41D52"/>
    <w:rsid w:val="00D422A5"/>
    <w:rsid w:val="00D43975"/>
    <w:rsid w:val="00D44ECD"/>
    <w:rsid w:val="00D4663F"/>
    <w:rsid w:val="00D52198"/>
    <w:rsid w:val="00D521E1"/>
    <w:rsid w:val="00D52306"/>
    <w:rsid w:val="00D54102"/>
    <w:rsid w:val="00D54962"/>
    <w:rsid w:val="00D549AD"/>
    <w:rsid w:val="00D553C0"/>
    <w:rsid w:val="00D565C6"/>
    <w:rsid w:val="00D6066C"/>
    <w:rsid w:val="00D62CEC"/>
    <w:rsid w:val="00D6461C"/>
    <w:rsid w:val="00D66011"/>
    <w:rsid w:val="00D665D0"/>
    <w:rsid w:val="00D67725"/>
    <w:rsid w:val="00D71090"/>
    <w:rsid w:val="00D716B7"/>
    <w:rsid w:val="00D71F20"/>
    <w:rsid w:val="00D71F37"/>
    <w:rsid w:val="00D72902"/>
    <w:rsid w:val="00D73EFA"/>
    <w:rsid w:val="00D7434B"/>
    <w:rsid w:val="00D76A63"/>
    <w:rsid w:val="00D7762D"/>
    <w:rsid w:val="00D77AFC"/>
    <w:rsid w:val="00D820BD"/>
    <w:rsid w:val="00D823F5"/>
    <w:rsid w:val="00D83173"/>
    <w:rsid w:val="00D84512"/>
    <w:rsid w:val="00D85B7E"/>
    <w:rsid w:val="00D85DDB"/>
    <w:rsid w:val="00D90D1D"/>
    <w:rsid w:val="00D90DBD"/>
    <w:rsid w:val="00D91622"/>
    <w:rsid w:val="00D94111"/>
    <w:rsid w:val="00D943B1"/>
    <w:rsid w:val="00D95E09"/>
    <w:rsid w:val="00D95F6E"/>
    <w:rsid w:val="00D96F64"/>
    <w:rsid w:val="00D97354"/>
    <w:rsid w:val="00D97B28"/>
    <w:rsid w:val="00DA066E"/>
    <w:rsid w:val="00DA21B1"/>
    <w:rsid w:val="00DA2F2B"/>
    <w:rsid w:val="00DA35F3"/>
    <w:rsid w:val="00DA41A1"/>
    <w:rsid w:val="00DA4C1E"/>
    <w:rsid w:val="00DA5927"/>
    <w:rsid w:val="00DA6299"/>
    <w:rsid w:val="00DA7D91"/>
    <w:rsid w:val="00DB3BA1"/>
    <w:rsid w:val="00DB4214"/>
    <w:rsid w:val="00DB7B88"/>
    <w:rsid w:val="00DC0195"/>
    <w:rsid w:val="00DC13AD"/>
    <w:rsid w:val="00DC2186"/>
    <w:rsid w:val="00DC4652"/>
    <w:rsid w:val="00DC799B"/>
    <w:rsid w:val="00DD268B"/>
    <w:rsid w:val="00DD2B31"/>
    <w:rsid w:val="00DD3CA1"/>
    <w:rsid w:val="00DD563F"/>
    <w:rsid w:val="00DD6763"/>
    <w:rsid w:val="00DD6809"/>
    <w:rsid w:val="00DD7739"/>
    <w:rsid w:val="00DD7BB8"/>
    <w:rsid w:val="00DE1AD7"/>
    <w:rsid w:val="00DE234C"/>
    <w:rsid w:val="00DE2469"/>
    <w:rsid w:val="00DE4F62"/>
    <w:rsid w:val="00DE5307"/>
    <w:rsid w:val="00DE727F"/>
    <w:rsid w:val="00DF040C"/>
    <w:rsid w:val="00DF05F1"/>
    <w:rsid w:val="00DF1934"/>
    <w:rsid w:val="00DF2946"/>
    <w:rsid w:val="00DF2E4B"/>
    <w:rsid w:val="00DF3793"/>
    <w:rsid w:val="00DF3DC2"/>
    <w:rsid w:val="00DF4764"/>
    <w:rsid w:val="00DF792F"/>
    <w:rsid w:val="00E0011A"/>
    <w:rsid w:val="00E02D66"/>
    <w:rsid w:val="00E0390D"/>
    <w:rsid w:val="00E04354"/>
    <w:rsid w:val="00E04CA1"/>
    <w:rsid w:val="00E06249"/>
    <w:rsid w:val="00E072AF"/>
    <w:rsid w:val="00E10655"/>
    <w:rsid w:val="00E10A29"/>
    <w:rsid w:val="00E12375"/>
    <w:rsid w:val="00E127D2"/>
    <w:rsid w:val="00E12904"/>
    <w:rsid w:val="00E13941"/>
    <w:rsid w:val="00E14778"/>
    <w:rsid w:val="00E14AE6"/>
    <w:rsid w:val="00E17E47"/>
    <w:rsid w:val="00E205A8"/>
    <w:rsid w:val="00E20D90"/>
    <w:rsid w:val="00E22450"/>
    <w:rsid w:val="00E250D8"/>
    <w:rsid w:val="00E253A4"/>
    <w:rsid w:val="00E25EE2"/>
    <w:rsid w:val="00E3045A"/>
    <w:rsid w:val="00E311CD"/>
    <w:rsid w:val="00E314F3"/>
    <w:rsid w:val="00E35EA4"/>
    <w:rsid w:val="00E366C1"/>
    <w:rsid w:val="00E37140"/>
    <w:rsid w:val="00E40900"/>
    <w:rsid w:val="00E41870"/>
    <w:rsid w:val="00E431F0"/>
    <w:rsid w:val="00E43AA5"/>
    <w:rsid w:val="00E43CA2"/>
    <w:rsid w:val="00E43D7E"/>
    <w:rsid w:val="00E45E7D"/>
    <w:rsid w:val="00E46F92"/>
    <w:rsid w:val="00E473B1"/>
    <w:rsid w:val="00E475C7"/>
    <w:rsid w:val="00E509E7"/>
    <w:rsid w:val="00E50DDF"/>
    <w:rsid w:val="00E51D02"/>
    <w:rsid w:val="00E53D9F"/>
    <w:rsid w:val="00E54623"/>
    <w:rsid w:val="00E54CC2"/>
    <w:rsid w:val="00E56BD7"/>
    <w:rsid w:val="00E56EF1"/>
    <w:rsid w:val="00E5761C"/>
    <w:rsid w:val="00E57A8D"/>
    <w:rsid w:val="00E57C55"/>
    <w:rsid w:val="00E60126"/>
    <w:rsid w:val="00E60B9D"/>
    <w:rsid w:val="00E61E22"/>
    <w:rsid w:val="00E62E47"/>
    <w:rsid w:val="00E63B5E"/>
    <w:rsid w:val="00E67E62"/>
    <w:rsid w:val="00E71B33"/>
    <w:rsid w:val="00E72101"/>
    <w:rsid w:val="00E72DF7"/>
    <w:rsid w:val="00E736F2"/>
    <w:rsid w:val="00E73AB6"/>
    <w:rsid w:val="00E767C9"/>
    <w:rsid w:val="00E81E35"/>
    <w:rsid w:val="00E8207B"/>
    <w:rsid w:val="00E838BE"/>
    <w:rsid w:val="00E83AEB"/>
    <w:rsid w:val="00E83E3D"/>
    <w:rsid w:val="00E843C4"/>
    <w:rsid w:val="00E86EE8"/>
    <w:rsid w:val="00E878F5"/>
    <w:rsid w:val="00E91A9C"/>
    <w:rsid w:val="00E92802"/>
    <w:rsid w:val="00E936BB"/>
    <w:rsid w:val="00E93A23"/>
    <w:rsid w:val="00E94432"/>
    <w:rsid w:val="00E94718"/>
    <w:rsid w:val="00E94733"/>
    <w:rsid w:val="00E947FD"/>
    <w:rsid w:val="00E977C8"/>
    <w:rsid w:val="00EA0A98"/>
    <w:rsid w:val="00EA11B9"/>
    <w:rsid w:val="00EA162F"/>
    <w:rsid w:val="00EA1CEB"/>
    <w:rsid w:val="00EA1DF5"/>
    <w:rsid w:val="00EA1E1C"/>
    <w:rsid w:val="00EA1F0B"/>
    <w:rsid w:val="00EA22E6"/>
    <w:rsid w:val="00EA236D"/>
    <w:rsid w:val="00EA4350"/>
    <w:rsid w:val="00EA461E"/>
    <w:rsid w:val="00EA6C64"/>
    <w:rsid w:val="00EB048E"/>
    <w:rsid w:val="00EB0CD4"/>
    <w:rsid w:val="00EB2286"/>
    <w:rsid w:val="00EB3872"/>
    <w:rsid w:val="00EB468C"/>
    <w:rsid w:val="00EB4F61"/>
    <w:rsid w:val="00EC099E"/>
    <w:rsid w:val="00EC09E3"/>
    <w:rsid w:val="00EC1244"/>
    <w:rsid w:val="00EC48B9"/>
    <w:rsid w:val="00EC4D8C"/>
    <w:rsid w:val="00EC69B7"/>
    <w:rsid w:val="00EC7EA2"/>
    <w:rsid w:val="00ED0353"/>
    <w:rsid w:val="00ED35F3"/>
    <w:rsid w:val="00ED3C03"/>
    <w:rsid w:val="00ED4A83"/>
    <w:rsid w:val="00EE02BA"/>
    <w:rsid w:val="00EE0899"/>
    <w:rsid w:val="00EE254B"/>
    <w:rsid w:val="00EE3190"/>
    <w:rsid w:val="00EE32F8"/>
    <w:rsid w:val="00EE3946"/>
    <w:rsid w:val="00EE5571"/>
    <w:rsid w:val="00EE5D5D"/>
    <w:rsid w:val="00EE77BD"/>
    <w:rsid w:val="00EE7D44"/>
    <w:rsid w:val="00EF09F3"/>
    <w:rsid w:val="00EF2A88"/>
    <w:rsid w:val="00EF63E9"/>
    <w:rsid w:val="00EF653A"/>
    <w:rsid w:val="00EF712C"/>
    <w:rsid w:val="00F00F6F"/>
    <w:rsid w:val="00F02C41"/>
    <w:rsid w:val="00F0377E"/>
    <w:rsid w:val="00F04475"/>
    <w:rsid w:val="00F06AFA"/>
    <w:rsid w:val="00F06D37"/>
    <w:rsid w:val="00F0703E"/>
    <w:rsid w:val="00F073BA"/>
    <w:rsid w:val="00F077CB"/>
    <w:rsid w:val="00F07E4E"/>
    <w:rsid w:val="00F10D79"/>
    <w:rsid w:val="00F11C59"/>
    <w:rsid w:val="00F13187"/>
    <w:rsid w:val="00F13335"/>
    <w:rsid w:val="00F1406C"/>
    <w:rsid w:val="00F15D83"/>
    <w:rsid w:val="00F166AA"/>
    <w:rsid w:val="00F16FC0"/>
    <w:rsid w:val="00F1752A"/>
    <w:rsid w:val="00F20134"/>
    <w:rsid w:val="00F202E9"/>
    <w:rsid w:val="00F2046C"/>
    <w:rsid w:val="00F21560"/>
    <w:rsid w:val="00F21830"/>
    <w:rsid w:val="00F227D1"/>
    <w:rsid w:val="00F23753"/>
    <w:rsid w:val="00F23885"/>
    <w:rsid w:val="00F246BA"/>
    <w:rsid w:val="00F25F87"/>
    <w:rsid w:val="00F30F53"/>
    <w:rsid w:val="00F34F36"/>
    <w:rsid w:val="00F3532C"/>
    <w:rsid w:val="00F375D9"/>
    <w:rsid w:val="00F41C02"/>
    <w:rsid w:val="00F41E28"/>
    <w:rsid w:val="00F45CEE"/>
    <w:rsid w:val="00F47549"/>
    <w:rsid w:val="00F47A22"/>
    <w:rsid w:val="00F50A31"/>
    <w:rsid w:val="00F53170"/>
    <w:rsid w:val="00F551CC"/>
    <w:rsid w:val="00F55410"/>
    <w:rsid w:val="00F571E5"/>
    <w:rsid w:val="00F6004B"/>
    <w:rsid w:val="00F60D45"/>
    <w:rsid w:val="00F6217A"/>
    <w:rsid w:val="00F635AC"/>
    <w:rsid w:val="00F636CD"/>
    <w:rsid w:val="00F63A1B"/>
    <w:rsid w:val="00F63BF3"/>
    <w:rsid w:val="00F6409C"/>
    <w:rsid w:val="00F64662"/>
    <w:rsid w:val="00F65BA3"/>
    <w:rsid w:val="00F66523"/>
    <w:rsid w:val="00F66661"/>
    <w:rsid w:val="00F7087E"/>
    <w:rsid w:val="00F70930"/>
    <w:rsid w:val="00F70FF0"/>
    <w:rsid w:val="00F72769"/>
    <w:rsid w:val="00F72D7B"/>
    <w:rsid w:val="00F731D5"/>
    <w:rsid w:val="00F740ED"/>
    <w:rsid w:val="00F744B2"/>
    <w:rsid w:val="00F745D9"/>
    <w:rsid w:val="00F74B3E"/>
    <w:rsid w:val="00F8105A"/>
    <w:rsid w:val="00F81A5F"/>
    <w:rsid w:val="00F82A21"/>
    <w:rsid w:val="00F82CD5"/>
    <w:rsid w:val="00F82F44"/>
    <w:rsid w:val="00F84D1E"/>
    <w:rsid w:val="00F84F4B"/>
    <w:rsid w:val="00F86D1B"/>
    <w:rsid w:val="00F87222"/>
    <w:rsid w:val="00F90097"/>
    <w:rsid w:val="00F90B3D"/>
    <w:rsid w:val="00F90CF7"/>
    <w:rsid w:val="00F91540"/>
    <w:rsid w:val="00F91D3B"/>
    <w:rsid w:val="00F92B77"/>
    <w:rsid w:val="00F92E29"/>
    <w:rsid w:val="00F93295"/>
    <w:rsid w:val="00F93998"/>
    <w:rsid w:val="00F94787"/>
    <w:rsid w:val="00F957E5"/>
    <w:rsid w:val="00F96681"/>
    <w:rsid w:val="00F968A7"/>
    <w:rsid w:val="00F9695D"/>
    <w:rsid w:val="00FA0C6A"/>
    <w:rsid w:val="00FA1CBB"/>
    <w:rsid w:val="00FA1D98"/>
    <w:rsid w:val="00FA34E9"/>
    <w:rsid w:val="00FA3624"/>
    <w:rsid w:val="00FA666B"/>
    <w:rsid w:val="00FB003A"/>
    <w:rsid w:val="00FB0926"/>
    <w:rsid w:val="00FB0988"/>
    <w:rsid w:val="00FB17DD"/>
    <w:rsid w:val="00FB1DEF"/>
    <w:rsid w:val="00FB4CA8"/>
    <w:rsid w:val="00FB508D"/>
    <w:rsid w:val="00FB5131"/>
    <w:rsid w:val="00FB5E5C"/>
    <w:rsid w:val="00FB6FAA"/>
    <w:rsid w:val="00FB7989"/>
    <w:rsid w:val="00FC0E5F"/>
    <w:rsid w:val="00FC1371"/>
    <w:rsid w:val="00FC1A1B"/>
    <w:rsid w:val="00FC2B34"/>
    <w:rsid w:val="00FC2E5B"/>
    <w:rsid w:val="00FC315C"/>
    <w:rsid w:val="00FC4D6A"/>
    <w:rsid w:val="00FC59C7"/>
    <w:rsid w:val="00FC5C7D"/>
    <w:rsid w:val="00FC5CC3"/>
    <w:rsid w:val="00FC688C"/>
    <w:rsid w:val="00FC7EA7"/>
    <w:rsid w:val="00FD0CFE"/>
    <w:rsid w:val="00FD2568"/>
    <w:rsid w:val="00FD26C1"/>
    <w:rsid w:val="00FD2968"/>
    <w:rsid w:val="00FE17B9"/>
    <w:rsid w:val="00FE265B"/>
    <w:rsid w:val="00FE3AC2"/>
    <w:rsid w:val="00FE46DC"/>
    <w:rsid w:val="00FE5EFC"/>
    <w:rsid w:val="00FE7F63"/>
    <w:rsid w:val="00FF019B"/>
    <w:rsid w:val="00FF1C25"/>
    <w:rsid w:val="00FF23EC"/>
    <w:rsid w:val="00FF24FD"/>
    <w:rsid w:val="00FF399D"/>
    <w:rsid w:val="00FF3CEB"/>
    <w:rsid w:val="00FF5CC3"/>
    <w:rsid w:val="00FF6863"/>
    <w:rsid w:val="00FF6968"/>
    <w:rsid w:val="01A32EBF"/>
    <w:rsid w:val="02CE4B08"/>
    <w:rsid w:val="02E5232D"/>
    <w:rsid w:val="02E52C11"/>
    <w:rsid w:val="077620A9"/>
    <w:rsid w:val="0798612A"/>
    <w:rsid w:val="08A77987"/>
    <w:rsid w:val="08CC1BB3"/>
    <w:rsid w:val="0AAC006D"/>
    <w:rsid w:val="0C1F636D"/>
    <w:rsid w:val="0D2B1354"/>
    <w:rsid w:val="0DC2363F"/>
    <w:rsid w:val="0E291A7C"/>
    <w:rsid w:val="0E852EED"/>
    <w:rsid w:val="0F5C499F"/>
    <w:rsid w:val="0FAB4793"/>
    <w:rsid w:val="0FFE261D"/>
    <w:rsid w:val="10472BC7"/>
    <w:rsid w:val="11134020"/>
    <w:rsid w:val="11324C77"/>
    <w:rsid w:val="128A297C"/>
    <w:rsid w:val="15224929"/>
    <w:rsid w:val="15B13B66"/>
    <w:rsid w:val="16C95620"/>
    <w:rsid w:val="17DB571A"/>
    <w:rsid w:val="19171FC8"/>
    <w:rsid w:val="19A51D15"/>
    <w:rsid w:val="19F30FCD"/>
    <w:rsid w:val="1B5C63C4"/>
    <w:rsid w:val="1B605B1B"/>
    <w:rsid w:val="1C4710CA"/>
    <w:rsid w:val="1CC578E9"/>
    <w:rsid w:val="1D697D2B"/>
    <w:rsid w:val="1F032942"/>
    <w:rsid w:val="1F341B27"/>
    <w:rsid w:val="22EF2BD1"/>
    <w:rsid w:val="24093A50"/>
    <w:rsid w:val="24D01619"/>
    <w:rsid w:val="25B91B21"/>
    <w:rsid w:val="264C336A"/>
    <w:rsid w:val="276B2F93"/>
    <w:rsid w:val="27AA5FE9"/>
    <w:rsid w:val="287C31AA"/>
    <w:rsid w:val="288267C8"/>
    <w:rsid w:val="29C077FF"/>
    <w:rsid w:val="2A2C3C86"/>
    <w:rsid w:val="2BFF5E8F"/>
    <w:rsid w:val="2CE27D56"/>
    <w:rsid w:val="2D7D6119"/>
    <w:rsid w:val="2E6608E6"/>
    <w:rsid w:val="2EFD0587"/>
    <w:rsid w:val="304345A0"/>
    <w:rsid w:val="30911E78"/>
    <w:rsid w:val="31312DC6"/>
    <w:rsid w:val="33252FF3"/>
    <w:rsid w:val="34A57BA3"/>
    <w:rsid w:val="35416B08"/>
    <w:rsid w:val="36812184"/>
    <w:rsid w:val="387A2CB9"/>
    <w:rsid w:val="39D508B0"/>
    <w:rsid w:val="39E50FF8"/>
    <w:rsid w:val="3A2E4CC8"/>
    <w:rsid w:val="3B0F3D9D"/>
    <w:rsid w:val="3BDA1708"/>
    <w:rsid w:val="3C1A0958"/>
    <w:rsid w:val="3E5F5B02"/>
    <w:rsid w:val="40F50D3F"/>
    <w:rsid w:val="41EA5890"/>
    <w:rsid w:val="43D853E0"/>
    <w:rsid w:val="43EE6F60"/>
    <w:rsid w:val="45FB5F9D"/>
    <w:rsid w:val="462A797F"/>
    <w:rsid w:val="4A9A12D0"/>
    <w:rsid w:val="4AEE09B8"/>
    <w:rsid w:val="4C850A0C"/>
    <w:rsid w:val="4E7046F6"/>
    <w:rsid w:val="4FA03E92"/>
    <w:rsid w:val="4FCA05CC"/>
    <w:rsid w:val="50472CAD"/>
    <w:rsid w:val="50624AE8"/>
    <w:rsid w:val="50F67E2A"/>
    <w:rsid w:val="51EC13FF"/>
    <w:rsid w:val="523B0C41"/>
    <w:rsid w:val="52403425"/>
    <w:rsid w:val="527436F8"/>
    <w:rsid w:val="527C56E5"/>
    <w:rsid w:val="52A422AF"/>
    <w:rsid w:val="53145FAB"/>
    <w:rsid w:val="53190F1F"/>
    <w:rsid w:val="533F6989"/>
    <w:rsid w:val="53783B7A"/>
    <w:rsid w:val="55263709"/>
    <w:rsid w:val="55790F9C"/>
    <w:rsid w:val="55DF4E28"/>
    <w:rsid w:val="565F3664"/>
    <w:rsid w:val="566A3AF8"/>
    <w:rsid w:val="57533F57"/>
    <w:rsid w:val="576A5CD1"/>
    <w:rsid w:val="576C74F3"/>
    <w:rsid w:val="5A3F0C87"/>
    <w:rsid w:val="5BBC41B5"/>
    <w:rsid w:val="5BF63339"/>
    <w:rsid w:val="5CF816BE"/>
    <w:rsid w:val="5D573BE7"/>
    <w:rsid w:val="5E52500E"/>
    <w:rsid w:val="5EC718F9"/>
    <w:rsid w:val="5F8679EE"/>
    <w:rsid w:val="6028110E"/>
    <w:rsid w:val="609304B2"/>
    <w:rsid w:val="60D90390"/>
    <w:rsid w:val="61C969C6"/>
    <w:rsid w:val="65423A4B"/>
    <w:rsid w:val="65CA1069"/>
    <w:rsid w:val="696E66A4"/>
    <w:rsid w:val="6A1D1A5E"/>
    <w:rsid w:val="6B111CA9"/>
    <w:rsid w:val="6B117A43"/>
    <w:rsid w:val="6B4B171B"/>
    <w:rsid w:val="6E1D5C16"/>
    <w:rsid w:val="72C26666"/>
    <w:rsid w:val="73E65F90"/>
    <w:rsid w:val="74834FB8"/>
    <w:rsid w:val="75BB2F4F"/>
    <w:rsid w:val="76372673"/>
    <w:rsid w:val="76DF2CD8"/>
    <w:rsid w:val="78354324"/>
    <w:rsid w:val="78C748A7"/>
    <w:rsid w:val="7D8114C7"/>
    <w:rsid w:val="7D8F4FFC"/>
    <w:rsid w:val="7E830929"/>
    <w:rsid w:val="7EF80AD1"/>
    <w:rsid w:val="7FE1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iPriority="99" w:semiHidden="0" w:name="HTML Typewriter"/>
    <w:lsdException w:qFormat="1" w:unhideWhenUsed="0" w:uiPriority="99"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keepLines/>
      <w:autoSpaceDE w:val="0"/>
      <w:autoSpaceDN w:val="0"/>
      <w:adjustRightInd w:val="0"/>
      <w:spacing w:before="240" w:after="120" w:line="360" w:lineRule="auto"/>
      <w:ind w:left="425" w:hanging="425"/>
      <w:jc w:val="center"/>
      <w:outlineLvl w:val="0"/>
    </w:pPr>
    <w:rPr>
      <w:rFonts w:ascii="宋体" w:hAnsi="宋体"/>
      <w:b/>
      <w:bCs/>
      <w:kern w:val="44"/>
      <w:sz w:val="32"/>
      <w:szCs w:val="20"/>
    </w:rPr>
  </w:style>
  <w:style w:type="paragraph" w:styleId="4">
    <w:name w:val="heading 2"/>
    <w:basedOn w:val="1"/>
    <w:next w:val="5"/>
    <w:link w:val="62"/>
    <w:qFormat/>
    <w:uiPriority w:val="0"/>
    <w:pPr>
      <w:keepNext/>
      <w:keepLines/>
      <w:autoSpaceDE w:val="0"/>
      <w:autoSpaceDN w:val="0"/>
      <w:adjustRightInd w:val="0"/>
      <w:spacing w:before="120" w:line="360" w:lineRule="auto"/>
      <w:ind w:left="567" w:hanging="567"/>
      <w:jc w:val="center"/>
      <w:outlineLvl w:val="1"/>
    </w:pPr>
    <w:rPr>
      <w:rFonts w:ascii="宋体" w:hAnsi="宋体"/>
      <w:b/>
      <w:bCs/>
      <w:kern w:val="0"/>
      <w:sz w:val="24"/>
      <w:szCs w:val="20"/>
    </w:rPr>
  </w:style>
  <w:style w:type="paragraph" w:styleId="6">
    <w:name w:val="heading 3"/>
    <w:basedOn w:val="1"/>
    <w:next w:val="5"/>
    <w:link w:val="66"/>
    <w:qFormat/>
    <w:uiPriority w:val="0"/>
    <w:pPr>
      <w:keepNext/>
      <w:keepLines/>
      <w:autoSpaceDE w:val="0"/>
      <w:autoSpaceDN w:val="0"/>
      <w:adjustRightInd w:val="0"/>
      <w:spacing w:before="360" w:after="120" w:line="360" w:lineRule="auto"/>
      <w:ind w:left="709" w:hanging="709"/>
      <w:jc w:val="center"/>
      <w:outlineLvl w:val="2"/>
    </w:pPr>
    <w:rPr>
      <w:rFonts w:ascii="宋体"/>
      <w:b/>
      <w:bCs/>
      <w:kern w:val="0"/>
      <w:sz w:val="28"/>
      <w:szCs w:val="28"/>
    </w:rPr>
  </w:style>
  <w:style w:type="paragraph" w:styleId="7">
    <w:name w:val="heading 4"/>
    <w:basedOn w:val="1"/>
    <w:next w:val="1"/>
    <w:link w:val="63"/>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1"/>
    <w:link w:val="67"/>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8"/>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69"/>
    <w:qFormat/>
    <w:uiPriority w:val="0"/>
    <w:pPr>
      <w:keepNext/>
      <w:keepLines/>
      <w:widowControl/>
      <w:spacing w:before="240" w:after="64" w:line="320" w:lineRule="auto"/>
      <w:jc w:val="left"/>
      <w:outlineLvl w:val="6"/>
    </w:pPr>
    <w:rPr>
      <w:rFonts w:ascii="Calibri" w:hAnsi="Calibri"/>
      <w:b/>
      <w:bCs/>
      <w:kern w:val="0"/>
      <w:sz w:val="24"/>
    </w:rPr>
  </w:style>
  <w:style w:type="paragraph" w:styleId="11">
    <w:name w:val="heading 8"/>
    <w:basedOn w:val="1"/>
    <w:next w:val="1"/>
    <w:link w:val="70"/>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7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6">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2">
    <w:name w:val="Body Text"/>
    <w:basedOn w:val="1"/>
    <w:next w:val="1"/>
    <w:link w:val="64"/>
    <w:qFormat/>
    <w:uiPriority w:val="0"/>
    <w:pPr>
      <w:tabs>
        <w:tab w:val="left" w:pos="567"/>
      </w:tabs>
      <w:spacing w:before="120" w:line="22" w:lineRule="atLeast"/>
    </w:pPr>
    <w:rPr>
      <w:rFonts w:ascii="宋体" w:hAnsi="宋体"/>
      <w:sz w:val="24"/>
    </w:rPr>
  </w:style>
  <w:style w:type="paragraph" w:styleId="5">
    <w:name w:val="Normal Indent"/>
    <w:basedOn w:val="1"/>
    <w:link w:val="65"/>
    <w:qFormat/>
    <w:uiPriority w:val="0"/>
    <w:pPr>
      <w:autoSpaceDE w:val="0"/>
      <w:autoSpaceDN w:val="0"/>
      <w:adjustRightInd w:val="0"/>
      <w:ind w:firstLine="420"/>
      <w:jc w:val="left"/>
    </w:pPr>
    <w:rPr>
      <w:rFonts w:ascii="宋体"/>
      <w:kern w:val="0"/>
      <w:sz w:val="24"/>
      <w:szCs w:val="20"/>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2"/>
    <w:qFormat/>
    <w:uiPriority w:val="0"/>
    <w:rPr>
      <w:rFonts w:ascii="宋体"/>
      <w:sz w:val="18"/>
      <w:szCs w:val="18"/>
    </w:rPr>
  </w:style>
  <w:style w:type="paragraph" w:styleId="16">
    <w:name w:val="annotation text"/>
    <w:basedOn w:val="1"/>
    <w:link w:val="73"/>
    <w:qFormat/>
    <w:uiPriority w:val="0"/>
    <w:pPr>
      <w:jc w:val="left"/>
    </w:pPr>
  </w:style>
  <w:style w:type="paragraph" w:styleId="17">
    <w:name w:val="Body Text 3"/>
    <w:basedOn w:val="1"/>
    <w:link w:val="74"/>
    <w:qFormat/>
    <w:uiPriority w:val="0"/>
    <w:rPr>
      <w:rFonts w:ascii="仿宋_GB2312" w:hAnsi="宋体" w:eastAsia="仿宋_GB2312"/>
      <w:color w:val="000000"/>
      <w:kern w:val="0"/>
      <w:sz w:val="24"/>
    </w:rPr>
  </w:style>
  <w:style w:type="paragraph" w:styleId="18">
    <w:name w:val="Body Text Indent"/>
    <w:basedOn w:val="1"/>
    <w:link w:val="75"/>
    <w:qFormat/>
    <w:uiPriority w:val="0"/>
    <w:pPr>
      <w:spacing w:line="360" w:lineRule="auto"/>
      <w:ind w:firstLine="570"/>
    </w:pPr>
    <w:rPr>
      <w:sz w:val="24"/>
    </w:rPr>
  </w:style>
  <w:style w:type="paragraph" w:styleId="19">
    <w:name w:val="Block Text"/>
    <w:basedOn w:val="1"/>
    <w:qFormat/>
    <w:uiPriority w:val="0"/>
    <w:pPr>
      <w:spacing w:after="120"/>
      <w:ind w:left="1440" w:leftChars="700" w:right="700" w:rightChars="700"/>
    </w:pPr>
    <w:rPr>
      <w:szCs w:val="21"/>
    </w:rPr>
  </w:style>
  <w:style w:type="paragraph" w:styleId="20">
    <w:name w:val="index 4"/>
    <w:basedOn w:val="1"/>
    <w:next w:val="1"/>
    <w:qFormat/>
    <w:uiPriority w:val="0"/>
    <w:pPr>
      <w:ind w:left="600" w:leftChars="600"/>
    </w:pPr>
    <w:rPr>
      <w:rFonts w:ascii="Calibri" w:hAnsi="Calibri"/>
    </w:rPr>
  </w:style>
  <w:style w:type="paragraph" w:styleId="21">
    <w:name w:val="toc 5"/>
    <w:basedOn w:val="1"/>
    <w:next w:val="1"/>
    <w:qFormat/>
    <w:uiPriority w:val="0"/>
    <w:pPr>
      <w:ind w:left="840"/>
      <w:jc w:val="left"/>
    </w:pPr>
    <w:rPr>
      <w:rFonts w:ascii="Calibri" w:hAnsi="Calibri" w:cs="Calibri"/>
      <w:sz w:val="18"/>
      <w:szCs w:val="18"/>
    </w:rPr>
  </w:style>
  <w:style w:type="paragraph" w:styleId="22">
    <w:name w:val="toc 3"/>
    <w:basedOn w:val="1"/>
    <w:next w:val="1"/>
    <w:qFormat/>
    <w:uiPriority w:val="39"/>
    <w:pPr>
      <w:ind w:left="840" w:leftChars="400"/>
    </w:pPr>
    <w:rPr>
      <w:sz w:val="24"/>
    </w:rPr>
  </w:style>
  <w:style w:type="paragraph" w:styleId="23">
    <w:name w:val="Plain Text"/>
    <w:basedOn w:val="1"/>
    <w:link w:val="76"/>
    <w:qFormat/>
    <w:uiPriority w:val="0"/>
    <w:rPr>
      <w:rFonts w:ascii="宋体" w:hAnsi="Courier New"/>
      <w:szCs w:val="20"/>
    </w:rPr>
  </w:style>
  <w:style w:type="paragraph" w:styleId="24">
    <w:name w:val="toc 8"/>
    <w:basedOn w:val="1"/>
    <w:next w:val="1"/>
    <w:qFormat/>
    <w:uiPriority w:val="0"/>
    <w:pPr>
      <w:ind w:left="1470"/>
      <w:jc w:val="left"/>
    </w:pPr>
    <w:rPr>
      <w:rFonts w:ascii="Calibri" w:hAnsi="Calibri" w:cs="Calibri"/>
      <w:sz w:val="18"/>
      <w:szCs w:val="18"/>
    </w:rPr>
  </w:style>
  <w:style w:type="paragraph" w:styleId="25">
    <w:name w:val="Date"/>
    <w:basedOn w:val="1"/>
    <w:next w:val="1"/>
    <w:link w:val="77"/>
    <w:unhideWhenUsed/>
    <w:qFormat/>
    <w:uiPriority w:val="0"/>
    <w:pPr>
      <w:ind w:left="100" w:leftChars="2500"/>
    </w:pPr>
    <w:rPr>
      <w:sz w:val="28"/>
    </w:rPr>
  </w:style>
  <w:style w:type="paragraph" w:styleId="26">
    <w:name w:val="Body Text Indent 2"/>
    <w:basedOn w:val="1"/>
    <w:link w:val="78"/>
    <w:qFormat/>
    <w:uiPriority w:val="0"/>
    <w:pPr>
      <w:ind w:firstLine="480" w:firstLineChars="200"/>
    </w:pPr>
    <w:rPr>
      <w:rFonts w:ascii="仿宋_GB2312" w:eastAsia="仿宋_GB2312"/>
      <w:sz w:val="24"/>
    </w:rPr>
  </w:style>
  <w:style w:type="paragraph" w:styleId="27">
    <w:name w:val="endnote text"/>
    <w:basedOn w:val="1"/>
    <w:qFormat/>
    <w:uiPriority w:val="0"/>
    <w:pPr>
      <w:snapToGrid w:val="0"/>
      <w:jc w:val="left"/>
    </w:pPr>
  </w:style>
  <w:style w:type="paragraph" w:styleId="28">
    <w:name w:val="Balloon Text"/>
    <w:basedOn w:val="1"/>
    <w:link w:val="79"/>
    <w:qFormat/>
    <w:uiPriority w:val="99"/>
    <w:rPr>
      <w:sz w:val="18"/>
      <w:szCs w:val="18"/>
    </w:rPr>
  </w:style>
  <w:style w:type="paragraph" w:styleId="29">
    <w:name w:val="footer"/>
    <w:basedOn w:val="1"/>
    <w:link w:val="8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rPr>
      <w:sz w:val="24"/>
    </w:rPr>
  </w:style>
  <w:style w:type="paragraph" w:styleId="32">
    <w:name w:val="toc 4"/>
    <w:basedOn w:val="1"/>
    <w:next w:val="1"/>
    <w:qFormat/>
    <w:uiPriority w:val="0"/>
    <w:pPr>
      <w:ind w:left="630"/>
      <w:jc w:val="left"/>
    </w:pPr>
    <w:rPr>
      <w:rFonts w:ascii="Calibri" w:hAnsi="Calibri" w:cs="Calibri"/>
      <w:sz w:val="18"/>
      <w:szCs w:val="18"/>
    </w:rPr>
  </w:style>
  <w:style w:type="paragraph" w:styleId="33">
    <w:name w:val="Subtitle"/>
    <w:basedOn w:val="1"/>
    <w:next w:val="1"/>
    <w:link w:val="82"/>
    <w:qFormat/>
    <w:uiPriority w:val="0"/>
    <w:pPr>
      <w:spacing w:before="240" w:after="60" w:line="360" w:lineRule="auto"/>
      <w:jc w:val="center"/>
      <w:outlineLvl w:val="1"/>
    </w:pPr>
    <w:rPr>
      <w:rFonts w:ascii="宋体" w:hAnsi="宋体"/>
      <w:b/>
      <w:bCs/>
      <w:kern w:val="28"/>
      <w:sz w:val="28"/>
      <w:szCs w:val="28"/>
    </w:rPr>
  </w:style>
  <w:style w:type="paragraph" w:styleId="34">
    <w:name w:val="toc 6"/>
    <w:basedOn w:val="1"/>
    <w:next w:val="1"/>
    <w:qFormat/>
    <w:uiPriority w:val="0"/>
    <w:pPr>
      <w:ind w:left="1050"/>
      <w:jc w:val="left"/>
    </w:pPr>
    <w:rPr>
      <w:rFonts w:ascii="Calibri" w:hAnsi="Calibri" w:cs="Calibri"/>
      <w:sz w:val="18"/>
      <w:szCs w:val="18"/>
    </w:rPr>
  </w:style>
  <w:style w:type="paragraph" w:styleId="35">
    <w:name w:val="Body Text Indent 3"/>
    <w:basedOn w:val="1"/>
    <w:link w:val="8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ind w:left="420" w:leftChars="200"/>
    </w:pPr>
    <w:rPr>
      <w:sz w:val="24"/>
    </w:rPr>
  </w:style>
  <w:style w:type="paragraph" w:styleId="37">
    <w:name w:val="toc 9"/>
    <w:basedOn w:val="1"/>
    <w:next w:val="1"/>
    <w:qFormat/>
    <w:uiPriority w:val="0"/>
    <w:pPr>
      <w:ind w:left="1680"/>
      <w:jc w:val="left"/>
    </w:pPr>
    <w:rPr>
      <w:rFonts w:ascii="Calibri" w:hAnsi="Calibri" w:cs="Calibri"/>
      <w:sz w:val="18"/>
      <w:szCs w:val="18"/>
    </w:rPr>
  </w:style>
  <w:style w:type="paragraph" w:styleId="38">
    <w:name w:val="Body Text 2"/>
    <w:basedOn w:val="1"/>
    <w:link w:val="84"/>
    <w:qFormat/>
    <w:uiPriority w:val="0"/>
    <w:pPr>
      <w:jc w:val="center"/>
    </w:pPr>
    <w:rPr>
      <w:rFonts w:eastAsia="仿宋_GB2312"/>
      <w:b/>
      <w:bCs/>
      <w:sz w:val="72"/>
    </w:rPr>
  </w:style>
  <w:style w:type="paragraph" w:styleId="39">
    <w:name w:val="HTML Preformatted"/>
    <w:basedOn w:val="1"/>
    <w:link w:val="8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rPr>
  </w:style>
  <w:style w:type="paragraph" w:styleId="40">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41">
    <w:name w:val="Title"/>
    <w:basedOn w:val="1"/>
    <w:next w:val="1"/>
    <w:link w:val="86"/>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87"/>
    <w:qFormat/>
    <w:uiPriority w:val="0"/>
    <w:rPr>
      <w:b/>
      <w:bCs/>
    </w:rPr>
  </w:style>
  <w:style w:type="paragraph" w:styleId="43">
    <w:name w:val="Body Text First Indent"/>
    <w:basedOn w:val="2"/>
    <w:link w:val="88"/>
    <w:qFormat/>
    <w:uiPriority w:val="0"/>
    <w:pPr>
      <w:tabs>
        <w:tab w:val="clear" w:pos="567"/>
      </w:tabs>
      <w:spacing w:before="0" w:line="312" w:lineRule="auto"/>
      <w:ind w:firstLine="420"/>
      <w:jc w:val="center"/>
    </w:pPr>
    <w:rPr>
      <w:rFonts w:ascii="Times New Roman" w:hAnsi="Times New Roman"/>
      <w:sz w:val="21"/>
      <w:szCs w:val="21"/>
    </w:rPr>
  </w:style>
  <w:style w:type="table" w:styleId="45">
    <w:name w:val="Table Grid"/>
    <w:basedOn w:val="44"/>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basedOn w:val="46"/>
    <w:qFormat/>
    <w:uiPriority w:val="99"/>
    <w:rPr>
      <w:color w:val="auto"/>
      <w:u w:val="none"/>
    </w:rPr>
  </w:style>
  <w:style w:type="character" w:styleId="50">
    <w:name w:val="Emphasis"/>
    <w:qFormat/>
    <w:uiPriority w:val="20"/>
    <w:rPr>
      <w:i/>
      <w:iCs/>
    </w:rPr>
  </w:style>
  <w:style w:type="character" w:styleId="51">
    <w:name w:val="HTML Definition"/>
    <w:basedOn w:val="46"/>
    <w:qFormat/>
    <w:uiPriority w:val="99"/>
  </w:style>
  <w:style w:type="character" w:styleId="52">
    <w:name w:val="HTML Typewriter"/>
    <w:basedOn w:val="46"/>
    <w:unhideWhenUsed/>
    <w:qFormat/>
    <w:uiPriority w:val="99"/>
    <w:rPr>
      <w:rFonts w:ascii="monospace" w:hAnsi="monospace" w:eastAsia="monospace" w:cs="monospace"/>
      <w:sz w:val="20"/>
    </w:rPr>
  </w:style>
  <w:style w:type="character" w:styleId="53">
    <w:name w:val="HTML Acronym"/>
    <w:basedOn w:val="46"/>
    <w:qFormat/>
    <w:uiPriority w:val="99"/>
  </w:style>
  <w:style w:type="character" w:styleId="54">
    <w:name w:val="HTML Variable"/>
    <w:basedOn w:val="46"/>
    <w:qFormat/>
    <w:uiPriority w:val="99"/>
  </w:style>
  <w:style w:type="character" w:styleId="55">
    <w:name w:val="Hyperlink"/>
    <w:basedOn w:val="46"/>
    <w:qFormat/>
    <w:uiPriority w:val="99"/>
    <w:rPr>
      <w:color w:val="333333"/>
      <w:u w:val="none"/>
    </w:rPr>
  </w:style>
  <w:style w:type="character" w:styleId="56">
    <w:name w:val="HTML Code"/>
    <w:basedOn w:val="46"/>
    <w:qFormat/>
    <w:uiPriority w:val="99"/>
    <w:rPr>
      <w:rFonts w:ascii="monospace" w:hAnsi="monospace" w:cs="monospace"/>
      <w:sz w:val="24"/>
      <w:szCs w:val="24"/>
    </w:rPr>
  </w:style>
  <w:style w:type="character" w:styleId="57">
    <w:name w:val="annotation reference"/>
    <w:qFormat/>
    <w:uiPriority w:val="0"/>
    <w:rPr>
      <w:sz w:val="21"/>
      <w:szCs w:val="21"/>
    </w:rPr>
  </w:style>
  <w:style w:type="character" w:styleId="58">
    <w:name w:val="HTML Cite"/>
    <w:basedOn w:val="46"/>
    <w:qFormat/>
    <w:uiPriority w:val="99"/>
  </w:style>
  <w:style w:type="character" w:styleId="59">
    <w:name w:val="HTML Keyboard"/>
    <w:basedOn w:val="46"/>
    <w:qFormat/>
    <w:uiPriority w:val="99"/>
    <w:rPr>
      <w:rFonts w:ascii="monospace" w:hAnsi="monospace" w:cs="monospace"/>
      <w:sz w:val="24"/>
      <w:szCs w:val="24"/>
    </w:rPr>
  </w:style>
  <w:style w:type="character" w:styleId="60">
    <w:name w:val="HTML Sample"/>
    <w:basedOn w:val="46"/>
    <w:qFormat/>
    <w:uiPriority w:val="99"/>
    <w:rPr>
      <w:rFonts w:ascii="monospace" w:hAnsi="monospace" w:cs="monospace"/>
      <w:sz w:val="24"/>
      <w:szCs w:val="24"/>
    </w:rPr>
  </w:style>
  <w:style w:type="character" w:customStyle="1" w:styleId="61">
    <w:name w:val="标题 1 Char"/>
    <w:link w:val="3"/>
    <w:qFormat/>
    <w:uiPriority w:val="0"/>
    <w:rPr>
      <w:rFonts w:ascii="宋体" w:hAnsi="宋体"/>
      <w:b/>
      <w:bCs/>
      <w:kern w:val="44"/>
      <w:sz w:val="32"/>
    </w:rPr>
  </w:style>
  <w:style w:type="character" w:customStyle="1" w:styleId="62">
    <w:name w:val="标题 2 Char"/>
    <w:link w:val="4"/>
    <w:qFormat/>
    <w:uiPriority w:val="0"/>
    <w:rPr>
      <w:rFonts w:ascii="宋体" w:hAnsi="宋体"/>
      <w:b/>
      <w:bCs/>
      <w:sz w:val="24"/>
    </w:rPr>
  </w:style>
  <w:style w:type="character" w:customStyle="1" w:styleId="63">
    <w:name w:val="标题 4 Char"/>
    <w:link w:val="7"/>
    <w:qFormat/>
    <w:uiPriority w:val="0"/>
    <w:rPr>
      <w:rFonts w:ascii="Cambria" w:hAnsi="Cambria"/>
      <w:b/>
      <w:bCs/>
      <w:kern w:val="2"/>
      <w:sz w:val="28"/>
      <w:szCs w:val="28"/>
    </w:rPr>
  </w:style>
  <w:style w:type="character" w:customStyle="1" w:styleId="64">
    <w:name w:val="正文文本 Char"/>
    <w:link w:val="2"/>
    <w:qFormat/>
    <w:uiPriority w:val="0"/>
    <w:rPr>
      <w:rFonts w:ascii="宋体" w:hAnsi="宋体"/>
      <w:kern w:val="2"/>
      <w:sz w:val="24"/>
      <w:szCs w:val="24"/>
    </w:rPr>
  </w:style>
  <w:style w:type="character" w:customStyle="1" w:styleId="65">
    <w:name w:val="正文缩进 Char"/>
    <w:link w:val="5"/>
    <w:qFormat/>
    <w:uiPriority w:val="0"/>
    <w:rPr>
      <w:rFonts w:ascii="宋体"/>
      <w:sz w:val="24"/>
    </w:rPr>
  </w:style>
  <w:style w:type="character" w:customStyle="1" w:styleId="66">
    <w:name w:val="标题 3 Char"/>
    <w:link w:val="6"/>
    <w:qFormat/>
    <w:uiPriority w:val="0"/>
    <w:rPr>
      <w:rFonts w:ascii="宋体"/>
      <w:b/>
      <w:bCs/>
      <w:sz w:val="28"/>
      <w:szCs w:val="28"/>
    </w:rPr>
  </w:style>
  <w:style w:type="character" w:customStyle="1" w:styleId="67">
    <w:name w:val="标题 5 Char"/>
    <w:link w:val="8"/>
    <w:qFormat/>
    <w:uiPriority w:val="0"/>
    <w:rPr>
      <w:b/>
      <w:bCs/>
      <w:kern w:val="2"/>
      <w:sz w:val="28"/>
      <w:szCs w:val="28"/>
    </w:rPr>
  </w:style>
  <w:style w:type="character" w:customStyle="1" w:styleId="68">
    <w:name w:val="标题 6 Char"/>
    <w:link w:val="9"/>
    <w:qFormat/>
    <w:uiPriority w:val="0"/>
    <w:rPr>
      <w:rFonts w:ascii="Cambria" w:hAnsi="Cambria" w:eastAsia="宋体" w:cs="Times New Roman"/>
      <w:b/>
      <w:bCs/>
      <w:kern w:val="2"/>
      <w:sz w:val="24"/>
      <w:szCs w:val="24"/>
    </w:rPr>
  </w:style>
  <w:style w:type="character" w:customStyle="1" w:styleId="69">
    <w:name w:val="标题 7 Char"/>
    <w:basedOn w:val="46"/>
    <w:link w:val="10"/>
    <w:qFormat/>
    <w:uiPriority w:val="0"/>
    <w:rPr>
      <w:rFonts w:ascii="Calibri" w:hAnsi="Calibri"/>
      <w:b/>
      <w:bCs/>
      <w:sz w:val="24"/>
      <w:szCs w:val="24"/>
    </w:rPr>
  </w:style>
  <w:style w:type="character" w:customStyle="1" w:styleId="70">
    <w:name w:val="标题 8 Char"/>
    <w:basedOn w:val="46"/>
    <w:link w:val="11"/>
    <w:qFormat/>
    <w:uiPriority w:val="0"/>
    <w:rPr>
      <w:rFonts w:ascii="Arial" w:hAnsi="Arial" w:eastAsia="黑体"/>
      <w:sz w:val="24"/>
      <w:szCs w:val="24"/>
    </w:rPr>
  </w:style>
  <w:style w:type="character" w:customStyle="1" w:styleId="71">
    <w:name w:val="标题 9 Char"/>
    <w:basedOn w:val="46"/>
    <w:link w:val="12"/>
    <w:qFormat/>
    <w:uiPriority w:val="0"/>
    <w:rPr>
      <w:rFonts w:ascii="Arial" w:hAnsi="Arial" w:eastAsia="黑体"/>
      <w:sz w:val="21"/>
      <w:szCs w:val="21"/>
    </w:rPr>
  </w:style>
  <w:style w:type="character" w:customStyle="1" w:styleId="72">
    <w:name w:val="文档结构图 Char"/>
    <w:link w:val="15"/>
    <w:qFormat/>
    <w:uiPriority w:val="0"/>
    <w:rPr>
      <w:rFonts w:ascii="宋体"/>
      <w:kern w:val="2"/>
      <w:sz w:val="18"/>
      <w:szCs w:val="18"/>
    </w:rPr>
  </w:style>
  <w:style w:type="character" w:customStyle="1" w:styleId="73">
    <w:name w:val="批注文字 Char"/>
    <w:link w:val="16"/>
    <w:qFormat/>
    <w:uiPriority w:val="0"/>
    <w:rPr>
      <w:kern w:val="2"/>
      <w:sz w:val="21"/>
      <w:szCs w:val="24"/>
    </w:rPr>
  </w:style>
  <w:style w:type="character" w:customStyle="1" w:styleId="74">
    <w:name w:val="正文文本 3 Char"/>
    <w:link w:val="17"/>
    <w:qFormat/>
    <w:uiPriority w:val="0"/>
    <w:rPr>
      <w:rFonts w:ascii="仿宋_GB2312" w:hAnsi="宋体" w:eastAsia="仿宋_GB2312"/>
      <w:color w:val="000000"/>
      <w:sz w:val="24"/>
      <w:szCs w:val="24"/>
    </w:rPr>
  </w:style>
  <w:style w:type="character" w:customStyle="1" w:styleId="75">
    <w:name w:val="正文文本缩进 Char"/>
    <w:link w:val="18"/>
    <w:qFormat/>
    <w:uiPriority w:val="0"/>
    <w:rPr>
      <w:kern w:val="2"/>
      <w:sz w:val="24"/>
      <w:szCs w:val="24"/>
    </w:rPr>
  </w:style>
  <w:style w:type="character" w:customStyle="1" w:styleId="76">
    <w:name w:val="纯文本 Char"/>
    <w:link w:val="23"/>
    <w:qFormat/>
    <w:uiPriority w:val="0"/>
    <w:rPr>
      <w:rFonts w:ascii="宋体" w:hAnsi="Courier New"/>
      <w:kern w:val="2"/>
      <w:sz w:val="21"/>
    </w:rPr>
  </w:style>
  <w:style w:type="character" w:customStyle="1" w:styleId="77">
    <w:name w:val="日期 Char"/>
    <w:link w:val="25"/>
    <w:qFormat/>
    <w:uiPriority w:val="0"/>
    <w:rPr>
      <w:kern w:val="2"/>
      <w:sz w:val="28"/>
      <w:szCs w:val="24"/>
    </w:rPr>
  </w:style>
  <w:style w:type="character" w:customStyle="1" w:styleId="78">
    <w:name w:val="正文文本缩进 2 Char"/>
    <w:basedOn w:val="46"/>
    <w:link w:val="26"/>
    <w:qFormat/>
    <w:locked/>
    <w:uiPriority w:val="0"/>
    <w:rPr>
      <w:rFonts w:ascii="仿宋_GB2312" w:eastAsia="仿宋_GB2312"/>
      <w:kern w:val="2"/>
      <w:sz w:val="24"/>
      <w:szCs w:val="24"/>
    </w:rPr>
  </w:style>
  <w:style w:type="character" w:customStyle="1" w:styleId="79">
    <w:name w:val="批注框文本 Char"/>
    <w:link w:val="28"/>
    <w:qFormat/>
    <w:uiPriority w:val="99"/>
    <w:rPr>
      <w:kern w:val="2"/>
      <w:sz w:val="18"/>
      <w:szCs w:val="18"/>
    </w:rPr>
  </w:style>
  <w:style w:type="character" w:customStyle="1" w:styleId="80">
    <w:name w:val="页脚 Char"/>
    <w:link w:val="29"/>
    <w:qFormat/>
    <w:uiPriority w:val="99"/>
    <w:rPr>
      <w:rFonts w:ascii="宋体"/>
      <w:sz w:val="18"/>
    </w:rPr>
  </w:style>
  <w:style w:type="character" w:customStyle="1" w:styleId="81">
    <w:name w:val="页眉 Char"/>
    <w:link w:val="30"/>
    <w:qFormat/>
    <w:uiPriority w:val="99"/>
    <w:rPr>
      <w:kern w:val="2"/>
      <w:sz w:val="18"/>
      <w:szCs w:val="18"/>
    </w:rPr>
  </w:style>
  <w:style w:type="character" w:customStyle="1" w:styleId="82">
    <w:name w:val="副标题 Char"/>
    <w:link w:val="33"/>
    <w:qFormat/>
    <w:uiPriority w:val="0"/>
    <w:rPr>
      <w:rFonts w:ascii="宋体" w:hAnsi="宋体"/>
      <w:b/>
      <w:bCs/>
      <w:kern w:val="28"/>
      <w:sz w:val="28"/>
      <w:szCs w:val="28"/>
    </w:rPr>
  </w:style>
  <w:style w:type="character" w:customStyle="1" w:styleId="83">
    <w:name w:val="正文文本缩进 3 Char"/>
    <w:basedOn w:val="46"/>
    <w:link w:val="35"/>
    <w:qFormat/>
    <w:locked/>
    <w:uiPriority w:val="0"/>
    <w:rPr>
      <w:rFonts w:ascii="宋体"/>
      <w:sz w:val="24"/>
    </w:rPr>
  </w:style>
  <w:style w:type="character" w:customStyle="1" w:styleId="84">
    <w:name w:val="正文文本 2 Char"/>
    <w:basedOn w:val="46"/>
    <w:link w:val="38"/>
    <w:qFormat/>
    <w:locked/>
    <w:uiPriority w:val="0"/>
    <w:rPr>
      <w:rFonts w:eastAsia="仿宋_GB2312"/>
      <w:b/>
      <w:bCs/>
      <w:kern w:val="2"/>
      <w:sz w:val="72"/>
      <w:szCs w:val="24"/>
    </w:rPr>
  </w:style>
  <w:style w:type="character" w:customStyle="1" w:styleId="85">
    <w:name w:val="HTML 预设格式 Char"/>
    <w:basedOn w:val="46"/>
    <w:link w:val="39"/>
    <w:qFormat/>
    <w:uiPriority w:val="99"/>
    <w:rPr>
      <w:rFonts w:ascii="宋体" w:hAnsi="宋体"/>
      <w:kern w:val="2"/>
      <w:sz w:val="24"/>
      <w:szCs w:val="24"/>
    </w:rPr>
  </w:style>
  <w:style w:type="character" w:customStyle="1" w:styleId="86">
    <w:name w:val="标题 Char"/>
    <w:link w:val="41"/>
    <w:qFormat/>
    <w:uiPriority w:val="0"/>
    <w:rPr>
      <w:rFonts w:ascii="Cambria" w:hAnsi="Cambria" w:cs="Times New Roman"/>
      <w:b/>
      <w:bCs/>
      <w:kern w:val="2"/>
      <w:sz w:val="32"/>
      <w:szCs w:val="32"/>
    </w:rPr>
  </w:style>
  <w:style w:type="character" w:customStyle="1" w:styleId="87">
    <w:name w:val="批注主题 Char"/>
    <w:link w:val="42"/>
    <w:qFormat/>
    <w:uiPriority w:val="0"/>
    <w:rPr>
      <w:b/>
      <w:bCs/>
      <w:kern w:val="2"/>
      <w:sz w:val="21"/>
      <w:szCs w:val="24"/>
    </w:rPr>
  </w:style>
  <w:style w:type="character" w:customStyle="1" w:styleId="88">
    <w:name w:val="正文首行缩进 Char"/>
    <w:basedOn w:val="64"/>
    <w:link w:val="43"/>
    <w:qFormat/>
    <w:uiPriority w:val="0"/>
    <w:rPr>
      <w:sz w:val="21"/>
      <w:szCs w:val="21"/>
    </w:rPr>
  </w:style>
  <w:style w:type="paragraph" w:customStyle="1" w:styleId="89">
    <w:name w:val="列出段落1"/>
    <w:basedOn w:val="1"/>
    <w:link w:val="90"/>
    <w:qFormat/>
    <w:uiPriority w:val="34"/>
    <w:pPr>
      <w:ind w:firstLine="420" w:firstLineChars="200"/>
    </w:pPr>
    <w:rPr>
      <w:rFonts w:ascii="Calibri" w:hAnsi="Calibri"/>
      <w:kern w:val="0"/>
      <w:sz w:val="20"/>
      <w:szCs w:val="20"/>
    </w:rPr>
  </w:style>
  <w:style w:type="character" w:customStyle="1" w:styleId="90">
    <w:name w:val="列出段落 Char"/>
    <w:link w:val="89"/>
    <w:qFormat/>
    <w:uiPriority w:val="34"/>
    <w:rPr>
      <w:rFonts w:ascii="Calibri" w:hAnsi="Calibri"/>
    </w:rPr>
  </w:style>
  <w:style w:type="character" w:customStyle="1" w:styleId="91">
    <w:name w:val="Subtle Emphasis"/>
    <w:qFormat/>
    <w:uiPriority w:val="0"/>
    <w:rPr>
      <w:i/>
      <w:iCs/>
      <w:color w:val="808080"/>
    </w:rPr>
  </w:style>
  <w:style w:type="character" w:customStyle="1" w:styleId="92">
    <w:name w:val="ttd1"/>
    <w:qFormat/>
    <w:uiPriority w:val="0"/>
    <w:rPr>
      <w:sz w:val="18"/>
      <w:szCs w:val="18"/>
    </w:rPr>
  </w:style>
  <w:style w:type="character" w:customStyle="1" w:styleId="93">
    <w:name w:val="ꌢ 3 Char Char"/>
    <w:link w:val="94"/>
    <w:qFormat/>
    <w:uiPriority w:val="0"/>
    <w:rPr>
      <w:rFonts w:ascii="Ђˎ̥" w:hAnsi="Ђˎ̥"/>
      <w:b/>
      <w:bCs/>
    </w:rPr>
  </w:style>
  <w:style w:type="paragraph" w:customStyle="1" w:styleId="94">
    <w:name w:val="ꌢ 3"/>
    <w:basedOn w:val="1"/>
    <w:link w:val="93"/>
    <w:qFormat/>
    <w:uiPriority w:val="0"/>
    <w:pPr>
      <w:widowControl/>
    </w:pPr>
    <w:rPr>
      <w:rFonts w:ascii="Ђˎ̥" w:hAnsi="Ђˎ̥"/>
      <w:b/>
      <w:bCs/>
      <w:kern w:val="0"/>
      <w:sz w:val="20"/>
      <w:szCs w:val="20"/>
    </w:rPr>
  </w:style>
  <w:style w:type="character" w:customStyle="1" w:styleId="95">
    <w:name w:val="Char Char"/>
    <w:qFormat/>
    <w:uiPriority w:val="0"/>
    <w:rPr>
      <w:rFonts w:hint="eastAsia" w:ascii="宋体" w:hAnsi="宋体" w:eastAsia="宋体"/>
      <w:kern w:val="2"/>
      <w:sz w:val="18"/>
      <w:szCs w:val="18"/>
      <w:lang w:val="en-US" w:eastAsia="zh-CN" w:bidi="ar-SA"/>
    </w:rPr>
  </w:style>
  <w:style w:type="character" w:customStyle="1" w:styleId="96">
    <w:name w:val="引用 Char"/>
    <w:link w:val="97"/>
    <w:qFormat/>
    <w:uiPriority w:val="0"/>
    <w:rPr>
      <w:rFonts w:ascii="Calibri" w:hAnsi="Calibri"/>
      <w:i/>
      <w:sz w:val="24"/>
      <w:szCs w:val="24"/>
      <w:lang w:eastAsia="en-US"/>
    </w:rPr>
  </w:style>
  <w:style w:type="paragraph" w:styleId="97">
    <w:name w:val="Quote"/>
    <w:basedOn w:val="1"/>
    <w:next w:val="1"/>
    <w:link w:val="96"/>
    <w:qFormat/>
    <w:uiPriority w:val="0"/>
    <w:pPr>
      <w:widowControl/>
      <w:jc w:val="left"/>
    </w:pPr>
    <w:rPr>
      <w:rFonts w:ascii="Calibri" w:hAnsi="Calibri"/>
      <w:i/>
      <w:kern w:val="0"/>
      <w:sz w:val="24"/>
      <w:lang w:eastAsia="en-US"/>
    </w:rPr>
  </w:style>
  <w:style w:type="character" w:customStyle="1" w:styleId="98">
    <w:name w:val="stclosebtn"/>
    <w:basedOn w:val="46"/>
    <w:qFormat/>
    <w:uiPriority w:val="0"/>
  </w:style>
  <w:style w:type="character" w:customStyle="1" w:styleId="99">
    <w:name w:val="个人答复风格"/>
    <w:qFormat/>
    <w:uiPriority w:val="0"/>
    <w:rPr>
      <w:rFonts w:ascii="Arial" w:hAnsi="Arial" w:eastAsia="宋体" w:cs="Arial"/>
      <w:color w:val="auto"/>
      <w:sz w:val="20"/>
    </w:rPr>
  </w:style>
  <w:style w:type="character" w:customStyle="1" w:styleId="100">
    <w:name w:val="标题 Char1"/>
    <w:qFormat/>
    <w:uiPriority w:val="10"/>
    <w:rPr>
      <w:rFonts w:hint="default" w:ascii="Cambria" w:hAnsi="Cambria" w:cs="Times New Roman"/>
      <w:b/>
      <w:bCs/>
      <w:kern w:val="2"/>
      <w:sz w:val="32"/>
      <w:szCs w:val="32"/>
    </w:rPr>
  </w:style>
  <w:style w:type="character" w:customStyle="1" w:styleId="101">
    <w:name w:val="font01"/>
    <w:basedOn w:val="46"/>
    <w:qFormat/>
    <w:uiPriority w:val="99"/>
    <w:rPr>
      <w:rFonts w:ascii="宋体" w:hAnsi="宋体" w:eastAsia="宋体" w:cs="宋体"/>
      <w:color w:val="FF0000"/>
      <w:sz w:val="20"/>
      <w:szCs w:val="20"/>
      <w:u w:val="none"/>
    </w:rPr>
  </w:style>
  <w:style w:type="character" w:customStyle="1" w:styleId="102">
    <w:name w:val="font11"/>
    <w:qFormat/>
    <w:uiPriority w:val="99"/>
    <w:rPr>
      <w:color w:val="000000"/>
      <w:sz w:val="18"/>
      <w:szCs w:val="18"/>
    </w:rPr>
  </w:style>
  <w:style w:type="character" w:customStyle="1" w:styleId="103">
    <w:name w:val="Char Char Char Char Char Char Char Char Char"/>
    <w:qFormat/>
    <w:uiPriority w:val="0"/>
    <w:rPr>
      <w:sz w:val="18"/>
      <w:szCs w:val="18"/>
    </w:rPr>
  </w:style>
  <w:style w:type="character" w:customStyle="1" w:styleId="104">
    <w:name w:val="样式1 Char"/>
    <w:link w:val="105"/>
    <w:qFormat/>
    <w:uiPriority w:val="0"/>
    <w:rPr>
      <w:rFonts w:ascii="宋体" w:hAnsi="宋体"/>
      <w:kern w:val="2"/>
      <w:sz w:val="21"/>
      <w:szCs w:val="21"/>
    </w:rPr>
  </w:style>
  <w:style w:type="paragraph" w:customStyle="1" w:styleId="105">
    <w:name w:val="样式1"/>
    <w:basedOn w:val="1"/>
    <w:link w:val="104"/>
    <w:qFormat/>
    <w:uiPriority w:val="0"/>
    <w:pPr>
      <w:tabs>
        <w:tab w:val="left" w:pos="709"/>
      </w:tabs>
      <w:ind w:left="420" w:hanging="420"/>
    </w:pPr>
    <w:rPr>
      <w:rFonts w:ascii="宋体" w:hAnsi="宋体"/>
      <w:szCs w:val="21"/>
    </w:rPr>
  </w:style>
  <w:style w:type="character" w:customStyle="1" w:styleId="106">
    <w:name w:val="Char Char24"/>
    <w:qFormat/>
    <w:locked/>
    <w:uiPriority w:val="99"/>
    <w:rPr>
      <w:rFonts w:eastAsia="宋体"/>
      <w:b/>
      <w:bCs/>
      <w:kern w:val="2"/>
      <w:sz w:val="32"/>
      <w:szCs w:val="32"/>
      <w:lang w:val="en-US" w:eastAsia="zh-CN"/>
    </w:rPr>
  </w:style>
  <w:style w:type="character" w:customStyle="1" w:styleId="107">
    <w:name w:val="Intense Reference"/>
    <w:qFormat/>
    <w:uiPriority w:val="0"/>
    <w:rPr>
      <w:b/>
      <w:bCs/>
      <w:smallCaps/>
      <w:color w:val="C0504D"/>
      <w:spacing w:val="5"/>
      <w:u w:val="single"/>
    </w:rPr>
  </w:style>
  <w:style w:type="character" w:customStyle="1" w:styleId="108">
    <w:name w:val="ca-0"/>
    <w:basedOn w:val="46"/>
    <w:qFormat/>
    <w:uiPriority w:val="0"/>
  </w:style>
  <w:style w:type="character" w:customStyle="1" w:styleId="109">
    <w:name w:val=" Char Char"/>
    <w:qFormat/>
    <w:uiPriority w:val="0"/>
    <w:rPr>
      <w:rFonts w:eastAsia="宋体"/>
      <w:kern w:val="2"/>
      <w:sz w:val="18"/>
      <w:szCs w:val="18"/>
      <w:lang w:val="en-US" w:eastAsia="zh-CN" w:bidi="ar-SA"/>
    </w:rPr>
  </w:style>
  <w:style w:type="character" w:customStyle="1" w:styleId="110">
    <w:name w:val="breadcrumbnavclass"/>
    <w:basedOn w:val="46"/>
    <w:qFormat/>
    <w:uiPriority w:val="0"/>
  </w:style>
  <w:style w:type="character" w:customStyle="1" w:styleId="111">
    <w:name w:val="批注框文本 Char1"/>
    <w:qFormat/>
    <w:uiPriority w:val="0"/>
    <w:rPr>
      <w:kern w:val="2"/>
      <w:sz w:val="18"/>
      <w:szCs w:val="18"/>
    </w:rPr>
  </w:style>
  <w:style w:type="character" w:customStyle="1" w:styleId="112">
    <w:name w:val="font31"/>
    <w:basedOn w:val="46"/>
    <w:qFormat/>
    <w:uiPriority w:val="99"/>
    <w:rPr>
      <w:rFonts w:ascii="font-weight : 400" w:hAnsi="font-weight : 400" w:cs="font-weight : 400"/>
      <w:color w:val="000000"/>
      <w:sz w:val="20"/>
      <w:szCs w:val="20"/>
      <w:u w:val="none"/>
      <w:vertAlign w:val="superscript"/>
    </w:rPr>
  </w:style>
  <w:style w:type="character" w:customStyle="1" w:styleId="113">
    <w:name w:val="z41"/>
    <w:qFormat/>
    <w:uiPriority w:val="0"/>
    <w:rPr>
      <w:sz w:val="21"/>
      <w:szCs w:val="21"/>
    </w:rPr>
  </w:style>
  <w:style w:type="character" w:customStyle="1" w:styleId="114">
    <w:name w:val="org_name"/>
    <w:basedOn w:val="46"/>
    <w:qFormat/>
    <w:uiPriority w:val="99"/>
  </w:style>
  <w:style w:type="character" w:customStyle="1" w:styleId="115">
    <w:name w:val="bds_more2"/>
    <w:basedOn w:val="46"/>
    <w:qFormat/>
    <w:uiPriority w:val="99"/>
  </w:style>
  <w:style w:type="character" w:customStyle="1" w:styleId="116">
    <w:name w:val="Char Char1 Char Char Char Char Char Char Char Char Char Char"/>
    <w:link w:val="117"/>
    <w:qFormat/>
    <w:locked/>
    <w:uiPriority w:val="0"/>
    <w:rPr>
      <w:rFonts w:ascii="Verdana" w:hAnsi="Verdana" w:eastAsia="仿宋_GB2312"/>
      <w:sz w:val="24"/>
      <w:lang w:eastAsia="en-US"/>
    </w:rPr>
  </w:style>
  <w:style w:type="paragraph" w:customStyle="1" w:styleId="117">
    <w:name w:val="Char Char1 Char Char Char Char Char Char Char Char Char"/>
    <w:basedOn w:val="1"/>
    <w:link w:val="116"/>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8">
    <w:name w:val="f-star"/>
    <w:basedOn w:val="46"/>
    <w:qFormat/>
    <w:uiPriority w:val="99"/>
    <w:rPr>
      <w:color w:val="auto"/>
      <w:sz w:val="21"/>
      <w:szCs w:val="21"/>
    </w:rPr>
  </w:style>
  <w:style w:type="character" w:customStyle="1" w:styleId="119">
    <w:name w:val="Intense Emphasis"/>
    <w:qFormat/>
    <w:uiPriority w:val="0"/>
    <w:rPr>
      <w:b/>
      <w:bCs/>
      <w:i/>
      <w:iCs/>
      <w:color w:val="4F81BD"/>
    </w:rPr>
  </w:style>
  <w:style w:type="character" w:customStyle="1" w:styleId="120">
    <w:name w:val="my-notice1"/>
    <w:basedOn w:val="46"/>
    <w:qFormat/>
    <w:uiPriority w:val="99"/>
  </w:style>
  <w:style w:type="character" w:customStyle="1" w:styleId="121">
    <w:name w:val="my正文 Char"/>
    <w:link w:val="122"/>
    <w:qFormat/>
    <w:uiPriority w:val="0"/>
    <w:rPr>
      <w:kern w:val="2"/>
      <w:sz w:val="24"/>
      <w:szCs w:val="24"/>
    </w:rPr>
  </w:style>
  <w:style w:type="paragraph" w:customStyle="1" w:styleId="122">
    <w:name w:val="my正文"/>
    <w:basedOn w:val="1"/>
    <w:link w:val="121"/>
    <w:qFormat/>
    <w:uiPriority w:val="0"/>
    <w:pPr>
      <w:tabs>
        <w:tab w:val="left" w:pos="0"/>
      </w:tabs>
      <w:spacing w:before="100" w:beforeAutospacing="1" w:after="100" w:afterAutospacing="1" w:line="360" w:lineRule="auto"/>
      <w:ind w:firstLine="480" w:firstLineChars="200"/>
      <w:contextualSpacing/>
    </w:pPr>
    <w:rPr>
      <w:sz w:val="24"/>
    </w:rPr>
  </w:style>
  <w:style w:type="character" w:customStyle="1" w:styleId="123">
    <w:name w:val="标题 1 字符"/>
    <w:qFormat/>
    <w:uiPriority w:val="9"/>
    <w:rPr>
      <w:rFonts w:ascii="Times New Roman" w:hAnsi="Times New Roman" w:eastAsia="宋体" w:cs="Times New Roman"/>
      <w:b/>
      <w:bCs/>
      <w:kern w:val="44"/>
      <w:sz w:val="44"/>
      <w:szCs w:val="44"/>
    </w:rPr>
  </w:style>
  <w:style w:type="character" w:customStyle="1" w:styleId="124">
    <w:name w:val="phone"/>
    <w:qFormat/>
    <w:uiPriority w:val="0"/>
    <w:rPr>
      <w:color w:val="FF8833"/>
      <w:sz w:val="18"/>
      <w:szCs w:val="18"/>
    </w:rPr>
  </w:style>
  <w:style w:type="character" w:customStyle="1" w:styleId="125">
    <w:name w:val="ҳŻ"/>
    <w:link w:val="126"/>
    <w:qFormat/>
    <w:uiPriority w:val="0"/>
    <w:rPr>
      <w:rFonts w:ascii="Arial" w:hAnsi="Arial" w:cs="Arial"/>
      <w:sz w:val="32"/>
      <w:szCs w:val="32"/>
    </w:rPr>
  </w:style>
  <w:style w:type="paragraph" w:customStyle="1" w:styleId="126">
    <w:name w:val="ҳŠChar1"/>
    <w:basedOn w:val="1"/>
    <w:link w:val="125"/>
    <w:qFormat/>
    <w:uiPriority w:val="0"/>
    <w:pPr>
      <w:keepNext/>
      <w:widowControl/>
      <w:spacing w:after="120" w:line="400" w:lineRule="atLeast"/>
      <w:jc w:val="center"/>
    </w:pPr>
    <w:rPr>
      <w:rFonts w:ascii="Arial" w:hAnsi="Arial"/>
      <w:kern w:val="0"/>
      <w:sz w:val="32"/>
      <w:szCs w:val="32"/>
    </w:rPr>
  </w:style>
  <w:style w:type="character" w:customStyle="1" w:styleId="127">
    <w:name w:val="bds_nopic"/>
    <w:basedOn w:val="46"/>
    <w:qFormat/>
    <w:uiPriority w:val="99"/>
  </w:style>
  <w:style w:type="character" w:customStyle="1" w:styleId="128">
    <w:name w:val="orange"/>
    <w:basedOn w:val="46"/>
    <w:qFormat/>
    <w:uiPriority w:val="99"/>
    <w:rPr>
      <w:color w:val="auto"/>
    </w:rPr>
  </w:style>
  <w:style w:type="character" w:customStyle="1" w:styleId="129">
    <w:name w:val="日期 Char1"/>
    <w:qFormat/>
    <w:uiPriority w:val="0"/>
    <w:rPr>
      <w:kern w:val="2"/>
      <w:sz w:val="21"/>
      <w:szCs w:val="22"/>
    </w:rPr>
  </w:style>
  <w:style w:type="character" w:customStyle="1" w:styleId="130">
    <w:name w:val="no62"/>
    <w:basedOn w:val="46"/>
    <w:qFormat/>
    <w:uiPriority w:val="99"/>
  </w:style>
  <w:style w:type="character" w:customStyle="1" w:styleId="131">
    <w:name w:val="orange6"/>
    <w:basedOn w:val="46"/>
    <w:qFormat/>
    <w:uiPriority w:val="99"/>
    <w:rPr>
      <w:color w:val="auto"/>
    </w:rPr>
  </w:style>
  <w:style w:type="character" w:customStyle="1" w:styleId="132">
    <w:name w:val="ui-bz-bg-hover"/>
    <w:basedOn w:val="46"/>
    <w:qFormat/>
    <w:uiPriority w:val="99"/>
    <w:rPr>
      <w:shd w:val="clear" w:color="auto" w:fill="000000"/>
    </w:rPr>
  </w:style>
  <w:style w:type="character" w:customStyle="1" w:styleId="133">
    <w:name w:val="number"/>
    <w:qFormat/>
    <w:uiPriority w:val="0"/>
    <w:rPr>
      <w:color w:val="FF8833"/>
      <w:sz w:val="18"/>
      <w:szCs w:val="18"/>
    </w:rPr>
  </w:style>
  <w:style w:type="character" w:customStyle="1" w:styleId="134">
    <w:name w:val="apple-style-span"/>
    <w:basedOn w:val="46"/>
    <w:qFormat/>
    <w:uiPriority w:val="0"/>
  </w:style>
  <w:style w:type="character" w:customStyle="1" w:styleId="135">
    <w:name w:val="Char Char3"/>
    <w:qFormat/>
    <w:uiPriority w:val="0"/>
    <w:rPr>
      <w:rFonts w:eastAsia="宋体"/>
      <w:kern w:val="2"/>
      <w:sz w:val="24"/>
      <w:szCs w:val="24"/>
      <w:lang w:val="en-US" w:eastAsia="zh-CN"/>
    </w:rPr>
  </w:style>
  <w:style w:type="character" w:customStyle="1" w:styleId="136">
    <w:name w:val="proollist"/>
    <w:basedOn w:val="46"/>
    <w:qFormat/>
    <w:uiPriority w:val="0"/>
  </w:style>
  <w:style w:type="character" w:customStyle="1" w:styleId="137">
    <w:name w:val="no72"/>
    <w:basedOn w:val="46"/>
    <w:qFormat/>
    <w:uiPriority w:val="99"/>
  </w:style>
  <w:style w:type="character" w:customStyle="1" w:styleId="138">
    <w:name w:val="明显引用 Char"/>
    <w:link w:val="139"/>
    <w:qFormat/>
    <w:uiPriority w:val="0"/>
    <w:rPr>
      <w:rFonts w:ascii="Calibri" w:hAnsi="Calibri"/>
      <w:b/>
      <w:i/>
      <w:sz w:val="24"/>
      <w:szCs w:val="22"/>
      <w:lang w:eastAsia="en-US"/>
    </w:rPr>
  </w:style>
  <w:style w:type="paragraph" w:styleId="139">
    <w:name w:val="Intense Quote"/>
    <w:basedOn w:val="1"/>
    <w:next w:val="1"/>
    <w:link w:val="138"/>
    <w:qFormat/>
    <w:uiPriority w:val="0"/>
    <w:pPr>
      <w:widowControl/>
      <w:ind w:left="720" w:right="720"/>
      <w:jc w:val="left"/>
    </w:pPr>
    <w:rPr>
      <w:rFonts w:ascii="Calibri" w:hAnsi="Calibri"/>
      <w:b/>
      <w:i/>
      <w:kern w:val="0"/>
      <w:sz w:val="24"/>
      <w:szCs w:val="22"/>
      <w:lang w:eastAsia="en-US"/>
    </w:rPr>
  </w:style>
  <w:style w:type="character" w:customStyle="1" w:styleId="140">
    <w:name w:val="t-tag"/>
    <w:basedOn w:val="46"/>
    <w:qFormat/>
    <w:uiPriority w:val="99"/>
    <w:rPr>
      <w:color w:val="FFFFFF"/>
      <w:sz w:val="18"/>
      <w:szCs w:val="18"/>
      <w:shd w:val="clear" w:color="auto" w:fill="auto"/>
    </w:rPr>
  </w:style>
  <w:style w:type="character" w:customStyle="1" w:styleId="141">
    <w:name w:val="trans"/>
    <w:basedOn w:val="46"/>
    <w:qFormat/>
    <w:uiPriority w:val="0"/>
  </w:style>
  <w:style w:type="character" w:customStyle="1" w:styleId="142">
    <w:name w:val="no42"/>
    <w:basedOn w:val="46"/>
    <w:qFormat/>
    <w:uiPriority w:val="99"/>
  </w:style>
  <w:style w:type="character" w:customStyle="1" w:styleId="143">
    <w:name w:val="ico-jiang"/>
    <w:basedOn w:val="46"/>
    <w:qFormat/>
    <w:uiPriority w:val="99"/>
  </w:style>
  <w:style w:type="character" w:customStyle="1" w:styleId="144">
    <w:name w:val="样式2 Char"/>
    <w:link w:val="145"/>
    <w:qFormat/>
    <w:uiPriority w:val="0"/>
    <w:rPr>
      <w:bCs/>
      <w:kern w:val="2"/>
      <w:sz w:val="28"/>
      <w:szCs w:val="24"/>
    </w:rPr>
  </w:style>
  <w:style w:type="paragraph" w:customStyle="1" w:styleId="145">
    <w:name w:val="样式2"/>
    <w:basedOn w:val="1"/>
    <w:link w:val="144"/>
    <w:qFormat/>
    <w:uiPriority w:val="0"/>
    <w:pPr>
      <w:spacing w:line="600" w:lineRule="exact"/>
      <w:ind w:firstLine="200" w:firstLineChars="200"/>
      <w:jc w:val="left"/>
    </w:pPr>
    <w:rPr>
      <w:bCs/>
      <w:sz w:val="28"/>
    </w:rPr>
  </w:style>
  <w:style w:type="character" w:customStyle="1" w:styleId="146">
    <w:name w:val="top-icon"/>
    <w:basedOn w:val="46"/>
    <w:qFormat/>
    <w:uiPriority w:val="99"/>
  </w:style>
  <w:style w:type="character" w:customStyle="1" w:styleId="147">
    <w:name w:val="bds_nopic1"/>
    <w:basedOn w:val="46"/>
    <w:qFormat/>
    <w:uiPriority w:val="99"/>
  </w:style>
  <w:style w:type="character" w:customStyle="1" w:styleId="148">
    <w:name w:val="正文文本 Char1"/>
    <w:qFormat/>
    <w:uiPriority w:val="0"/>
    <w:rPr>
      <w:kern w:val="2"/>
      <w:sz w:val="21"/>
      <w:szCs w:val="22"/>
    </w:rPr>
  </w:style>
  <w:style w:type="character" w:customStyle="1" w:styleId="149">
    <w:name w:val="Book Title"/>
    <w:qFormat/>
    <w:uiPriority w:val="0"/>
    <w:rPr>
      <w:b/>
      <w:bCs/>
      <w:smallCaps/>
      <w:spacing w:val="5"/>
    </w:rPr>
  </w:style>
  <w:style w:type="character" w:customStyle="1" w:styleId="150">
    <w:name w:val="Blockquote Char Char"/>
    <w:link w:val="151"/>
    <w:qFormat/>
    <w:uiPriority w:val="0"/>
    <w:rPr>
      <w:sz w:val="24"/>
    </w:rPr>
  </w:style>
  <w:style w:type="paragraph" w:customStyle="1" w:styleId="151">
    <w:name w:val="Blockquote"/>
    <w:basedOn w:val="1"/>
    <w:link w:val="150"/>
    <w:qFormat/>
    <w:uiPriority w:val="0"/>
    <w:pPr>
      <w:autoSpaceDE w:val="0"/>
      <w:autoSpaceDN w:val="0"/>
      <w:adjustRightInd w:val="0"/>
      <w:spacing w:before="100" w:after="100"/>
      <w:ind w:left="360" w:right="360"/>
      <w:jc w:val="left"/>
    </w:pPr>
    <w:rPr>
      <w:kern w:val="0"/>
      <w:sz w:val="24"/>
      <w:szCs w:val="20"/>
    </w:rPr>
  </w:style>
  <w:style w:type="character" w:customStyle="1" w:styleId="152">
    <w:name w:val="样式 小四 段前: 3 磅 段后: 3 磅 行距: 1.5 倍行距 Char"/>
    <w:link w:val="153"/>
    <w:qFormat/>
    <w:uiPriority w:val="0"/>
    <w:rPr>
      <w:rFonts w:ascii="Calibri" w:hAnsi="Calibri"/>
      <w:kern w:val="2"/>
      <w:sz w:val="24"/>
      <w:szCs w:val="24"/>
    </w:rPr>
  </w:style>
  <w:style w:type="paragraph" w:customStyle="1" w:styleId="153">
    <w:name w:val="样式 小四 段前: 3 磅 段后: 3 磅 行距: 1.5 倍行距"/>
    <w:basedOn w:val="1"/>
    <w:link w:val="152"/>
    <w:qFormat/>
    <w:uiPriority w:val="0"/>
    <w:pPr>
      <w:spacing w:before="60" w:after="60" w:line="360" w:lineRule="auto"/>
      <w:ind w:firstLine="540" w:firstLineChars="225"/>
    </w:pPr>
    <w:rPr>
      <w:rFonts w:ascii="Calibri" w:hAnsi="Calibri"/>
      <w:sz w:val="24"/>
    </w:rPr>
  </w:style>
  <w:style w:type="character" w:customStyle="1" w:styleId="154">
    <w:name w:val="apple-converted-space"/>
    <w:basedOn w:val="46"/>
    <w:qFormat/>
    <w:uiPriority w:val="0"/>
  </w:style>
  <w:style w:type="character" w:customStyle="1" w:styleId="155">
    <w:name w:val="my-class2"/>
    <w:basedOn w:val="46"/>
    <w:qFormat/>
    <w:uiPriority w:val="99"/>
  </w:style>
  <w:style w:type="character" w:customStyle="1" w:styleId="156">
    <w:name w:val="ꌢ 2 Char Char"/>
    <w:link w:val="157"/>
    <w:qFormat/>
    <w:uiPriority w:val="0"/>
    <w:rPr>
      <w:rFonts w:ascii="Arial" w:hAnsi="Arial"/>
      <w:b/>
      <w:bCs/>
    </w:rPr>
  </w:style>
  <w:style w:type="paragraph" w:customStyle="1" w:styleId="157">
    <w:name w:val="ꌢ 2"/>
    <w:basedOn w:val="1"/>
    <w:link w:val="156"/>
    <w:qFormat/>
    <w:uiPriority w:val="0"/>
    <w:pPr>
      <w:widowControl/>
    </w:pPr>
    <w:rPr>
      <w:rFonts w:ascii="Arial" w:hAnsi="Arial"/>
      <w:b/>
      <w:bCs/>
      <w:kern w:val="0"/>
      <w:sz w:val="20"/>
      <w:szCs w:val="20"/>
    </w:rPr>
  </w:style>
  <w:style w:type="character" w:customStyle="1" w:styleId="158">
    <w:name w:val="明显引用 Char1"/>
    <w:qFormat/>
    <w:uiPriority w:val="99"/>
    <w:rPr>
      <w:b/>
      <w:bCs/>
      <w:i/>
      <w:iCs/>
      <w:color w:val="4F81BD"/>
      <w:kern w:val="2"/>
      <w:sz w:val="21"/>
      <w:szCs w:val="24"/>
    </w:rPr>
  </w:style>
  <w:style w:type="character" w:customStyle="1" w:styleId="159">
    <w:name w:val="my-class"/>
    <w:basedOn w:val="46"/>
    <w:qFormat/>
    <w:uiPriority w:val="99"/>
  </w:style>
  <w:style w:type="character" w:customStyle="1" w:styleId="160">
    <w:name w:val="纯文本 Char1"/>
    <w:qFormat/>
    <w:uiPriority w:val="99"/>
    <w:rPr>
      <w:rFonts w:ascii="宋体" w:hAnsi="Courier New"/>
      <w:kern w:val="2"/>
      <w:sz w:val="21"/>
    </w:rPr>
  </w:style>
  <w:style w:type="character" w:customStyle="1" w:styleId="161">
    <w:name w:val="引用 Char1"/>
    <w:basedOn w:val="46"/>
    <w:qFormat/>
    <w:uiPriority w:val="99"/>
    <w:rPr>
      <w:i/>
      <w:iCs/>
      <w:color w:val="000000"/>
      <w:kern w:val="2"/>
      <w:sz w:val="21"/>
      <w:szCs w:val="24"/>
    </w:rPr>
  </w:style>
  <w:style w:type="character" w:customStyle="1" w:styleId="162">
    <w:name w:val="小条目 Char"/>
    <w:link w:val="163"/>
    <w:qFormat/>
    <w:uiPriority w:val="0"/>
    <w:rPr>
      <w:rFonts w:ascii="宋体" w:hAnsi="宋体"/>
      <w:sz w:val="24"/>
    </w:rPr>
  </w:style>
  <w:style w:type="paragraph" w:customStyle="1" w:styleId="163">
    <w:name w:val="小条目"/>
    <w:basedOn w:val="1"/>
    <w:link w:val="162"/>
    <w:qFormat/>
    <w:uiPriority w:val="0"/>
    <w:pPr>
      <w:adjustRightInd w:val="0"/>
      <w:spacing w:line="360" w:lineRule="auto"/>
      <w:ind w:left="660" w:right="240" w:rightChars="100" w:hanging="420"/>
      <w:contextualSpacing/>
    </w:pPr>
    <w:rPr>
      <w:rFonts w:ascii="宋体" w:hAnsi="宋体"/>
      <w:kern w:val="0"/>
      <w:sz w:val="24"/>
      <w:szCs w:val="20"/>
    </w:rPr>
  </w:style>
  <w:style w:type="character" w:customStyle="1" w:styleId="164">
    <w:name w:val="标题4 Char Char"/>
    <w:qFormat/>
    <w:uiPriority w:val="0"/>
    <w:rPr>
      <w:rFonts w:ascii="Arial" w:hAnsi="Arial"/>
      <w:b/>
      <w:bCs/>
      <w:sz w:val="24"/>
      <w:szCs w:val="32"/>
      <w:lang w:bidi="ar-SA"/>
    </w:rPr>
  </w:style>
  <w:style w:type="character" w:customStyle="1" w:styleId="165">
    <w:name w:val="bds_more"/>
    <w:basedOn w:val="46"/>
    <w:qFormat/>
    <w:uiPriority w:val="99"/>
  </w:style>
  <w:style w:type="character" w:customStyle="1" w:styleId="166">
    <w:name w:val="tip10"/>
    <w:basedOn w:val="46"/>
    <w:qFormat/>
    <w:uiPriority w:val="99"/>
    <w:rPr>
      <w:vanish/>
      <w:color w:val="FF0000"/>
      <w:sz w:val="18"/>
      <w:szCs w:val="18"/>
    </w:rPr>
  </w:style>
  <w:style w:type="character" w:customStyle="1" w:styleId="167">
    <w:name w:val="bds_more3"/>
    <w:basedOn w:val="46"/>
    <w:qFormat/>
    <w:uiPriority w:val="99"/>
  </w:style>
  <w:style w:type="character" w:customStyle="1" w:styleId="168">
    <w:name w:val="普通文字 Char Char2"/>
    <w:qFormat/>
    <w:uiPriority w:val="99"/>
    <w:rPr>
      <w:rFonts w:ascii="宋体" w:hAnsi="Courier New"/>
      <w:kern w:val="2"/>
      <w:sz w:val="21"/>
    </w:rPr>
  </w:style>
  <w:style w:type="character" w:customStyle="1" w:styleId="169">
    <w:name w:val="文字 Char"/>
    <w:link w:val="170"/>
    <w:qFormat/>
    <w:uiPriority w:val="0"/>
    <w:rPr>
      <w:kern w:val="2"/>
      <w:sz w:val="21"/>
      <w:szCs w:val="24"/>
    </w:rPr>
  </w:style>
  <w:style w:type="paragraph" w:customStyle="1" w:styleId="170">
    <w:name w:val="文字"/>
    <w:basedOn w:val="1"/>
    <w:link w:val="169"/>
    <w:qFormat/>
    <w:uiPriority w:val="0"/>
    <w:pPr>
      <w:spacing w:line="288" w:lineRule="auto"/>
      <w:ind w:firstLine="200" w:firstLineChars="200"/>
    </w:pPr>
  </w:style>
  <w:style w:type="character" w:customStyle="1" w:styleId="171">
    <w:name w:val="t_tag"/>
    <w:basedOn w:val="46"/>
    <w:qFormat/>
    <w:uiPriority w:val="99"/>
  </w:style>
  <w:style w:type="character" w:customStyle="1" w:styleId="172">
    <w:name w:val="副标题 Char1"/>
    <w:basedOn w:val="46"/>
    <w:qFormat/>
    <w:uiPriority w:val="0"/>
    <w:rPr>
      <w:rFonts w:ascii="Cambria" w:hAnsi="Cambria" w:cs="Times New Roman"/>
      <w:b/>
      <w:bCs/>
      <w:kern w:val="28"/>
      <w:sz w:val="32"/>
      <w:szCs w:val="32"/>
    </w:rPr>
  </w:style>
  <w:style w:type="character" w:customStyle="1" w:styleId="173">
    <w:name w:val="ui-bz-bg-hover1"/>
    <w:basedOn w:val="46"/>
    <w:qFormat/>
    <w:uiPriority w:val="99"/>
  </w:style>
  <w:style w:type="character" w:customStyle="1" w:styleId="174">
    <w:name w:val="ico-jiang1"/>
    <w:basedOn w:val="46"/>
    <w:qFormat/>
    <w:uiPriority w:val="99"/>
  </w:style>
  <w:style w:type="character" w:customStyle="1" w:styleId="175">
    <w:name w:val="批注文字 Char1"/>
    <w:qFormat/>
    <w:uiPriority w:val="0"/>
    <w:rPr>
      <w:kern w:val="2"/>
      <w:sz w:val="21"/>
      <w:szCs w:val="24"/>
    </w:rPr>
  </w:style>
  <w:style w:type="character" w:customStyle="1" w:styleId="176">
    <w:name w:val="正文缩进 Char2"/>
    <w:qFormat/>
    <w:uiPriority w:val="0"/>
    <w:rPr>
      <w:rFonts w:ascii="宋体" w:cs="宋体"/>
      <w:sz w:val="24"/>
      <w:szCs w:val="24"/>
    </w:rPr>
  </w:style>
  <w:style w:type="character" w:customStyle="1" w:styleId="177">
    <w:name w:val="blacktext"/>
    <w:basedOn w:val="46"/>
    <w:qFormat/>
    <w:uiPriority w:val="0"/>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6"/>
    <w:link w:val="178"/>
    <w:qFormat/>
    <w:uiPriority w:val="0"/>
    <w:pPr>
      <w:autoSpaceDE/>
      <w:autoSpaceDN/>
      <w:adjustRightInd/>
      <w:spacing w:before="260" w:after="260" w:line="413" w:lineRule="auto"/>
      <w:ind w:left="0" w:firstLine="0"/>
      <w:jc w:val="both"/>
    </w:pPr>
    <w:rPr>
      <w:rFonts w:ascii="Arial" w:hAnsi="Arial"/>
      <w:sz w:val="24"/>
      <w:szCs w:val="32"/>
    </w:rPr>
  </w:style>
  <w:style w:type="character" w:customStyle="1" w:styleId="180">
    <w:name w:val="bds_nopic2"/>
    <w:basedOn w:val="46"/>
    <w:qFormat/>
    <w:uiPriority w:val="99"/>
  </w:style>
  <w:style w:type="character" w:customStyle="1" w:styleId="181">
    <w:name w:val="beforeinfotext"/>
    <w:qFormat/>
    <w:uiPriority w:val="0"/>
    <w:rPr>
      <w:color w:val="666666"/>
    </w:rPr>
  </w:style>
  <w:style w:type="character" w:customStyle="1" w:styleId="182">
    <w:name w:val="Blockquote Char"/>
    <w:qFormat/>
    <w:uiPriority w:val="0"/>
    <w:rPr>
      <w:rFonts w:eastAsia="宋体"/>
      <w:sz w:val="24"/>
      <w:lang w:val="en-US" w:eastAsia="zh-CN" w:bidi="ar-SA"/>
    </w:rPr>
  </w:style>
  <w:style w:type="character" w:customStyle="1" w:styleId="183">
    <w:name w:val="font1"/>
    <w:basedOn w:val="46"/>
    <w:qFormat/>
    <w:uiPriority w:val="0"/>
  </w:style>
  <w:style w:type="character" w:customStyle="1" w:styleId="184">
    <w:name w:val="no52"/>
    <w:basedOn w:val="46"/>
    <w:qFormat/>
    <w:uiPriority w:val="99"/>
  </w:style>
  <w:style w:type="character" w:customStyle="1" w:styleId="185">
    <w:name w:val=" Char Char1 Char Char Char Char Char Char Char Char Char Char"/>
    <w:link w:val="186"/>
    <w:qFormat/>
    <w:uiPriority w:val="0"/>
    <w:rPr>
      <w:rFonts w:ascii="Verdana" w:hAnsi="Verdana" w:eastAsia="仿宋_GB2312"/>
      <w:sz w:val="24"/>
      <w:lang w:eastAsia="en-US"/>
    </w:rPr>
  </w:style>
  <w:style w:type="paragraph" w:customStyle="1" w:styleId="186">
    <w:name w:val=" Char Char1 Char Char Char Char Char Char Char Char Char"/>
    <w:basedOn w:val="1"/>
    <w:link w:val="185"/>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正文缩进 Char1"/>
    <w:qFormat/>
    <w:uiPriority w:val="0"/>
    <w:rPr>
      <w:rFonts w:ascii="Times New Roman" w:hAnsi="Times New Roman"/>
      <w:kern w:val="2"/>
      <w:sz w:val="21"/>
      <w:szCs w:val="24"/>
    </w:rPr>
  </w:style>
  <w:style w:type="character" w:customStyle="1" w:styleId="188">
    <w:name w:val="文档结构图 Char1"/>
    <w:qFormat/>
    <w:uiPriority w:val="0"/>
    <w:rPr>
      <w:rFonts w:eastAsia="宋体"/>
      <w:kern w:val="2"/>
      <w:sz w:val="21"/>
      <w:szCs w:val="24"/>
      <w:lang w:val="en-US" w:eastAsia="zh-CN" w:bidi="ar-SA"/>
    </w:rPr>
  </w:style>
  <w:style w:type="character" w:customStyle="1" w:styleId="189">
    <w:name w:val="明显引用 Char2"/>
    <w:basedOn w:val="46"/>
    <w:qFormat/>
    <w:uiPriority w:val="99"/>
    <w:rPr>
      <w:b/>
      <w:bCs/>
      <w:i/>
      <w:iCs/>
      <w:color w:val="4F81BD"/>
      <w:kern w:val="2"/>
      <w:sz w:val="21"/>
      <w:szCs w:val="24"/>
    </w:rPr>
  </w:style>
  <w:style w:type="character" w:customStyle="1" w:styleId="190">
    <w:name w:val="批注主题 Char1"/>
    <w:qFormat/>
    <w:uiPriority w:val="0"/>
    <w:rPr>
      <w:b/>
      <w:bCs/>
      <w:kern w:val="2"/>
      <w:sz w:val="21"/>
      <w:szCs w:val="22"/>
    </w:rPr>
  </w:style>
  <w:style w:type="character" w:customStyle="1" w:styleId="191">
    <w:name w:val="批注文字 Char Char"/>
    <w:qFormat/>
    <w:uiPriority w:val="0"/>
    <w:rPr>
      <w:rFonts w:ascii="宋体" w:hAnsi="Times New Roman" w:eastAsia="宋体" w:cs="Times New Roman"/>
      <w:sz w:val="28"/>
      <w:szCs w:val="20"/>
    </w:rPr>
  </w:style>
  <w:style w:type="character" w:customStyle="1" w:styleId="192">
    <w:name w:val="Subtle Reference"/>
    <w:qFormat/>
    <w:uiPriority w:val="0"/>
    <w:rPr>
      <w:smallCaps/>
      <w:color w:val="C0504D"/>
      <w:u w:val="single"/>
    </w:rPr>
  </w:style>
  <w:style w:type="character" w:customStyle="1" w:styleId="193">
    <w:name w:val="md-expand"/>
    <w:qFormat/>
    <w:uiPriority w:val="0"/>
  </w:style>
  <w:style w:type="character" w:customStyle="1" w:styleId="194">
    <w:name w:val="textcontents"/>
    <w:qFormat/>
    <w:uiPriority w:val="0"/>
    <w:rPr>
      <w:rFonts w:cs="Times New Roman"/>
    </w:rPr>
  </w:style>
  <w:style w:type="character" w:customStyle="1" w:styleId="195">
    <w:name w:val="bds_more1"/>
    <w:basedOn w:val="46"/>
    <w:qFormat/>
    <w:uiPriority w:val="99"/>
    <w:rPr>
      <w:rFonts w:ascii="宋体" w:hAnsi="宋体" w:eastAsia="宋体" w:cs="宋体"/>
    </w:rPr>
  </w:style>
  <w:style w:type="character" w:customStyle="1" w:styleId="196">
    <w:name w:val="rili11"/>
    <w:qFormat/>
    <w:uiPriority w:val="0"/>
    <w:rPr>
      <w:sz w:val="21"/>
      <w:szCs w:val="21"/>
    </w:rPr>
  </w:style>
  <w:style w:type="paragraph" w:customStyle="1" w:styleId="197">
    <w:name w:val="_Style 67"/>
    <w:basedOn w:val="1"/>
    <w:qFormat/>
    <w:uiPriority w:val="0"/>
    <w:pPr>
      <w:widowControl/>
      <w:spacing w:after="160" w:line="240" w:lineRule="exact"/>
      <w:jc w:val="left"/>
    </w:pPr>
    <w:rPr>
      <w:rFonts w:ascii="Calibri" w:hAnsi="Calibri"/>
    </w:rPr>
  </w:style>
  <w:style w:type="paragraph" w:customStyle="1" w:styleId="198">
    <w:name w:val="Char Char1 Char Char Char Char Char Char"/>
    <w:basedOn w:val="1"/>
    <w:qFormat/>
    <w:uiPriority w:val="0"/>
    <w:pPr>
      <w:widowControl/>
      <w:adjustRightInd w:val="0"/>
      <w:snapToGrid w:val="0"/>
      <w:spacing w:line="360" w:lineRule="auto"/>
      <w:ind w:firstLine="601"/>
    </w:pPr>
    <w:rPr>
      <w:rFonts w:ascii="宋体" w:hAnsi="宋体"/>
      <w:color w:val="000000"/>
      <w:kern w:val="0"/>
      <w:sz w:val="24"/>
    </w:rPr>
  </w:style>
  <w:style w:type="paragraph" w:customStyle="1" w:styleId="199">
    <w:name w:val="样式 宋体 五号 行距: 单倍行距"/>
    <w:basedOn w:val="1"/>
    <w:qFormat/>
    <w:uiPriority w:val="0"/>
    <w:rPr>
      <w:rFonts w:ascii="宋体" w:hAnsi="宋体" w:cs="宋体"/>
    </w:rPr>
  </w:style>
  <w:style w:type="paragraph" w:customStyle="1" w:styleId="200">
    <w:name w:val="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1">
    <w:name w:val="表格文字"/>
    <w:qFormat/>
    <w:uiPriority w:val="0"/>
    <w:pPr>
      <w:spacing w:line="360" w:lineRule="auto"/>
      <w:ind w:left="-10" w:leftChars="-5"/>
      <w:jc w:val="center"/>
    </w:pPr>
    <w:rPr>
      <w:rFonts w:ascii="Times New Roman" w:hAnsi="Times New Roman" w:eastAsia="宋体" w:cs="Times New Roman"/>
      <w:iCs/>
      <w:kern w:val="2"/>
      <w:sz w:val="15"/>
      <w:szCs w:val="15"/>
      <w:lang w:val="zh-CN" w:eastAsia="zh-CN" w:bidi="ar-SA"/>
    </w:rPr>
  </w:style>
  <w:style w:type="paragraph" w:customStyle="1" w:styleId="202">
    <w:name w:val=" 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列出段落11"/>
    <w:basedOn w:val="1"/>
    <w:qFormat/>
    <w:uiPriority w:val="99"/>
    <w:pPr>
      <w:widowControl/>
      <w:spacing w:after="200" w:line="288" w:lineRule="auto"/>
      <w:ind w:left="720"/>
      <w:contextualSpacing/>
      <w:jc w:val="left"/>
    </w:pPr>
    <w:rPr>
      <w:rFonts w:ascii="Arial" w:hAnsi="Arial" w:eastAsia="黑体"/>
      <w:kern w:val="0"/>
      <w:sz w:val="22"/>
      <w:szCs w:val="22"/>
      <w:lang w:eastAsia="en-US"/>
    </w:rPr>
  </w:style>
  <w:style w:type="paragraph" w:customStyle="1" w:styleId="204">
    <w:name w:val=" Char Char1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5">
    <w:name w:val=" Char Char1 Char Char Char Char Char Char Char"/>
    <w:basedOn w:val="1"/>
    <w:qFormat/>
    <w:uiPriority w:val="0"/>
    <w:pPr>
      <w:adjustRightInd w:val="0"/>
      <w:spacing w:line="440" w:lineRule="exact"/>
    </w:pPr>
    <w:rPr>
      <w:rFonts w:ascii="宋体" w:hAnsi="Calibri"/>
      <w:kern w:val="0"/>
      <w:sz w:val="28"/>
      <w:szCs w:val="27"/>
    </w:rPr>
  </w:style>
  <w:style w:type="paragraph" w:customStyle="1" w:styleId="206">
    <w:name w:val="标准文本"/>
    <w:basedOn w:val="1"/>
    <w:qFormat/>
    <w:uiPriority w:val="0"/>
    <w:pPr>
      <w:spacing w:line="360" w:lineRule="auto"/>
      <w:ind w:firstLine="480" w:firstLineChars="200"/>
    </w:pPr>
    <w:rPr>
      <w:rFonts w:ascii="Calibri" w:hAnsi="Calibri"/>
      <w:sz w:val="24"/>
      <w:szCs w:val="22"/>
    </w:rPr>
  </w:style>
  <w:style w:type="paragraph" w:customStyle="1" w:styleId="207">
    <w:name w:val="Char Char1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 Char1 Char Char"/>
    <w:basedOn w:val="1"/>
    <w:qFormat/>
    <w:uiPriority w:val="0"/>
    <w:rPr>
      <w:rFonts w:ascii="Calibri" w:hAnsi="Calibri"/>
      <w:szCs w:val="20"/>
    </w:rPr>
  </w:style>
  <w:style w:type="paragraph" w:customStyle="1" w:styleId="209">
    <w:name w:val=" Char Char1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0">
    <w:name w:val=" Char Char Char Char Char Char Char"/>
    <w:basedOn w:val="1"/>
    <w:qFormat/>
    <w:uiPriority w:val="0"/>
    <w:rPr>
      <w:rFonts w:ascii="Tahoma" w:hAnsi="Tahoma"/>
      <w:sz w:val="24"/>
    </w:rPr>
  </w:style>
  <w:style w:type="paragraph" w:customStyle="1" w:styleId="211">
    <w:name w:val="Char2 Char Char Char"/>
    <w:basedOn w:val="1"/>
    <w:qFormat/>
    <w:uiPriority w:val="0"/>
    <w:rPr>
      <w:rFonts w:ascii="仿宋_GB2312" w:hAnsi="Calibri"/>
      <w:b/>
      <w:sz w:val="30"/>
      <w:szCs w:val="32"/>
    </w:rPr>
  </w:style>
  <w:style w:type="paragraph" w:customStyle="1" w:styleId="212">
    <w:name w:val="列出段落2"/>
    <w:basedOn w:val="1"/>
    <w:qFormat/>
    <w:uiPriority w:val="34"/>
    <w:pPr>
      <w:ind w:firstLine="420" w:firstLineChars="200"/>
    </w:pPr>
    <w:rPr>
      <w:szCs w:val="20"/>
    </w:rPr>
  </w:style>
  <w:style w:type="paragraph" w:customStyle="1" w:styleId="213">
    <w:name w:val="Char Char Char"/>
    <w:basedOn w:val="1"/>
    <w:qFormat/>
    <w:uiPriority w:val="0"/>
    <w:pPr>
      <w:spacing w:line="360" w:lineRule="auto"/>
    </w:pPr>
    <w:rPr>
      <w:szCs w:val="21"/>
    </w:rPr>
  </w:style>
  <w:style w:type="paragraph" w:customStyle="1" w:styleId="214">
    <w:name w:val="Char Char12 Char Char Char Char Char Char Char Char Char Char"/>
    <w:basedOn w:val="1"/>
    <w:qFormat/>
    <w:uiPriority w:val="0"/>
    <w:rPr>
      <w:rFonts w:ascii="Calibri" w:hAnsi="Calibri"/>
      <w:szCs w:val="20"/>
    </w:rPr>
  </w:style>
  <w:style w:type="paragraph" w:customStyle="1" w:styleId="215">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216">
    <w:name w:val="正文内容"/>
    <w:basedOn w:val="1"/>
    <w:qFormat/>
    <w:uiPriority w:val="0"/>
    <w:pPr>
      <w:ind w:firstLine="522"/>
    </w:pPr>
    <w:rPr>
      <w:spacing w:val="10"/>
      <w:sz w:val="24"/>
      <w:szCs w:val="20"/>
    </w:rPr>
  </w:style>
  <w:style w:type="paragraph" w:customStyle="1" w:styleId="217">
    <w:name w:val="Char Char1 Char Char Char Char"/>
    <w:basedOn w:val="1"/>
    <w:qFormat/>
    <w:uiPriority w:val="0"/>
    <w:pPr>
      <w:adjustRightInd w:val="0"/>
      <w:spacing w:line="440" w:lineRule="exact"/>
    </w:pPr>
    <w:rPr>
      <w:rFonts w:ascii="宋体" w:hAnsi="Calibri"/>
      <w:kern w:val="0"/>
      <w:sz w:val="28"/>
      <w:szCs w:val="27"/>
    </w:rPr>
  </w:style>
  <w:style w:type="paragraph" w:customStyle="1" w:styleId="2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19">
    <w:name w:val="目录"/>
    <w:basedOn w:val="1"/>
    <w:qFormat/>
    <w:uiPriority w:val="0"/>
    <w:pPr>
      <w:widowControl/>
      <w:jc w:val="center"/>
    </w:pPr>
    <w:rPr>
      <w:rFonts w:ascii="宋体"/>
      <w:b/>
      <w:kern w:val="0"/>
      <w:sz w:val="36"/>
      <w:szCs w:val="20"/>
    </w:rPr>
  </w:style>
  <w:style w:type="paragraph" w:customStyle="1" w:styleId="220">
    <w:name w:val=" Char1"/>
    <w:basedOn w:val="1"/>
    <w:qFormat/>
    <w:uiPriority w:val="0"/>
    <w:pPr>
      <w:spacing w:line="440" w:lineRule="atLeast"/>
      <w:ind w:firstLine="482" w:firstLineChars="200"/>
    </w:pPr>
  </w:style>
  <w:style w:type="paragraph" w:customStyle="1" w:styleId="221">
    <w:name w:val=" Char2 Char Char Char"/>
    <w:basedOn w:val="1"/>
    <w:qFormat/>
    <w:uiPriority w:val="0"/>
    <w:rPr>
      <w:rFonts w:ascii="仿宋_GB2312" w:hAnsi="Calibri"/>
      <w:b/>
      <w:sz w:val="30"/>
      <w:szCs w:val="32"/>
    </w:rPr>
  </w:style>
  <w:style w:type="paragraph" w:customStyle="1" w:styleId="222">
    <w:name w:val=" Char Char Char Char Char Char Char Char"/>
    <w:basedOn w:val="1"/>
    <w:qFormat/>
    <w:uiPriority w:val="0"/>
    <w:pPr>
      <w:adjustRightInd w:val="0"/>
      <w:spacing w:line="440" w:lineRule="exact"/>
    </w:pPr>
    <w:rPr>
      <w:rFonts w:ascii="宋体" w:hAnsi="Calibri"/>
      <w:kern w:val="0"/>
      <w:sz w:val="28"/>
      <w:szCs w:val="27"/>
    </w:rPr>
  </w:style>
  <w:style w:type="paragraph" w:customStyle="1" w:styleId="223">
    <w:name w:val="_Style 19"/>
    <w:basedOn w:val="1"/>
    <w:qFormat/>
    <w:uiPriority w:val="0"/>
    <w:pPr>
      <w:spacing w:line="360" w:lineRule="auto"/>
    </w:pPr>
    <w:rPr>
      <w:rFonts w:ascii="仿宋_GB2312" w:hAnsi="Calibri" w:eastAsia="仿宋_GB2312"/>
      <w:b/>
      <w:sz w:val="32"/>
      <w:szCs w:val="32"/>
    </w:rPr>
  </w:style>
  <w:style w:type="paragraph" w:customStyle="1" w:styleId="224">
    <w:name w:val=" Char Char Char Char Char Char Char Char Char Char Char Char Char Char Char1 Char"/>
    <w:basedOn w:val="1"/>
    <w:qFormat/>
    <w:uiPriority w:val="0"/>
    <w:pPr>
      <w:adjustRightInd w:val="0"/>
      <w:spacing w:line="312" w:lineRule="atLeast"/>
      <w:textAlignment w:val="baseline"/>
    </w:pPr>
    <w:rPr>
      <w:rFonts w:ascii="Calibri" w:hAnsi="Calibri"/>
      <w:b/>
      <w:bCs/>
      <w:kern w:val="0"/>
      <w:sz w:val="36"/>
      <w:szCs w:val="32"/>
    </w:rPr>
  </w:style>
  <w:style w:type="paragraph" w:customStyle="1" w:styleId="225">
    <w:name w:val=" Char Char Char Char Char Char Char Char Char Char"/>
    <w:basedOn w:val="1"/>
    <w:qFormat/>
    <w:uiPriority w:val="0"/>
    <w:rPr>
      <w:rFonts w:ascii="Tahoma" w:hAnsi="Tahoma"/>
      <w:sz w:val="24"/>
    </w:rPr>
  </w:style>
  <w:style w:type="paragraph" w:customStyle="1" w:styleId="226">
    <w:name w:val="Char1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7">
    <w:name w:val=" Char Char Char Char Char"/>
    <w:basedOn w:val="1"/>
    <w:qFormat/>
    <w:uiPriority w:val="0"/>
    <w:pPr>
      <w:adjustRightInd w:val="0"/>
      <w:spacing w:line="440" w:lineRule="exact"/>
    </w:pPr>
    <w:rPr>
      <w:rFonts w:ascii="宋体" w:hAnsi="Calibri"/>
      <w:kern w:val="0"/>
      <w:sz w:val="28"/>
      <w:szCs w:val="27"/>
    </w:rPr>
  </w:style>
  <w:style w:type="paragraph" w:customStyle="1" w:styleId="228">
    <w:name w:val="Char Char3 Char Char Char Char"/>
    <w:basedOn w:val="1"/>
    <w:qFormat/>
    <w:uiPriority w:val="0"/>
    <w:pPr>
      <w:widowControl/>
      <w:snapToGrid w:val="0"/>
      <w:spacing w:after="160" w:line="240" w:lineRule="exact"/>
      <w:jc w:val="left"/>
    </w:pPr>
    <w:rPr>
      <w:rFonts w:ascii="Calibri" w:hAnsi="Calibri"/>
      <w:kern w:val="21"/>
      <w:szCs w:val="21"/>
    </w:rPr>
  </w:style>
  <w:style w:type="paragraph" w:customStyle="1" w:styleId="229">
    <w:name w:val="Char Char1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p0"/>
    <w:basedOn w:val="1"/>
    <w:qFormat/>
    <w:uiPriority w:val="0"/>
    <w:pPr>
      <w:widowControl/>
    </w:pPr>
    <w:rPr>
      <w:kern w:val="0"/>
      <w:szCs w:val="21"/>
    </w:rPr>
  </w:style>
  <w:style w:type="paragraph" w:customStyle="1" w:styleId="231">
    <w:name w:val="Char Char3 Char Char Char Char Char Char Char Char Char Char"/>
    <w:basedOn w:val="1"/>
    <w:qFormat/>
    <w:uiPriority w:val="0"/>
    <w:pPr>
      <w:widowControl/>
      <w:snapToGrid w:val="0"/>
      <w:spacing w:after="160" w:line="240" w:lineRule="exact"/>
      <w:jc w:val="left"/>
    </w:pPr>
    <w:rPr>
      <w:rFonts w:ascii="Calibri" w:hAnsi="Calibri"/>
      <w:kern w:val="21"/>
      <w:szCs w:val="21"/>
    </w:rPr>
  </w:style>
  <w:style w:type="paragraph" w:customStyle="1" w:styleId="232">
    <w:name w:val="tit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3">
    <w:name w:val="Char Char Char Char"/>
    <w:basedOn w:val="1"/>
    <w:qFormat/>
    <w:uiPriority w:val="0"/>
    <w:rPr>
      <w:rFonts w:ascii="Tahoma" w:hAnsi="Tahoma" w:cs="Tahoma"/>
      <w:sz w:val="24"/>
    </w:rPr>
  </w:style>
  <w:style w:type="paragraph" w:customStyle="1" w:styleId="234">
    <w:name w:val="彩色列表 - 强调文字颜色 12"/>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35">
    <w:name w:val="Char Char Char Char Char Char Char Char Char Char Char Char Char Char Char1 Char"/>
    <w:basedOn w:val="1"/>
    <w:qFormat/>
    <w:uiPriority w:val="0"/>
    <w:pPr>
      <w:adjustRightInd w:val="0"/>
      <w:spacing w:line="312" w:lineRule="atLeast"/>
    </w:pPr>
    <w:rPr>
      <w:rFonts w:ascii="Calibri" w:hAnsi="Calibri"/>
      <w:b/>
      <w:bCs/>
      <w:kern w:val="0"/>
      <w:sz w:val="36"/>
      <w:szCs w:val="32"/>
    </w:rPr>
  </w:style>
  <w:style w:type="paragraph" w:customStyle="1" w:styleId="236">
    <w:name w:val="msonormalcxspmiddle"/>
    <w:basedOn w:val="1"/>
    <w:qFormat/>
    <w:uiPriority w:val="0"/>
    <w:pPr>
      <w:widowControl/>
      <w:suppressAutoHyphens/>
      <w:spacing w:before="280" w:after="280"/>
      <w:jc w:val="left"/>
    </w:pPr>
    <w:rPr>
      <w:rFonts w:ascii="宋体" w:hAnsi="宋体" w:cs="宋体"/>
      <w:kern w:val="1"/>
      <w:sz w:val="24"/>
      <w:lang w:eastAsia="ar-SA"/>
    </w:rPr>
  </w:style>
  <w:style w:type="paragraph" w:customStyle="1" w:styleId="237">
    <w:name w:val="Table Paragraph"/>
    <w:basedOn w:val="1"/>
    <w:qFormat/>
    <w:uiPriority w:val="1"/>
    <w:rPr>
      <w:rFonts w:ascii="Calibri" w:hAnsi="Calibri"/>
    </w:rPr>
  </w:style>
  <w:style w:type="paragraph" w:customStyle="1" w:styleId="238">
    <w:name w:val=" Char Char3 Char Char Char Char Char Char Char Char Char Char"/>
    <w:basedOn w:val="1"/>
    <w:qFormat/>
    <w:uiPriority w:val="0"/>
    <w:pPr>
      <w:widowControl/>
      <w:spacing w:after="160" w:line="240" w:lineRule="exact"/>
      <w:jc w:val="left"/>
    </w:pPr>
    <w:rPr>
      <w:rFonts w:ascii="Calibri" w:hAnsi="Calibri"/>
      <w:snapToGrid w:val="0"/>
      <w:kern w:val="21"/>
      <w:szCs w:val="21"/>
    </w:rPr>
  </w:style>
  <w:style w:type="paragraph" w:customStyle="1" w:styleId="239">
    <w:name w:val="正文 + 宋体"/>
    <w:basedOn w:val="1"/>
    <w:qFormat/>
    <w:uiPriority w:val="0"/>
    <w:pPr>
      <w:autoSpaceDE w:val="0"/>
      <w:autoSpaceDN w:val="0"/>
      <w:adjustRightInd w:val="0"/>
      <w:spacing w:line="429" w:lineRule="exact"/>
      <w:ind w:left="108"/>
    </w:pPr>
    <w:rPr>
      <w:rFonts w:ascii="宋体" w:hAnsi="宋体" w:cs="宋?"/>
      <w:color w:val="000000"/>
      <w:w w:val="97"/>
      <w:kern w:val="0"/>
      <w:szCs w:val="21"/>
    </w:rPr>
  </w:style>
  <w:style w:type="paragraph" w:customStyle="1" w:styleId="2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1">
    <w:name w:val="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43">
    <w:name w:val="List Paragraph"/>
    <w:basedOn w:val="1"/>
    <w:qFormat/>
    <w:uiPriority w:val="99"/>
    <w:pPr>
      <w:ind w:firstLine="420" w:firstLineChars="200"/>
    </w:pPr>
    <w:rPr>
      <w:rFonts w:ascii="Calibri" w:hAnsi="Calibri" w:cs="Calibri"/>
      <w:szCs w:val="21"/>
    </w:rPr>
  </w:style>
  <w:style w:type="paragraph" w:customStyle="1" w:styleId="244">
    <w:name w:val="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5">
    <w:name w:val="普通 (Web)"/>
    <w:basedOn w:val="1"/>
    <w:qFormat/>
    <w:uiPriority w:val="99"/>
    <w:pPr>
      <w:widowControl/>
      <w:spacing w:before="100" w:beforeAutospacing="1" w:after="100" w:afterAutospacing="1"/>
      <w:jc w:val="left"/>
    </w:pPr>
    <w:rPr>
      <w:rFonts w:ascii="宋体" w:hAnsi="宋体" w:cs="宋体"/>
      <w:sz w:val="24"/>
    </w:rPr>
  </w:style>
  <w:style w:type="paragraph" w:customStyle="1" w:styleId="246">
    <w:name w:val="Char Char2 Char Char Char Char Char Char Char Char"/>
    <w:basedOn w:val="1"/>
    <w:qFormat/>
    <w:uiPriority w:val="0"/>
    <w:rPr>
      <w:rFonts w:ascii="仿宋_GB2312" w:eastAsia="仿宋_GB2312"/>
      <w:b/>
      <w:sz w:val="32"/>
      <w:szCs w:val="32"/>
    </w:rPr>
  </w:style>
  <w:style w:type="paragraph" w:customStyle="1" w:styleId="247">
    <w:name w:val="表注1"/>
    <w:basedOn w:val="1"/>
    <w:unhideWhenUsed/>
    <w:qFormat/>
    <w:uiPriority w:val="0"/>
    <w:pPr>
      <w:adjustRightInd w:val="0"/>
      <w:snapToGrid w:val="0"/>
      <w:spacing w:beforeLines="50" w:line="300" w:lineRule="auto"/>
      <w:ind w:left="350" w:hanging="350" w:hangingChars="350"/>
    </w:pPr>
    <w:rPr>
      <w:rFonts w:hint="eastAsia" w:eastAsia="仿宋_GB2312"/>
      <w:color w:val="000000"/>
      <w:szCs w:val="21"/>
    </w:rPr>
  </w:style>
  <w:style w:type="paragraph" w:customStyle="1" w:styleId="248">
    <w:name w:val=" Char1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9">
    <w:name w:val="纯文本1"/>
    <w:basedOn w:val="1"/>
    <w:qFormat/>
    <w:uiPriority w:val="0"/>
    <w:rPr>
      <w:rFonts w:ascii="宋体" w:hAnsi="Courier New"/>
      <w:szCs w:val="21"/>
    </w:rPr>
  </w:style>
  <w:style w:type="paragraph" w:customStyle="1" w:styleId="250">
    <w:name w:val="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1">
    <w:name w:val="p"/>
    <w:basedOn w:val="1"/>
    <w:qFormat/>
    <w:uiPriority w:val="0"/>
    <w:pPr>
      <w:widowControl/>
      <w:spacing w:before="100" w:beforeAutospacing="1" w:after="100" w:afterAutospacing="1"/>
      <w:jc w:val="left"/>
    </w:pPr>
    <w:rPr>
      <w:color w:val="000000"/>
      <w:kern w:val="0"/>
      <w:sz w:val="20"/>
      <w:szCs w:val="20"/>
    </w:rPr>
  </w:style>
  <w:style w:type="paragraph" w:customStyle="1" w:styleId="252">
    <w:name w:val="Char Char Char Char Char Char Char Char Char Char"/>
    <w:basedOn w:val="1"/>
    <w:qFormat/>
    <w:uiPriority w:val="0"/>
    <w:rPr>
      <w:rFonts w:ascii="Tahoma" w:hAnsi="Tahoma"/>
      <w:sz w:val="24"/>
    </w:rPr>
  </w:style>
  <w:style w:type="paragraph" w:customStyle="1" w:styleId="253">
    <w:name w:val="Char"/>
    <w:basedOn w:val="1"/>
    <w:qFormat/>
    <w:uiPriority w:val="0"/>
    <w:pPr>
      <w:spacing w:line="360" w:lineRule="auto"/>
    </w:pPr>
    <w:rPr>
      <w:rFonts w:ascii="仿宋_GB2312" w:eastAsia="仿宋_GB2312" w:cs="仿宋_GB2312"/>
      <w:b/>
      <w:bCs/>
      <w:sz w:val="32"/>
      <w:szCs w:val="32"/>
    </w:rPr>
  </w:style>
  <w:style w:type="paragraph" w:customStyle="1" w:styleId="254">
    <w:name w:val="Char Char1"/>
    <w:basedOn w:val="1"/>
    <w:qFormat/>
    <w:uiPriority w:val="0"/>
    <w:pPr>
      <w:adjustRightInd w:val="0"/>
      <w:spacing w:line="440" w:lineRule="exact"/>
    </w:pPr>
    <w:rPr>
      <w:rFonts w:ascii="宋体"/>
      <w:kern w:val="0"/>
      <w:sz w:val="28"/>
      <w:szCs w:val="27"/>
    </w:rPr>
  </w:style>
  <w:style w:type="paragraph" w:customStyle="1" w:styleId="255">
    <w:name w:val="List Paragraph1"/>
    <w:basedOn w:val="1"/>
    <w:qFormat/>
    <w:uiPriority w:val="34"/>
    <w:pPr>
      <w:ind w:firstLine="420" w:firstLineChars="200"/>
    </w:pPr>
    <w:rPr>
      <w:rFonts w:ascii="Calibri" w:hAnsi="Calibri"/>
      <w:szCs w:val="22"/>
    </w:rPr>
  </w:style>
  <w:style w:type="paragraph" w:customStyle="1" w:styleId="256">
    <w:name w:val="WPSOffice手动目录 1"/>
    <w:qFormat/>
    <w:uiPriority w:val="0"/>
    <w:rPr>
      <w:rFonts w:ascii="Calibri" w:hAnsi="Calibri" w:eastAsia="宋体" w:cs="Times New Roman"/>
      <w:lang w:val="en-US" w:eastAsia="zh-CN" w:bidi="ar-SA"/>
    </w:rPr>
  </w:style>
  <w:style w:type="paragraph" w:customStyle="1" w:styleId="257">
    <w:name w:val="Char2"/>
    <w:basedOn w:val="1"/>
    <w:qFormat/>
    <w:uiPriority w:val="0"/>
    <w:rPr>
      <w:rFonts w:ascii="Calibri" w:hAnsi="Calibri"/>
    </w:rPr>
  </w:style>
  <w:style w:type="paragraph" w:customStyle="1" w:styleId="258">
    <w:name w:val="Char Char Char Char Char Char Char"/>
    <w:basedOn w:val="1"/>
    <w:qFormat/>
    <w:uiPriority w:val="0"/>
    <w:rPr>
      <w:rFonts w:ascii="Tahoma" w:hAnsi="Tahoma"/>
      <w:sz w:val="24"/>
    </w:rPr>
  </w:style>
  <w:style w:type="paragraph" w:customStyle="1" w:styleId="259">
    <w:name w:val="特点"/>
    <w:basedOn w:val="1"/>
    <w:next w:val="19"/>
    <w:qFormat/>
    <w:uiPriority w:val="0"/>
    <w:pPr>
      <w:spacing w:after="120"/>
      <w:ind w:left="1440" w:leftChars="700" w:right="1440" w:rightChars="700"/>
    </w:pPr>
    <w:rPr>
      <w:rFonts w:ascii="Calibri" w:hAnsi="Calibri"/>
      <w:szCs w:val="21"/>
    </w:rPr>
  </w:style>
  <w:style w:type="paragraph" w:customStyle="1" w:styleId="260">
    <w:name w:val="样式 标题 2 + Times New Roman 四号 非加粗 段前: 5 磅 段后: 0 磅 行距: 固定值 20..."/>
    <w:basedOn w:val="4"/>
    <w:qFormat/>
    <w:uiPriority w:val="0"/>
    <w:pPr>
      <w:tabs>
        <w:tab w:val="left" w:pos="2085"/>
      </w:tabs>
      <w:autoSpaceDE/>
      <w:autoSpaceDN/>
      <w:adjustRightInd/>
      <w:spacing w:before="100" w:line="400" w:lineRule="exact"/>
      <w:ind w:left="0" w:firstLine="0"/>
      <w:jc w:val="both"/>
    </w:pPr>
    <w:rPr>
      <w:rFonts w:ascii="Times New Roman" w:hAnsi="Times New Roman" w:eastAsia="黑体" w:cs="宋体"/>
      <w:b w:val="0"/>
      <w:bCs w:val="0"/>
      <w:sz w:val="28"/>
    </w:rPr>
  </w:style>
  <w:style w:type="paragraph" w:customStyle="1" w:styleId="261">
    <w:name w:val="样式 标题 3 + (中文) 黑体 小四 非加粗 段前: 7.8 磅 段后: 0 磅 行距: 固定值 20 磅"/>
    <w:basedOn w:val="6"/>
    <w:qFormat/>
    <w:uiPriority w:val="0"/>
    <w:pPr>
      <w:autoSpaceDE/>
      <w:autoSpaceDN/>
      <w:adjustRightInd/>
      <w:spacing w:before="0" w:after="0" w:line="400" w:lineRule="exact"/>
      <w:ind w:left="0" w:firstLine="0"/>
      <w:jc w:val="both"/>
    </w:pPr>
    <w:rPr>
      <w:rFonts w:ascii="Calibri" w:hAnsi="Calibri" w:eastAsia="黑体" w:cs="宋体"/>
      <w:b w:val="0"/>
      <w:bCs w:val="0"/>
      <w:kern w:val="2"/>
      <w:sz w:val="24"/>
      <w:szCs w:val="20"/>
    </w:rPr>
  </w:style>
  <w:style w:type="paragraph" w:customStyle="1" w:styleId="262">
    <w:name w:val="清除格式后文案"/>
    <w:basedOn w:val="1"/>
    <w:qFormat/>
    <w:uiPriority w:val="0"/>
    <w:pPr>
      <w:spacing w:line="500" w:lineRule="exact"/>
    </w:pPr>
    <w:rPr>
      <w:rFonts w:ascii="宋体"/>
      <w:kern w:val="0"/>
      <w:sz w:val="24"/>
    </w:rPr>
  </w:style>
  <w:style w:type="paragraph" w:customStyle="1" w:styleId="263">
    <w:name w:val=" Char2"/>
    <w:basedOn w:val="1"/>
    <w:qFormat/>
    <w:uiPriority w:val="0"/>
    <w:rPr>
      <w:rFonts w:ascii="Calibri" w:hAnsi="Calibri"/>
      <w:szCs w:val="20"/>
    </w:rPr>
  </w:style>
  <w:style w:type="paragraph" w:customStyle="1" w:styleId="264">
    <w:name w:val=" Char Char3 Char Char Char Char"/>
    <w:basedOn w:val="1"/>
    <w:qFormat/>
    <w:uiPriority w:val="0"/>
    <w:pPr>
      <w:widowControl/>
      <w:spacing w:after="160" w:line="240" w:lineRule="exact"/>
      <w:jc w:val="left"/>
    </w:pPr>
    <w:rPr>
      <w:rFonts w:ascii="Calibri" w:hAnsi="Calibri"/>
      <w:snapToGrid w:val="0"/>
      <w:kern w:val="21"/>
      <w:szCs w:val="21"/>
    </w:rPr>
  </w:style>
  <w:style w:type="paragraph" w:customStyle="1" w:styleId="265">
    <w:name w:val="Char1"/>
    <w:basedOn w:val="1"/>
    <w:qFormat/>
    <w:uiPriority w:val="0"/>
    <w:pPr>
      <w:tabs>
        <w:tab w:val="left" w:pos="360"/>
      </w:tabs>
      <w:ind w:left="360" w:hanging="360" w:hangingChars="200"/>
    </w:pPr>
    <w:rPr>
      <w:sz w:val="24"/>
    </w:rPr>
  </w:style>
  <w:style w:type="paragraph" w:customStyle="1" w:styleId="266">
    <w:name w:val="title12"/>
    <w:basedOn w:val="1"/>
    <w:qFormat/>
    <w:uiPriority w:val="0"/>
    <w:pPr>
      <w:widowControl/>
      <w:spacing w:before="150" w:line="510" w:lineRule="atLeast"/>
      <w:jc w:val="left"/>
    </w:pPr>
    <w:rPr>
      <w:rFonts w:ascii="宋体" w:hAnsi="宋体" w:cs="宋体"/>
      <w:b/>
      <w:bCs/>
      <w:kern w:val="0"/>
      <w:sz w:val="23"/>
      <w:szCs w:val="23"/>
    </w:rPr>
  </w:style>
  <w:style w:type="paragraph" w:customStyle="1" w:styleId="26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8">
    <w:name w:val="Revision1"/>
    <w:qFormat/>
    <w:uiPriority w:val="99"/>
    <w:rPr>
      <w:rFonts w:ascii="Times New Roman" w:hAnsi="Times New Roman" w:eastAsia="宋体" w:cs="Times New Roman"/>
      <w:kern w:val="2"/>
      <w:sz w:val="21"/>
      <w:szCs w:val="21"/>
      <w:lang w:val="en-US" w:eastAsia="zh-CN" w:bidi="ar-SA"/>
    </w:rPr>
  </w:style>
  <w:style w:type="paragraph" w:customStyle="1" w:styleId="26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70">
    <w:name w:val=" Char Char12 Char Char Char Char Char Char Char Char Char Char"/>
    <w:basedOn w:val="1"/>
    <w:qFormat/>
    <w:uiPriority w:val="0"/>
    <w:rPr>
      <w:rFonts w:ascii="Calibri" w:hAnsi="Calibri"/>
      <w:szCs w:val="20"/>
    </w:rPr>
  </w:style>
  <w:style w:type="paragraph" w:customStyle="1" w:styleId="271">
    <w:name w:val=" Char Char1 Char Char Char Char"/>
    <w:basedOn w:val="1"/>
    <w:qFormat/>
    <w:uiPriority w:val="0"/>
    <w:pPr>
      <w:adjustRightInd w:val="0"/>
      <w:spacing w:line="440" w:lineRule="exact"/>
    </w:pPr>
    <w:rPr>
      <w:rFonts w:ascii="宋体" w:hAnsi="Calibri"/>
      <w:kern w:val="0"/>
      <w:sz w:val="28"/>
      <w:szCs w:val="27"/>
    </w:rPr>
  </w:style>
  <w:style w:type="paragraph" w:customStyle="1" w:styleId="272">
    <w:name w:val="标书_正文"/>
    <w:basedOn w:val="1"/>
    <w:qFormat/>
    <w:uiPriority w:val="0"/>
    <w:pPr>
      <w:widowControl/>
      <w:spacing w:after="200" w:line="360" w:lineRule="auto"/>
      <w:ind w:firstLine="480" w:firstLineChars="200"/>
      <w:jc w:val="left"/>
    </w:pPr>
    <w:rPr>
      <w:rFonts w:ascii="宋体" w:hAnsi="宋体"/>
      <w:kern w:val="0"/>
      <w:sz w:val="24"/>
      <w:szCs w:val="22"/>
    </w:rPr>
  </w:style>
  <w:style w:type="paragraph" w:customStyle="1" w:styleId="273">
    <w:name w:val=" Char Char3"/>
    <w:basedOn w:val="1"/>
    <w:qFormat/>
    <w:uiPriority w:val="0"/>
  </w:style>
  <w:style w:type="paragraph" w:customStyle="1" w:styleId="274">
    <w:name w:val="Char Char1 Char Char Char Char Char Char Char"/>
    <w:basedOn w:val="1"/>
    <w:qFormat/>
    <w:uiPriority w:val="0"/>
    <w:pPr>
      <w:adjustRightInd w:val="0"/>
      <w:spacing w:line="440" w:lineRule="exact"/>
    </w:pPr>
    <w:rPr>
      <w:rFonts w:ascii="宋体" w:hAnsi="Calibri"/>
      <w:kern w:val="0"/>
      <w:sz w:val="28"/>
      <w:szCs w:val="27"/>
    </w:rPr>
  </w:style>
  <w:style w:type="paragraph" w:customStyle="1" w:styleId="275">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76">
    <w:name w:val="Char Char Char Char Char Char Char Char"/>
    <w:basedOn w:val="1"/>
    <w:qFormat/>
    <w:uiPriority w:val="0"/>
    <w:pPr>
      <w:adjustRightInd w:val="0"/>
      <w:spacing w:line="440" w:lineRule="exact"/>
    </w:pPr>
    <w:rPr>
      <w:rFonts w:ascii="宋体" w:hAnsi="Calibri"/>
      <w:kern w:val="0"/>
      <w:sz w:val="28"/>
      <w:szCs w:val="27"/>
    </w:rPr>
  </w:style>
  <w:style w:type="paragraph" w:customStyle="1" w:styleId="277">
    <w:name w:val=" Char Char1 Char Char"/>
    <w:basedOn w:val="1"/>
    <w:qFormat/>
    <w:uiPriority w:val="0"/>
    <w:rPr>
      <w:rFonts w:ascii="Calibri" w:hAnsi="Calibri"/>
      <w:szCs w:val="20"/>
    </w:rPr>
  </w:style>
  <w:style w:type="paragraph" w:customStyle="1" w:styleId="278">
    <w:name w:val="Normal_31_0"/>
    <w:qFormat/>
    <w:uiPriority w:val="99"/>
    <w:pPr>
      <w:spacing w:before="120" w:after="240"/>
      <w:jc w:val="both"/>
    </w:pPr>
    <w:rPr>
      <w:rFonts w:ascii="Calibri" w:hAnsi="Calibri" w:eastAsia="宋体" w:cs="Times New Roman"/>
      <w:sz w:val="22"/>
      <w:szCs w:val="22"/>
      <w:lang w:val="en-US" w:eastAsia="en-US" w:bidi="ar-SA"/>
    </w:rPr>
  </w:style>
  <w:style w:type="paragraph" w:customStyle="1" w:styleId="279">
    <w:name w:val="TOC Heading"/>
    <w:basedOn w:val="3"/>
    <w:next w:val="1"/>
    <w:qFormat/>
    <w:uiPriority w:val="0"/>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280">
    <w:name w:val="默认段落字体 Para Char"/>
    <w:basedOn w:val="9"/>
    <w:qFormat/>
    <w:uiPriority w:val="0"/>
    <w:pPr>
      <w:tabs>
        <w:tab w:val="left" w:pos="1440"/>
      </w:tabs>
    </w:pPr>
    <w:rPr>
      <w:rFonts w:ascii="Times New Roman" w:hAnsi="Times New Roman" w:eastAsia="Times New Roman"/>
      <w:b w:val="0"/>
      <w:bCs w:val="0"/>
      <w:kern w:val="0"/>
      <w:sz w:val="20"/>
      <w:szCs w:val="20"/>
      <w:lang w:val="en-US"/>
    </w:rPr>
  </w:style>
  <w:style w:type="paragraph" w:customStyle="1" w:styleId="281">
    <w:name w:val="Char Char Char Char Char"/>
    <w:basedOn w:val="1"/>
    <w:qFormat/>
    <w:uiPriority w:val="0"/>
    <w:pPr>
      <w:adjustRightInd w:val="0"/>
      <w:spacing w:line="440" w:lineRule="exact"/>
    </w:pPr>
    <w:rPr>
      <w:rFonts w:ascii="宋体" w:hAnsi="Calibri"/>
      <w:kern w:val="0"/>
      <w:sz w:val="28"/>
      <w:szCs w:val="27"/>
    </w:rPr>
  </w:style>
  <w:style w:type="paragraph" w:customStyle="1" w:styleId="282">
    <w:name w:val="_Style 108"/>
    <w:basedOn w:val="1"/>
    <w:qFormat/>
    <w:uiPriority w:val="0"/>
    <w:pPr>
      <w:widowControl/>
      <w:spacing w:after="160" w:line="240" w:lineRule="exact"/>
      <w:jc w:val="left"/>
    </w:pPr>
    <w:rPr>
      <w:rFonts w:ascii="Calibri" w:hAnsi="Calibri"/>
    </w:rPr>
  </w:style>
  <w:style w:type="paragraph" w:customStyle="1" w:styleId="283">
    <w:name w:val="保留正文"/>
    <w:basedOn w:val="2"/>
    <w:qFormat/>
    <w:uiPriority w:val="99"/>
    <w:pPr>
      <w:keepNext/>
      <w:tabs>
        <w:tab w:val="clear" w:pos="567"/>
      </w:tabs>
      <w:spacing w:before="0" w:after="160" w:line="240" w:lineRule="auto"/>
    </w:pPr>
    <w:rPr>
      <w:rFonts w:ascii="Times New Roman" w:hAnsi="Times New Roman"/>
      <w:sz w:val="21"/>
      <w:szCs w:val="21"/>
    </w:rPr>
  </w:style>
  <w:style w:type="paragraph" w:customStyle="1" w:styleId="284">
    <w:name w:val="自定义正文"/>
    <w:basedOn w:val="1"/>
    <w:qFormat/>
    <w:uiPriority w:val="99"/>
    <w:pPr>
      <w:spacing w:before="120" w:after="60" w:line="400" w:lineRule="exact"/>
      <w:ind w:firstLine="200" w:firstLineChars="200"/>
      <w:jc w:val="left"/>
    </w:pPr>
    <w:rPr>
      <w:rFonts w:ascii="仿宋_GB2312" w:eastAsia="仿宋_GB2312" w:cs="仿宋_GB2312"/>
      <w:sz w:val="24"/>
    </w:rPr>
  </w:style>
  <w:style w:type="paragraph" w:customStyle="1" w:styleId="28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86">
    <w:name w:val="格式1"/>
    <w:next w:val="1"/>
    <w:qFormat/>
    <w:uiPriority w:val="0"/>
    <w:pPr>
      <w:keepNext/>
      <w:widowControl w:val="0"/>
      <w:adjustRightInd w:val="0"/>
      <w:snapToGrid w:val="0"/>
      <w:spacing w:before="156" w:line="440" w:lineRule="exact"/>
      <w:jc w:val="both"/>
      <w:outlineLvl w:val="3"/>
    </w:pPr>
    <w:rPr>
      <w:rFonts w:ascii="Calibri" w:hAnsi="Calibri" w:eastAsia="宋体" w:cs="Times New Roman"/>
      <w:b/>
      <w:bCs/>
      <w:sz w:val="24"/>
      <w:szCs w:val="24"/>
      <w:lang w:val="en-US" w:eastAsia="zh-CN" w:bidi="ar-SA"/>
    </w:rPr>
  </w:style>
  <w:style w:type="paragraph" w:customStyle="1" w:styleId="287">
    <w:name w:val="样式 首行缩进:  0.74 厘米"/>
    <w:basedOn w:val="1"/>
    <w:qFormat/>
    <w:uiPriority w:val="0"/>
    <w:pPr>
      <w:widowControl/>
      <w:spacing w:before="100" w:after="200" w:line="276" w:lineRule="auto"/>
      <w:ind w:firstLine="420"/>
      <w:jc w:val="left"/>
    </w:pPr>
    <w:rPr>
      <w:rFonts w:ascii="Arial" w:hAnsi="Arial" w:eastAsia="仿宋_GB2312" w:cs="Arial"/>
      <w:bCs/>
      <w:kern w:val="0"/>
      <w:sz w:val="28"/>
      <w:szCs w:val="28"/>
    </w:rPr>
  </w:style>
  <w:style w:type="paragraph" w:styleId="28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Char Char Char Char1"/>
    <w:basedOn w:val="1"/>
    <w:qFormat/>
    <w:uiPriority w:val="99"/>
    <w:pPr>
      <w:adjustRightInd w:val="0"/>
      <w:spacing w:line="440" w:lineRule="exact"/>
    </w:pPr>
    <w:rPr>
      <w:sz w:val="20"/>
      <w:szCs w:val="20"/>
    </w:rPr>
  </w:style>
  <w:style w:type="paragraph" w:customStyle="1" w:styleId="290">
    <w:name w:val=" Char Char Char Char Char Char"/>
    <w:basedOn w:val="1"/>
    <w:qFormat/>
    <w:uiPriority w:val="0"/>
    <w:pPr>
      <w:widowControl/>
      <w:spacing w:after="160" w:line="240" w:lineRule="exact"/>
      <w:jc w:val="left"/>
    </w:pPr>
    <w:rPr>
      <w:szCs w:val="20"/>
    </w:rPr>
  </w:style>
  <w:style w:type="paragraph" w:customStyle="1" w:styleId="291">
    <w:name w:val="Revision"/>
    <w:qFormat/>
    <w:uiPriority w:val="0"/>
    <w:rPr>
      <w:rFonts w:ascii="Times New Roman" w:hAnsi="Times New Roman" w:eastAsia="宋体" w:cs="Times New Roman"/>
      <w:kern w:val="2"/>
      <w:sz w:val="21"/>
      <w:szCs w:val="24"/>
      <w:lang w:val="en-US" w:eastAsia="zh-CN" w:bidi="ar-SA"/>
    </w:rPr>
  </w:style>
  <w:style w:type="paragraph" w:customStyle="1" w:styleId="292">
    <w:name w:val="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3">
    <w:name w:val="格式2"/>
    <w:qFormat/>
    <w:uiPriority w:val="0"/>
    <w:pPr>
      <w:widowControl w:val="0"/>
      <w:adjustRightInd w:val="0"/>
      <w:snapToGrid w:val="0"/>
      <w:spacing w:before="50" w:line="440" w:lineRule="exact"/>
      <w:jc w:val="both"/>
    </w:pPr>
    <w:rPr>
      <w:rFonts w:ascii="Calibri" w:hAnsi="Calibri" w:eastAsia="宋体" w:cs="Times New Roman"/>
      <w:sz w:val="24"/>
      <w:szCs w:val="24"/>
      <w:lang w:val="en-US" w:eastAsia="zh-CN" w:bidi="ar-SA"/>
    </w:rPr>
  </w:style>
  <w:style w:type="character" w:customStyle="1" w:styleId="294">
    <w:name w:val="old"/>
    <w:basedOn w:val="46"/>
    <w:qFormat/>
    <w:uiPriority w:val="0"/>
    <w:rPr>
      <w:color w:val="999999"/>
    </w:rPr>
  </w:style>
  <w:style w:type="character" w:customStyle="1" w:styleId="295">
    <w:name w:val="indent"/>
    <w:basedOn w:val="46"/>
    <w:qFormat/>
    <w:uiPriority w:val="0"/>
  </w:style>
  <w:style w:type="character" w:customStyle="1" w:styleId="296">
    <w:name w:val="hour_am"/>
    <w:basedOn w:val="46"/>
    <w:qFormat/>
    <w:uiPriority w:val="0"/>
  </w:style>
  <w:style w:type="character" w:customStyle="1" w:styleId="297">
    <w:name w:val="tmpztreemove_arrow"/>
    <w:basedOn w:val="46"/>
    <w:qFormat/>
    <w:uiPriority w:val="0"/>
    <w:rPr>
      <w:shd w:val="clear" w:color="auto" w:fill="FFFFFF"/>
    </w:rPr>
  </w:style>
  <w:style w:type="character" w:customStyle="1" w:styleId="298">
    <w:name w:val="hover3"/>
    <w:basedOn w:val="46"/>
    <w:qFormat/>
    <w:uiPriority w:val="0"/>
    <w:rPr>
      <w:shd w:val="clear" w:color="auto" w:fill="EEEEEE"/>
    </w:rPr>
  </w:style>
  <w:style w:type="character" w:customStyle="1" w:styleId="299">
    <w:name w:val="glyphicon4"/>
    <w:basedOn w:val="46"/>
    <w:qFormat/>
    <w:uiPriority w:val="0"/>
  </w:style>
  <w:style w:type="character" w:customStyle="1" w:styleId="300">
    <w:name w:val="hour_pm"/>
    <w:basedOn w:val="46"/>
    <w:qFormat/>
    <w:uiPriority w:val="0"/>
  </w:style>
  <w:style w:type="character" w:customStyle="1" w:styleId="301">
    <w:name w:val="button"/>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5345</Words>
  <Characters>30470</Characters>
  <Lines>253</Lines>
  <Paragraphs>71</Paragraphs>
  <TotalTime>23</TotalTime>
  <ScaleCrop>false</ScaleCrop>
  <LinksUpToDate>false</LinksUpToDate>
  <CharactersWithSpaces>35744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2021-07-09T02:22:00Z</dcterms:created>
  <dc:creator>招标管理部</dc:creator>
  <cp:lastModifiedBy>遇见@多多</cp:lastModifiedBy>
  <cp:lastPrinted>2021-07-21T01:42:00Z</cp:lastPrinted>
  <dcterms:modified xsi:type="dcterms:W3CDTF">2021-07-27T03:38:26Z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A9B3EB325F6E442F86E7F648D71C6F8C</vt:lpwstr>
  </property>
</Properties>
</file>