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ind w:left="0" w:leftChars="0" w:right="0" w:rightChars="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spacing w:line="560" w:lineRule="exact"/>
        <w:jc w:val="left"/>
        <w:rPr>
          <w:rFonts w:hint="eastAsia" w:ascii="方正小标宋简体" w:hAnsi="方正小标宋简体" w:eastAsia="方正小标宋简体" w:cs="方正小标宋简体"/>
          <w:b w:val="0"/>
          <w:bCs/>
          <w:sz w:val="32"/>
          <w:szCs w:val="32"/>
          <w:lang w:val="en-US" w:eastAsia="zh-CN"/>
        </w:rPr>
      </w:pP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陕西省公路施工企业信用评价实施细则</w:t>
      </w:r>
    </w:p>
    <w:p>
      <w:pPr>
        <w:spacing w:line="560" w:lineRule="exact"/>
        <w:jc w:val="center"/>
        <w:rPr>
          <w:rFonts w:hint="eastAsia" w:ascii="仿宋_GB2312" w:hAnsi="宋体" w:eastAsia="仿宋_GB2312"/>
          <w:b/>
          <w:sz w:val="32"/>
          <w:szCs w:val="28"/>
        </w:rPr>
      </w:pPr>
    </w:p>
    <w:p>
      <w:pPr>
        <w:tabs>
          <w:tab w:val="left" w:pos="2235"/>
          <w:tab w:val="center" w:pos="4153"/>
        </w:tabs>
        <w:autoSpaceDN w:val="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 w:val="0"/>
          <w:bCs w:val="0"/>
          <w:sz w:val="32"/>
          <w:szCs w:val="32"/>
        </w:rPr>
        <w:t xml:space="preserve">第一条 </w:t>
      </w:r>
      <w:r>
        <w:rPr>
          <w:rFonts w:hint="eastAsia" w:ascii="仿宋" w:hAnsi="仿宋" w:eastAsia="仿宋" w:cs="仿宋"/>
          <w:sz w:val="32"/>
          <w:szCs w:val="32"/>
        </w:rPr>
        <w:t>为规范公路施工企业信用评价工作，统一方法和标准，根据交通运输部《公路建设市场信用信息管理办法》、《公路施工企业信用评价规则》等有关规定，结合我省实际，制定本实施细则。</w:t>
      </w:r>
    </w:p>
    <w:p>
      <w:pPr>
        <w:widowControl/>
        <w:tabs>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sz w:val="32"/>
          <w:szCs w:val="32"/>
        </w:rPr>
        <w:t>第二条</w:t>
      </w:r>
      <w:r>
        <w:rPr>
          <w:rFonts w:hint="eastAsia" w:ascii="仿宋" w:hAnsi="仿宋" w:eastAsia="仿宋" w:cs="仿宋"/>
          <w:b/>
          <w:bCs/>
          <w:sz w:val="32"/>
          <w:szCs w:val="32"/>
        </w:rPr>
        <w:tab/>
      </w:r>
      <w:r>
        <w:rPr>
          <w:rFonts w:hint="eastAsia" w:ascii="仿宋" w:hAnsi="仿宋" w:eastAsia="仿宋" w:cs="仿宋"/>
          <w:sz w:val="32"/>
          <w:szCs w:val="32"/>
        </w:rPr>
        <w:t xml:space="preserve"> 本</w:t>
      </w:r>
      <w:r>
        <w:rPr>
          <w:rFonts w:hint="eastAsia" w:ascii="仿宋" w:hAnsi="仿宋" w:eastAsia="仿宋" w:cs="仿宋"/>
          <w:sz w:val="32"/>
          <w:szCs w:val="32"/>
          <w:lang w:eastAsia="zh-CN"/>
        </w:rPr>
        <w:t>实施细则</w:t>
      </w:r>
      <w:r>
        <w:rPr>
          <w:rFonts w:hint="eastAsia" w:ascii="仿宋" w:hAnsi="仿宋" w:eastAsia="仿宋" w:cs="仿宋"/>
          <w:sz w:val="32"/>
          <w:szCs w:val="32"/>
        </w:rPr>
        <w:t>所称公路施工企业信用评价是指省交通运输厅或其委托机构依据有关法律法规、标准规范、合同文件等，通过量化方</w:t>
      </w:r>
      <w:r>
        <w:rPr>
          <w:rFonts w:hint="eastAsia" w:ascii="仿宋" w:hAnsi="仿宋" w:eastAsia="仿宋" w:cs="仿宋"/>
          <w:color w:val="auto"/>
          <w:sz w:val="32"/>
          <w:szCs w:val="32"/>
        </w:rPr>
        <w:t>式对参与公路工程</w:t>
      </w:r>
      <w:r>
        <w:rPr>
          <w:rFonts w:hint="eastAsia" w:ascii="仿宋" w:hAnsi="仿宋" w:eastAsia="仿宋" w:cs="仿宋"/>
          <w:color w:val="auto"/>
          <w:sz w:val="32"/>
          <w:szCs w:val="32"/>
          <w:lang w:val="en-US" w:eastAsia="zh-CN"/>
        </w:rPr>
        <w:t>主体工程（</w:t>
      </w:r>
      <w:r>
        <w:rPr>
          <w:rFonts w:hint="eastAsia" w:ascii="仿宋" w:hAnsi="仿宋" w:eastAsia="仿宋" w:cs="仿宋"/>
          <w:color w:val="auto"/>
          <w:sz w:val="32"/>
          <w:szCs w:val="32"/>
        </w:rPr>
        <w:t>路基、路面、桥梁、隧道</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、交安、机电、房建、绿化等工程施工，具有</w:t>
      </w:r>
      <w:r>
        <w:rPr>
          <w:rFonts w:hint="eastAsia" w:ascii="仿宋" w:hAnsi="仿宋" w:eastAsia="仿宋" w:cs="仿宋"/>
          <w:color w:val="auto"/>
          <w:sz w:val="32"/>
          <w:szCs w:val="32"/>
          <w:lang w:val="en-US" w:eastAsia="zh-CN"/>
        </w:rPr>
        <w:t>相应</w:t>
      </w:r>
      <w:r>
        <w:rPr>
          <w:rFonts w:hint="eastAsia" w:ascii="仿宋" w:hAnsi="仿宋" w:eastAsia="仿宋" w:cs="仿宋"/>
          <w:color w:val="auto"/>
          <w:sz w:val="32"/>
          <w:szCs w:val="32"/>
        </w:rPr>
        <w:t>施工资质的企业在我省公路建设市场从业行为的评价。</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第三条</w:t>
      </w:r>
      <w:r>
        <w:rPr>
          <w:rFonts w:hint="eastAsia" w:ascii="仿宋" w:hAnsi="仿宋" w:eastAsia="仿宋" w:cs="仿宋"/>
          <w:color w:val="auto"/>
          <w:sz w:val="32"/>
          <w:szCs w:val="32"/>
        </w:rPr>
        <w:t xml:space="preserve"> 公路施工企业信用评价遵循公平、公正、公开的原则，评价结果实行</w:t>
      </w:r>
      <w:r>
        <w:rPr>
          <w:rFonts w:hint="eastAsia" w:ascii="仿宋" w:hAnsi="仿宋" w:eastAsia="仿宋" w:cs="仿宋"/>
          <w:color w:val="auto"/>
          <w:sz w:val="32"/>
          <w:szCs w:val="32"/>
          <w:lang w:val="en-US" w:eastAsia="zh-CN"/>
        </w:rPr>
        <w:t>评价人</w:t>
      </w:r>
      <w:r>
        <w:rPr>
          <w:rFonts w:hint="eastAsia" w:ascii="仿宋" w:hAnsi="仿宋" w:eastAsia="仿宋" w:cs="仿宋"/>
          <w:strike w:val="0"/>
          <w:dstrike w:val="0"/>
          <w:color w:val="auto"/>
          <w:sz w:val="32"/>
          <w:szCs w:val="32"/>
        </w:rPr>
        <w:t>签认</w:t>
      </w:r>
      <w:r>
        <w:rPr>
          <w:rFonts w:hint="eastAsia" w:ascii="仿宋" w:hAnsi="仿宋" w:eastAsia="仿宋" w:cs="仿宋"/>
          <w:color w:val="auto"/>
          <w:sz w:val="32"/>
          <w:szCs w:val="32"/>
        </w:rPr>
        <w:t>和公示、公告制度。</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 xml:space="preserve">第四条 </w:t>
      </w:r>
      <w:r>
        <w:rPr>
          <w:rFonts w:hint="eastAsia" w:ascii="仿宋" w:hAnsi="仿宋" w:eastAsia="仿宋" w:cs="仿宋"/>
          <w:color w:val="auto"/>
          <w:sz w:val="32"/>
          <w:szCs w:val="32"/>
        </w:rPr>
        <w:t>信用评价管理工作实行统一管理、分级负责。</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第五条</w:t>
      </w:r>
      <w:r>
        <w:rPr>
          <w:rFonts w:hint="eastAsia" w:ascii="仿宋" w:hAnsi="仿宋" w:eastAsia="仿宋" w:cs="仿宋"/>
          <w:color w:val="auto"/>
          <w:sz w:val="32"/>
          <w:szCs w:val="32"/>
        </w:rPr>
        <w:t xml:space="preserve"> 省交通运输厅负责</w:t>
      </w:r>
      <w:r>
        <w:rPr>
          <w:rFonts w:hint="eastAsia" w:ascii="仿宋" w:hAnsi="仿宋" w:eastAsia="仿宋" w:cs="仿宋"/>
          <w:color w:val="auto"/>
          <w:sz w:val="32"/>
          <w:szCs w:val="32"/>
          <w:lang w:eastAsia="zh-CN"/>
        </w:rPr>
        <w:t>全</w:t>
      </w:r>
      <w:r>
        <w:rPr>
          <w:rFonts w:hint="eastAsia" w:ascii="仿宋" w:hAnsi="仿宋" w:eastAsia="仿宋" w:cs="仿宋"/>
          <w:color w:val="auto"/>
          <w:sz w:val="32"/>
          <w:szCs w:val="32"/>
        </w:rPr>
        <w:t>省公路施工企业的信用评价管理工作。主要职责是：</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（一）制定本省公路施工企业信用评价实施细则并组织实施；</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（二）指导各</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交通运输局、省公路局、厅质监站、项目法人组织开展信用评价相关工作；</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（三）负责全省公路施工企业信用综合评价结果的审定和发布。</w:t>
      </w:r>
    </w:p>
    <w:p>
      <w:pPr>
        <w:widowControl/>
        <w:numPr>
          <w:ilvl w:val="0"/>
          <w:numId w:val="0"/>
        </w:numPr>
        <w:tabs>
          <w:tab w:val="left" w:pos="2235"/>
          <w:tab w:val="center" w:pos="4153"/>
        </w:tabs>
        <w:autoSpaceDN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省交通运输厅具体办事机构设在厅建设管理处。</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第六条</w:t>
      </w:r>
      <w:r>
        <w:rPr>
          <w:rFonts w:hint="eastAsia" w:ascii="仿宋" w:hAnsi="仿宋" w:eastAsia="仿宋" w:cs="仿宋"/>
          <w:color w:val="auto"/>
          <w:sz w:val="32"/>
          <w:szCs w:val="32"/>
        </w:rPr>
        <w:t xml:space="preserve"> 陕西省交通运输厅工程质量监督站（以下简称厅质监站）受省交通运输厅委托负责全省高速公路施工企业（包括同时参与高速、干线公路的施工企业）信用初步评价。</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第七条</w:t>
      </w:r>
      <w:r>
        <w:rPr>
          <w:rFonts w:hint="eastAsia" w:ascii="仿宋" w:hAnsi="仿宋" w:eastAsia="仿宋" w:cs="仿宋"/>
          <w:color w:val="auto"/>
          <w:sz w:val="32"/>
          <w:szCs w:val="32"/>
        </w:rPr>
        <w:t xml:space="preserve"> 省公路局受省交通运输厅委托，具体负责全省干线公路施工企业（仅参与干线公路的施工企业）信用初步评价。</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第八条</w:t>
      </w:r>
      <w:r>
        <w:rPr>
          <w:rFonts w:hint="eastAsia" w:ascii="仿宋" w:hAnsi="仿宋" w:eastAsia="仿宋" w:cs="仿宋"/>
          <w:color w:val="auto"/>
          <w:sz w:val="32"/>
          <w:szCs w:val="32"/>
        </w:rPr>
        <w:t xml:space="preserve"> 各</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交通运输局、项目法人负责对现场管理机构提供的信用评价信息进行审核，</w:t>
      </w:r>
      <w:r>
        <w:rPr>
          <w:rFonts w:hint="eastAsia" w:ascii="仿宋" w:hAnsi="仿宋" w:eastAsia="仿宋" w:cs="仿宋"/>
          <w:color w:val="auto"/>
          <w:sz w:val="32"/>
          <w:szCs w:val="32"/>
          <w:lang w:val="en-US" w:eastAsia="zh-CN"/>
        </w:rPr>
        <w:t>PPP建设项目</w:t>
      </w:r>
      <w:r>
        <w:rPr>
          <w:rFonts w:hint="eastAsia" w:ascii="仿宋" w:hAnsi="仿宋" w:eastAsia="仿宋" w:cs="仿宋"/>
          <w:sz w:val="32"/>
          <w:szCs w:val="32"/>
        </w:rPr>
        <w:t>信用评价信息</w:t>
      </w:r>
      <w:r>
        <w:rPr>
          <w:rFonts w:hint="eastAsia" w:ascii="仿宋" w:hAnsi="仿宋" w:eastAsia="仿宋" w:cs="仿宋"/>
          <w:color w:val="auto"/>
          <w:sz w:val="32"/>
          <w:szCs w:val="32"/>
          <w:lang w:val="en-US" w:eastAsia="zh-CN"/>
        </w:rPr>
        <w:t>应经项目实施机构及项目监管机构审核，</w:t>
      </w:r>
      <w:r>
        <w:rPr>
          <w:rFonts w:hint="eastAsia" w:ascii="仿宋" w:hAnsi="仿宋" w:eastAsia="仿宋" w:cs="仿宋"/>
          <w:color w:val="auto"/>
          <w:sz w:val="32"/>
          <w:szCs w:val="32"/>
        </w:rPr>
        <w:t>并按照管理职责分别报厅质监站、省公路局。</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第九条</w:t>
      </w:r>
      <w:r>
        <w:rPr>
          <w:rFonts w:hint="eastAsia" w:ascii="仿宋" w:hAnsi="仿宋" w:eastAsia="仿宋" w:cs="仿宋"/>
          <w:color w:val="auto"/>
          <w:sz w:val="32"/>
          <w:szCs w:val="32"/>
        </w:rPr>
        <w:t xml:space="preserve"> 公路施工企业信用评价工作</w:t>
      </w:r>
      <w:r>
        <w:rPr>
          <w:rFonts w:hint="eastAsia" w:ascii="仿宋" w:hAnsi="仿宋" w:eastAsia="仿宋" w:cs="仿宋"/>
          <w:color w:val="auto"/>
          <w:sz w:val="32"/>
          <w:szCs w:val="32"/>
          <w:lang w:eastAsia="zh-CN"/>
        </w:rPr>
        <w:t>采取</w:t>
      </w:r>
      <w:r>
        <w:rPr>
          <w:rFonts w:hint="eastAsia" w:ascii="仿宋" w:hAnsi="仿宋" w:eastAsia="仿宋" w:cs="仿宋"/>
          <w:color w:val="auto"/>
          <w:sz w:val="32"/>
          <w:szCs w:val="32"/>
        </w:rPr>
        <w:t>定期评价和动态评价相结合的方式。</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第十条</w:t>
      </w:r>
      <w:r>
        <w:rPr>
          <w:rFonts w:hint="eastAsia" w:ascii="仿宋" w:hAnsi="仿宋" w:eastAsia="仿宋" w:cs="仿宋"/>
          <w:color w:val="auto"/>
          <w:sz w:val="32"/>
          <w:szCs w:val="32"/>
        </w:rPr>
        <w:t xml:space="preserve"> 定期评价工作每年开展一次，对公路施工企业上一年度（1月1日至12月31日期间）的信用行为进行评价。</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厅质监站和省公路局于每年1月底前分别完成上一年全省高速公路、干线公路施工企业信用初步评价，确定其得分及信用等级，并将结果报省交通运输厅。其中，参与高速公路和干线公路的施工企业</w:t>
      </w:r>
      <w:r>
        <w:rPr>
          <w:rFonts w:hint="eastAsia" w:ascii="仿宋" w:hAnsi="仿宋" w:eastAsia="仿宋" w:cs="仿宋"/>
          <w:color w:val="auto"/>
          <w:sz w:val="32"/>
          <w:szCs w:val="32"/>
          <w:lang w:val="en-US" w:eastAsia="zh-CN"/>
        </w:rPr>
        <w:t>分别由</w:t>
      </w:r>
      <w:r>
        <w:rPr>
          <w:rFonts w:hint="eastAsia" w:ascii="仿宋" w:hAnsi="仿宋" w:eastAsia="仿宋" w:cs="仿宋"/>
          <w:color w:val="auto"/>
          <w:sz w:val="32"/>
          <w:szCs w:val="32"/>
        </w:rPr>
        <w:t>厅质监站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省公路局按类别</w:t>
      </w:r>
      <w:r>
        <w:rPr>
          <w:rFonts w:hint="eastAsia" w:ascii="仿宋" w:hAnsi="仿宋" w:eastAsia="仿宋" w:cs="仿宋"/>
          <w:color w:val="auto"/>
          <w:sz w:val="32"/>
          <w:szCs w:val="32"/>
        </w:rPr>
        <w:t>进行汇总、评价</w:t>
      </w:r>
      <w:r>
        <w:rPr>
          <w:rFonts w:hint="eastAsia" w:ascii="仿宋" w:hAnsi="仿宋" w:eastAsia="仿宋" w:cs="仿宋"/>
          <w:color w:val="auto"/>
          <w:sz w:val="32"/>
          <w:szCs w:val="32"/>
          <w:lang w:eastAsia="zh-CN"/>
        </w:rPr>
        <w:t>。</w:t>
      </w:r>
    </w:p>
    <w:p>
      <w:pPr>
        <w:widowControl/>
        <w:tabs>
          <w:tab w:val="left" w:pos="2235"/>
          <w:tab w:val="center" w:pos="4153"/>
        </w:tabs>
        <w:autoSpaceDN w:val="0"/>
        <w:ind w:firstLine="48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省交通运输厅于每年2月底前完成全省公路施工企业信用综合评价</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于3月底前将</w:t>
      </w:r>
      <w:r>
        <w:rPr>
          <w:rFonts w:hint="eastAsia" w:ascii="仿宋" w:hAnsi="仿宋" w:eastAsia="仿宋" w:cs="仿宋"/>
          <w:b w:val="0"/>
          <w:bCs w:val="0"/>
          <w:color w:val="auto"/>
          <w:sz w:val="32"/>
          <w:szCs w:val="32"/>
          <w:lang w:val="en-US" w:eastAsia="zh-CN"/>
        </w:rPr>
        <w:t>高速公路施工企业</w:t>
      </w:r>
      <w:r>
        <w:rPr>
          <w:rFonts w:hint="eastAsia" w:ascii="仿宋" w:hAnsi="仿宋" w:eastAsia="仿宋" w:cs="仿宋"/>
          <w:b w:val="0"/>
          <w:bCs w:val="0"/>
          <w:color w:val="auto"/>
          <w:sz w:val="32"/>
          <w:szCs w:val="32"/>
        </w:rPr>
        <w:t>的公路施工企业评价结果上报交通运输部。</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第十一条</w:t>
      </w:r>
      <w:r>
        <w:rPr>
          <w:rFonts w:hint="eastAsia" w:ascii="仿宋" w:hAnsi="仿宋" w:eastAsia="仿宋" w:cs="仿宋"/>
          <w:color w:val="auto"/>
          <w:sz w:val="32"/>
          <w:szCs w:val="32"/>
        </w:rPr>
        <w:t xml:space="preserve"> 公路施工企业信用评价等级分为AA、A、B、C、D五个等级，各信用等级对应的企业评分X分别为：</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AA级：95分≤X≤100分，信用好；</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A级：85分≤X＜95分，信用较好；</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B级：75分≤X＜85分，信用一般；</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C级：60分≤X＜75分，信用较差；</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D级：X＜60分，信用差。</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 xml:space="preserve">第十二条 </w:t>
      </w:r>
      <w:r>
        <w:rPr>
          <w:rFonts w:hint="eastAsia" w:ascii="仿宋" w:hAnsi="仿宋" w:eastAsia="仿宋" w:cs="仿宋"/>
          <w:color w:val="auto"/>
          <w:sz w:val="32"/>
          <w:szCs w:val="32"/>
        </w:rPr>
        <w:t>评价内容由公路施工企业投标行为、履约行为和其他行为构成，具体见《公路施工企业信用行为评定标准》（附件1）。</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投标行为以公路施工企业单次投标为评价单元，履约行为以单个施工合同段为评价单元。</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 xml:space="preserve">第十三条 </w:t>
      </w:r>
      <w:r>
        <w:rPr>
          <w:rFonts w:hint="eastAsia" w:ascii="仿宋" w:hAnsi="仿宋" w:eastAsia="仿宋" w:cs="仿宋"/>
          <w:color w:val="auto"/>
          <w:sz w:val="32"/>
          <w:szCs w:val="32"/>
        </w:rPr>
        <w:t>投标行为和履约行为初始分值为100分，实行累计扣分制。若有其他行为的，从企业信用评价总得分中扣除。具体的评分计算见《陕西省公路施工企业信用行为评价计算方法》（附件2）。</w:t>
      </w:r>
    </w:p>
    <w:p>
      <w:pPr>
        <w:keepNext w:val="0"/>
        <w:keepLines w:val="0"/>
        <w:pageBreakBefore w:val="0"/>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第十四条</w:t>
      </w:r>
      <w:r>
        <w:rPr>
          <w:rFonts w:hint="eastAsia" w:ascii="仿宋" w:hAnsi="仿宋" w:eastAsia="仿宋" w:cs="仿宋"/>
          <w:color w:val="auto"/>
          <w:sz w:val="32"/>
          <w:szCs w:val="32"/>
        </w:rPr>
        <w:t xml:space="preserve"> 公路施工企业投标行为由招标人负责评价，履约行为由项目法人或现场管理机构结合项目日常管理进行评价，其他行为由负责项目监管的省交通运输厅、省公路局、各</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交通运输局、厅质监站、市质监站负责评价。</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招标人、项目法人、</w:t>
      </w:r>
      <w:r>
        <w:rPr>
          <w:rFonts w:hint="eastAsia" w:ascii="仿宋" w:hAnsi="仿宋" w:eastAsia="仿宋" w:cs="仿宋"/>
          <w:color w:val="auto"/>
          <w:sz w:val="32"/>
          <w:szCs w:val="32"/>
          <w:lang w:eastAsia="zh-CN"/>
        </w:rPr>
        <w:t>现场管理机构、</w:t>
      </w:r>
      <w:r>
        <w:rPr>
          <w:rFonts w:hint="eastAsia" w:ascii="仿宋" w:hAnsi="仿宋" w:eastAsia="仿宋" w:cs="仿宋"/>
          <w:color w:val="auto"/>
          <w:sz w:val="32"/>
          <w:szCs w:val="32"/>
        </w:rPr>
        <w:t>负责项目监管的省交通运输厅、省公路局、各</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交通运输局、厅质监站、市质监站等评价人对</w:t>
      </w:r>
      <w:r>
        <w:rPr>
          <w:rFonts w:hint="eastAsia" w:ascii="仿宋" w:hAnsi="仿宋" w:eastAsia="仿宋" w:cs="仿宋"/>
          <w:color w:val="auto"/>
          <w:sz w:val="32"/>
          <w:szCs w:val="32"/>
          <w:lang w:eastAsia="zh-CN"/>
        </w:rPr>
        <w:t>各自</w:t>
      </w:r>
      <w:r>
        <w:rPr>
          <w:rFonts w:hint="eastAsia" w:ascii="仿宋" w:hAnsi="仿宋" w:eastAsia="仿宋" w:cs="仿宋"/>
          <w:color w:val="auto"/>
          <w:sz w:val="32"/>
          <w:szCs w:val="32"/>
        </w:rPr>
        <w:t>评价结果签认负责。</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 xml:space="preserve">第十五条 </w:t>
      </w:r>
      <w:r>
        <w:rPr>
          <w:rFonts w:hint="eastAsia" w:ascii="仿宋" w:hAnsi="仿宋" w:eastAsia="仿宋" w:cs="仿宋"/>
          <w:color w:val="auto"/>
          <w:sz w:val="32"/>
          <w:szCs w:val="32"/>
        </w:rPr>
        <w:t>公路施工企业信用评价的依据为：</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（一）省交通运输厅、省公路局、各</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交通运输局、厅质监站、市质监站</w:t>
      </w:r>
      <w:r>
        <w:rPr>
          <w:rFonts w:hint="eastAsia" w:ascii="仿宋" w:hAnsi="仿宋" w:eastAsia="仿宋" w:cs="仿宋"/>
          <w:color w:val="auto"/>
          <w:sz w:val="32"/>
          <w:szCs w:val="32"/>
          <w:lang w:val="en-US" w:eastAsia="zh-CN"/>
        </w:rPr>
        <w:t>督查、</w:t>
      </w:r>
      <w:r>
        <w:rPr>
          <w:rFonts w:hint="eastAsia" w:ascii="仿宋" w:hAnsi="仿宋" w:eastAsia="仿宋" w:cs="仿宋"/>
          <w:color w:val="auto"/>
          <w:sz w:val="32"/>
          <w:szCs w:val="32"/>
        </w:rPr>
        <w:t>检查结果或奖罚通报、决定；</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（二）招标人、项目法人</w:t>
      </w:r>
      <w:r>
        <w:rPr>
          <w:rFonts w:hint="eastAsia" w:ascii="仿宋" w:hAnsi="仿宋" w:eastAsia="仿宋" w:cs="仿宋"/>
          <w:color w:val="auto"/>
          <w:sz w:val="32"/>
          <w:szCs w:val="32"/>
          <w:lang w:eastAsia="zh-CN"/>
        </w:rPr>
        <w:t>、现场管理机构、监理单位</w:t>
      </w:r>
      <w:r>
        <w:rPr>
          <w:rFonts w:hint="eastAsia" w:ascii="仿宋" w:hAnsi="仿宋" w:eastAsia="仿宋" w:cs="仿宋"/>
          <w:color w:val="auto"/>
          <w:sz w:val="32"/>
          <w:szCs w:val="32"/>
        </w:rPr>
        <w:t>管理工作中的正式文件；</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（三）举报、投诉或质量、安全事故调查处理结果；</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（四）司法机关做出的司法认定及审计部门的审计意见；</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（五）其他可以认定不良行为的有关资料。</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第十六条</w:t>
      </w:r>
      <w:r>
        <w:rPr>
          <w:rFonts w:hint="eastAsia" w:ascii="仿宋" w:hAnsi="仿宋" w:eastAsia="仿宋" w:cs="仿宋"/>
          <w:color w:val="auto"/>
          <w:sz w:val="32"/>
          <w:szCs w:val="32"/>
        </w:rPr>
        <w:t xml:space="preserve"> 公路施工企业的信用评价程序为：</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（一）投标行为评价。招标人完成每次招标工作后，仅对存在不良投标行为的公路施工企业进行投标行为评价。联合体有不良投标行为的，其各方均按相应标准扣分。</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（二）履约行为评价。结合项目日常管理情况，现场管理机构对参与项目建设的公路施工企业当年度的履约行为实时记录并进行评价，并报项目法人或各</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交通运输局审核。对当年组织交工验收的工程项目，项目法人或各</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交通运输局应在交工验收时完成有关公路施工企业本年度的履约行为评价。</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b w:val="0"/>
          <w:bCs/>
          <w:color w:val="auto"/>
          <w:sz w:val="32"/>
          <w:szCs w:val="32"/>
        </w:rPr>
      </w:pPr>
      <w:r>
        <w:rPr>
          <w:rFonts w:hint="eastAsia" w:ascii="仿宋_GB2312" w:eastAsia="仿宋_GB2312"/>
          <w:b w:val="0"/>
          <w:bCs/>
          <w:color w:val="auto"/>
          <w:sz w:val="32"/>
          <w:szCs w:val="18"/>
        </w:rPr>
        <w:t>当年度施工周期不足3个月的施工企业（存在严重不良行为的除外），不参加当年度履约评价。当年度施工企业无履约行为或不参加履约评价，但因存在投标不良行为产生</w:t>
      </w:r>
      <w:r>
        <w:rPr>
          <w:rFonts w:hint="eastAsia" w:ascii="仿宋_GB2312" w:eastAsia="仿宋_GB2312"/>
          <w:b w:val="0"/>
          <w:bCs/>
          <w:color w:val="auto"/>
          <w:sz w:val="32"/>
          <w:szCs w:val="18"/>
          <w:lang w:val="en-US" w:eastAsia="zh-CN"/>
        </w:rPr>
        <w:t>信用</w:t>
      </w:r>
      <w:r>
        <w:rPr>
          <w:rFonts w:hint="eastAsia" w:ascii="仿宋_GB2312" w:eastAsia="仿宋_GB2312"/>
          <w:b w:val="0"/>
          <w:bCs/>
          <w:color w:val="auto"/>
          <w:sz w:val="32"/>
          <w:szCs w:val="18"/>
        </w:rPr>
        <w:t>评价结果的，当年度评价结果不能高于A级</w:t>
      </w:r>
      <w:r>
        <w:rPr>
          <w:rFonts w:hint="eastAsia" w:ascii="仿宋" w:hAnsi="仿宋" w:eastAsia="仿宋" w:cs="仿宋"/>
          <w:b w:val="0"/>
          <w:bCs/>
          <w:color w:val="auto"/>
          <w:sz w:val="32"/>
          <w:szCs w:val="32"/>
        </w:rPr>
        <w:t>。</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项目缺陷责任期内有不良履约行为的，按相应标准扣分。项目建设</w:t>
      </w:r>
      <w:r>
        <w:rPr>
          <w:rFonts w:hint="eastAsia" w:ascii="仿宋" w:hAnsi="仿宋" w:eastAsia="仿宋" w:cs="仿宋"/>
          <w:color w:val="auto"/>
          <w:sz w:val="32"/>
          <w:szCs w:val="32"/>
          <w:lang w:eastAsia="zh-CN"/>
        </w:rPr>
        <w:t>过程</w:t>
      </w:r>
      <w:r>
        <w:rPr>
          <w:rFonts w:hint="eastAsia" w:ascii="仿宋" w:hAnsi="仿宋" w:eastAsia="仿宋" w:cs="仿宋"/>
          <w:color w:val="auto"/>
          <w:sz w:val="32"/>
          <w:szCs w:val="32"/>
        </w:rPr>
        <w:t>中和通车运营后出现严重质量问题造成恶劣影响的直接定为D级。</w:t>
      </w:r>
    </w:p>
    <w:p>
      <w:pPr>
        <w:keepNext w:val="0"/>
        <w:keepLines w:val="0"/>
        <w:pageBreakBefore w:val="0"/>
        <w:widowControl/>
        <w:tabs>
          <w:tab w:val="left" w:pos="2235"/>
          <w:tab w:val="center" w:pos="4153"/>
        </w:tabs>
        <w:kinsoku/>
        <w:wordWrap/>
        <w:overflowPunct/>
        <w:topLinePunct w:val="0"/>
        <w:autoSpaceDE/>
        <w:autoSpaceDN w:val="0"/>
        <w:bidi w:val="0"/>
        <w:adjustRightInd/>
        <w:snapToGrid/>
        <w:spacing w:line="600" w:lineRule="exact"/>
        <w:ind w:left="0" w:leftChars="0" w:right="0" w:rightChars="0" w:firstLine="48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联合体有不良履约行为的，其各方均按相应标准扣分。</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（三）其他行为评价。负责项目监管的省交通运输厅、省公路局、各</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交通运输局、厅质监站、市质监站对公路施工企业其他行为进行评价。</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（四）信用评价信息报送。招标人、项目法人、各</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交通运输局将信用评价信息按管理职责分别报送厅质监站和省公路局。其中，招投标行为评价应在每次招标评标结果公示后报送。履约行为评价、其他行为评价于每年6月和12月底前分两次报送。</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（五）省级综合评价。省交通运输厅于2月底前完成全省公路施工企业信用综合评价结果审定，</w:t>
      </w:r>
      <w:r>
        <w:rPr>
          <w:rFonts w:hint="eastAsia" w:ascii="仿宋" w:hAnsi="仿宋" w:eastAsia="仿宋" w:cs="仿宋"/>
          <w:color w:val="auto"/>
          <w:sz w:val="32"/>
          <w:szCs w:val="32"/>
          <w:lang w:val="en-US" w:eastAsia="zh-CN"/>
        </w:rPr>
        <w:t>并</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高速公路施工企业</w:t>
      </w:r>
      <w:r>
        <w:rPr>
          <w:rFonts w:hint="eastAsia" w:ascii="仿宋" w:hAnsi="仿宋" w:eastAsia="仿宋" w:cs="仿宋"/>
          <w:color w:val="auto"/>
          <w:sz w:val="32"/>
          <w:szCs w:val="32"/>
        </w:rPr>
        <w:t>信用综合评价结果</w:t>
      </w:r>
      <w:r>
        <w:rPr>
          <w:rFonts w:hint="eastAsia" w:ascii="仿宋" w:hAnsi="仿宋" w:eastAsia="仿宋" w:cs="仿宋"/>
          <w:color w:val="auto"/>
          <w:sz w:val="32"/>
          <w:szCs w:val="32"/>
          <w:lang w:val="en-US" w:eastAsia="zh-CN"/>
        </w:rPr>
        <w:t>按类别</w:t>
      </w:r>
      <w:r>
        <w:rPr>
          <w:rFonts w:hint="eastAsia" w:ascii="仿宋" w:hAnsi="仿宋" w:eastAsia="仿宋" w:cs="仿宋"/>
          <w:color w:val="auto"/>
          <w:sz w:val="32"/>
          <w:szCs w:val="32"/>
        </w:rPr>
        <w:t>进行公示，</w:t>
      </w:r>
      <w:r>
        <w:rPr>
          <w:rFonts w:hint="eastAsia" w:ascii="仿宋" w:hAnsi="仿宋" w:eastAsia="仿宋" w:cs="仿宋"/>
          <w:color w:val="auto"/>
          <w:sz w:val="32"/>
          <w:szCs w:val="32"/>
          <w:lang w:eastAsia="zh-CN"/>
        </w:rPr>
        <w:t>省公路局受</w:t>
      </w:r>
      <w:r>
        <w:rPr>
          <w:rFonts w:hint="eastAsia" w:ascii="仿宋" w:hAnsi="仿宋" w:eastAsia="仿宋" w:cs="仿宋"/>
          <w:color w:val="auto"/>
          <w:sz w:val="32"/>
          <w:szCs w:val="32"/>
        </w:rPr>
        <w:t>省交通运输厅</w:t>
      </w:r>
      <w:r>
        <w:rPr>
          <w:rFonts w:hint="eastAsia" w:ascii="仿宋" w:hAnsi="仿宋" w:eastAsia="仿宋" w:cs="仿宋"/>
          <w:color w:val="auto"/>
          <w:sz w:val="32"/>
          <w:szCs w:val="32"/>
          <w:lang w:eastAsia="zh-CN"/>
        </w:rPr>
        <w:t>委托，对干线公路施工企业</w:t>
      </w:r>
      <w:r>
        <w:rPr>
          <w:rFonts w:hint="eastAsia" w:ascii="仿宋" w:hAnsi="仿宋" w:eastAsia="仿宋" w:cs="仿宋"/>
          <w:color w:val="auto"/>
          <w:sz w:val="32"/>
          <w:szCs w:val="32"/>
        </w:rPr>
        <w:t>信用综合评价结果</w:t>
      </w:r>
      <w:r>
        <w:rPr>
          <w:rFonts w:hint="eastAsia" w:ascii="仿宋" w:hAnsi="仿宋" w:eastAsia="仿宋" w:cs="仿宋"/>
          <w:color w:val="auto"/>
          <w:sz w:val="32"/>
          <w:szCs w:val="32"/>
          <w:lang w:val="en-US" w:eastAsia="zh-CN"/>
        </w:rPr>
        <w:t>按类别</w:t>
      </w:r>
      <w:r>
        <w:rPr>
          <w:rFonts w:hint="eastAsia" w:ascii="仿宋" w:hAnsi="仿宋" w:eastAsia="仿宋" w:cs="仿宋"/>
          <w:color w:val="auto"/>
          <w:sz w:val="32"/>
          <w:szCs w:val="32"/>
        </w:rPr>
        <w:t>进行公示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公示期不少于10个工作日。</w:t>
      </w:r>
    </w:p>
    <w:p>
      <w:pPr>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第十七条</w:t>
      </w:r>
      <w:r>
        <w:rPr>
          <w:rFonts w:hint="eastAsia" w:ascii="仿宋" w:hAnsi="仿宋" w:eastAsia="仿宋" w:cs="仿宋"/>
          <w:color w:val="auto"/>
          <w:sz w:val="32"/>
          <w:szCs w:val="32"/>
        </w:rPr>
        <w:t xml:space="preserve"> 公路施工企业对信用评价结果有异议的，可在公示期限内向厅质监站提出申诉。</w:t>
      </w:r>
    </w:p>
    <w:p>
      <w:pPr>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第十八条</w:t>
      </w:r>
      <w:r>
        <w:rPr>
          <w:rFonts w:hint="eastAsia" w:ascii="仿宋" w:hAnsi="仿宋" w:eastAsia="仿宋" w:cs="仿宋"/>
          <w:color w:val="auto"/>
          <w:sz w:val="32"/>
          <w:szCs w:val="32"/>
        </w:rPr>
        <w:t xml:space="preserve"> </w:t>
      </w:r>
      <w:r>
        <w:rPr>
          <w:rFonts w:hint="eastAsia" w:ascii="仿宋_GB2312" w:eastAsia="仿宋_GB2312"/>
          <w:color w:val="auto"/>
          <w:sz w:val="32"/>
          <w:szCs w:val="18"/>
        </w:rPr>
        <w:t>对发生严重失信行为导致信用降级或信</w:t>
      </w:r>
      <w:r>
        <w:rPr>
          <w:rFonts w:ascii="仿宋_GB2312" w:eastAsia="仿宋_GB2312"/>
          <w:color w:val="auto"/>
          <w:sz w:val="32"/>
          <w:szCs w:val="18"/>
        </w:rPr>
        <w:t>用</w:t>
      </w:r>
      <w:r>
        <w:rPr>
          <w:rFonts w:hint="eastAsia" w:ascii="仿宋_GB2312" w:eastAsia="仿宋_GB2312"/>
          <w:color w:val="auto"/>
          <w:sz w:val="32"/>
          <w:szCs w:val="18"/>
        </w:rPr>
        <w:t>等级</w:t>
      </w:r>
      <w:r>
        <w:rPr>
          <w:rFonts w:ascii="仿宋_GB2312" w:eastAsia="仿宋_GB2312"/>
          <w:color w:val="auto"/>
          <w:sz w:val="32"/>
          <w:szCs w:val="18"/>
        </w:rPr>
        <w:t>直接定为D级的施工企业实行动态评价</w:t>
      </w:r>
      <w:r>
        <w:rPr>
          <w:rFonts w:hint="eastAsia" w:ascii="仿宋_GB2312" w:eastAsia="仿宋_GB2312"/>
          <w:color w:val="auto"/>
          <w:sz w:val="32"/>
          <w:szCs w:val="18"/>
        </w:rPr>
        <w:t>。</w:t>
      </w:r>
      <w:r>
        <w:rPr>
          <w:rFonts w:ascii="仿宋_GB2312" w:eastAsia="仿宋_GB2312"/>
          <w:color w:val="auto"/>
          <w:sz w:val="32"/>
          <w:szCs w:val="18"/>
        </w:rPr>
        <w:t>直接定为D级的施工企业自省交通运输</w:t>
      </w:r>
      <w:r>
        <w:rPr>
          <w:rFonts w:hint="eastAsia" w:ascii="仿宋_GB2312" w:eastAsia="仿宋_GB2312"/>
          <w:color w:val="auto"/>
          <w:sz w:val="32"/>
          <w:szCs w:val="18"/>
        </w:rPr>
        <w:t>厅</w:t>
      </w:r>
      <w:r>
        <w:rPr>
          <w:rFonts w:ascii="仿宋_GB2312" w:eastAsia="仿宋_GB2312"/>
          <w:color w:val="auto"/>
          <w:sz w:val="32"/>
          <w:szCs w:val="18"/>
        </w:rPr>
        <w:t>认定之日起</w:t>
      </w:r>
      <w:r>
        <w:rPr>
          <w:rFonts w:hint="eastAsia" w:ascii="仿宋_GB2312" w:eastAsia="仿宋_GB2312"/>
          <w:color w:val="auto"/>
          <w:sz w:val="32"/>
          <w:szCs w:val="18"/>
        </w:rPr>
        <w:t>一年内有效</w:t>
      </w:r>
      <w:r>
        <w:rPr>
          <w:rFonts w:ascii="仿宋_GB2312" w:eastAsia="仿宋_GB2312"/>
          <w:color w:val="auto"/>
          <w:sz w:val="32"/>
          <w:szCs w:val="18"/>
        </w:rPr>
        <w:t>。对实施行政处罚的施工企业，评价为D级的时间不低于行政处罚期限。</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第十九条</w:t>
      </w:r>
      <w:r>
        <w:rPr>
          <w:rFonts w:hint="eastAsia" w:ascii="仿宋" w:hAnsi="仿宋" w:eastAsia="仿宋" w:cs="仿宋"/>
          <w:color w:val="auto"/>
          <w:sz w:val="32"/>
          <w:szCs w:val="32"/>
        </w:rPr>
        <w:t xml:space="preserve"> 公路施工企业资质升级的，其信用评价等级不变。企业分立的，按照新设立企业确定信用评价等级，但不得高于原评价等级。企业合并的，按照信用评价等级较低企业的等级确定合并后企业。</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第二十条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公路施工企业信用评价结果按以下原则应用：</w:t>
      </w:r>
    </w:p>
    <w:p>
      <w:pPr>
        <w:numPr>
          <w:ilvl w:val="0"/>
          <w:numId w:val="1"/>
        </w:numPr>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省级信用综合评价结果</w:t>
      </w:r>
      <w:r>
        <w:rPr>
          <w:rFonts w:hint="eastAsia" w:ascii="仿宋" w:hAnsi="仿宋" w:eastAsia="仿宋" w:cs="仿宋"/>
          <w:color w:val="auto"/>
          <w:sz w:val="32"/>
          <w:szCs w:val="32"/>
          <w:lang w:val="en-US" w:eastAsia="zh-CN"/>
        </w:rPr>
        <w:t>按类别</w:t>
      </w:r>
      <w:r>
        <w:rPr>
          <w:rFonts w:hint="eastAsia" w:ascii="仿宋" w:hAnsi="仿宋" w:eastAsia="仿宋" w:cs="仿宋"/>
          <w:color w:val="auto"/>
          <w:sz w:val="32"/>
          <w:szCs w:val="32"/>
        </w:rPr>
        <w:t>优先应用于本省公路建设市场。</w:t>
      </w:r>
    </w:p>
    <w:p>
      <w:pPr>
        <w:numPr>
          <w:ilvl w:val="0"/>
          <w:numId w:val="1"/>
        </w:numPr>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国务院有关部门许可资质的公路施工企业初次进入我省时，其等级按照全国综合评价结果确定。尚无全国综合评价的企业，若无不良信用记录，可按A级对待。若有不良信用记录，视其严重程度按B级及以下对待。</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（三）其他施工企业（国务院有关部门许可资质的除外）初次进入我省时，其等级可参照从业单位注册地省级综合评价结果确定，但最高不能超过A级。</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（四）联合体参与投标的，其信用等级按照联合体中最低等级方认定。</w:t>
      </w:r>
    </w:p>
    <w:p>
      <w:pPr>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 xml:space="preserve">第二十一条 </w:t>
      </w:r>
      <w:r>
        <w:rPr>
          <w:rFonts w:hint="eastAsia" w:ascii="仿宋" w:hAnsi="仿宋" w:eastAsia="仿宋" w:cs="仿宋"/>
          <w:color w:val="auto"/>
          <w:sz w:val="32"/>
          <w:szCs w:val="32"/>
        </w:rPr>
        <w:t xml:space="preserve">公路施工企业信用评价结果有效期1年，下一年度公路施工企业在我省无信用评价结果的，其信用评价等级可延续1年。延续1年后仍无信用评价结果的，按照初次进入我省情况对待确定，但不得高于在我省原评价等级的上一等级。 </w:t>
      </w:r>
    </w:p>
    <w:p>
      <w:pPr>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第二十二条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公路建设项目招标人和项目法人</w:t>
      </w:r>
      <w:r>
        <w:rPr>
          <w:rFonts w:hint="eastAsia" w:ascii="仿宋" w:hAnsi="仿宋" w:eastAsia="仿宋" w:cs="仿宋"/>
          <w:color w:val="auto"/>
          <w:sz w:val="32"/>
          <w:szCs w:val="32"/>
          <w:lang w:eastAsia="zh-CN"/>
        </w:rPr>
        <w:t>及现场管理机构</w:t>
      </w:r>
      <w:r>
        <w:rPr>
          <w:rFonts w:ascii="仿宋_GB2312" w:eastAsia="仿宋_GB2312"/>
          <w:color w:val="auto"/>
          <w:sz w:val="32"/>
          <w:szCs w:val="18"/>
        </w:rPr>
        <w:t>应</w:t>
      </w:r>
      <w:r>
        <w:rPr>
          <w:rFonts w:hint="eastAsia" w:ascii="仿宋_GB2312" w:eastAsia="仿宋_GB2312"/>
          <w:color w:val="auto"/>
          <w:sz w:val="32"/>
          <w:szCs w:val="18"/>
        </w:rPr>
        <w:t>专人负责，</w:t>
      </w:r>
      <w:r>
        <w:rPr>
          <w:rFonts w:hint="eastAsia" w:ascii="仿宋" w:hAnsi="仿宋" w:eastAsia="仿宋" w:cs="仿宋"/>
          <w:color w:val="auto"/>
          <w:sz w:val="32"/>
          <w:szCs w:val="32"/>
        </w:rPr>
        <w:t>建立公路施工企业信用管理台帐，及时、客观、公正地对公路施工企业进行信用评价，不得徇私舞弊，不得设置市场壁垒，一经发现，将在全省通报批评。</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 xml:space="preserve">第二十三条 </w:t>
      </w:r>
      <w:r>
        <w:rPr>
          <w:rFonts w:hint="eastAsia" w:ascii="仿宋_GB2312" w:eastAsia="仿宋_GB2312"/>
          <w:b w:val="0"/>
          <w:bCs w:val="0"/>
          <w:color w:val="auto"/>
          <w:sz w:val="32"/>
          <w:szCs w:val="18"/>
        </w:rPr>
        <w:t>省交通运输厅将对招标人、项目法人评价工作的</w:t>
      </w:r>
      <w:r>
        <w:rPr>
          <w:rFonts w:hint="eastAsia" w:ascii="仿宋_GB2312" w:eastAsia="仿宋_GB2312"/>
          <w:b w:val="0"/>
          <w:bCs w:val="0"/>
          <w:color w:val="auto"/>
          <w:sz w:val="32"/>
          <w:szCs w:val="18"/>
          <w:lang w:val="en-US" w:eastAsia="zh-CN"/>
        </w:rPr>
        <w:t>开展情况适时进行检查</w:t>
      </w:r>
      <w:r>
        <w:rPr>
          <w:rFonts w:hint="eastAsia" w:ascii="仿宋_GB2312" w:eastAsia="仿宋_GB2312"/>
          <w:b w:val="0"/>
          <w:bCs w:val="0"/>
          <w:color w:val="auto"/>
          <w:sz w:val="32"/>
          <w:szCs w:val="18"/>
        </w:rPr>
        <w:t>，</w:t>
      </w:r>
      <w:r>
        <w:rPr>
          <w:rFonts w:hint="eastAsia" w:ascii="仿宋" w:hAnsi="仿宋" w:eastAsia="仿宋" w:cs="仿宋"/>
          <w:color w:val="auto"/>
          <w:sz w:val="32"/>
          <w:szCs w:val="32"/>
        </w:rPr>
        <w:t>确保公路施工企业信用评价工作客观、公正。</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第二十四条</w:t>
      </w:r>
      <w:r>
        <w:rPr>
          <w:rFonts w:hint="eastAsia" w:ascii="仿宋" w:hAnsi="仿宋" w:eastAsia="仿宋" w:cs="仿宋"/>
          <w:color w:val="auto"/>
          <w:sz w:val="32"/>
          <w:szCs w:val="32"/>
        </w:rPr>
        <w:t xml:space="preserve"> 省交通运输厅、省公路局、各</w:t>
      </w:r>
      <w:r>
        <w:rPr>
          <w:rFonts w:hint="eastAsia" w:ascii="仿宋" w:hAnsi="仿宋" w:eastAsia="仿宋" w:cs="仿宋"/>
          <w:color w:val="auto"/>
          <w:sz w:val="32"/>
          <w:szCs w:val="32"/>
          <w:lang w:eastAsia="zh-CN"/>
        </w:rPr>
        <w:t>市（区）</w:t>
      </w:r>
      <w:r>
        <w:rPr>
          <w:rFonts w:hint="eastAsia" w:ascii="仿宋" w:hAnsi="仿宋" w:eastAsia="仿宋" w:cs="仿宋"/>
          <w:color w:val="auto"/>
          <w:sz w:val="32"/>
          <w:szCs w:val="32"/>
        </w:rPr>
        <w:t>交通运输局、厅质监站应当建立健全信用评价工作机制和监督举报制度，结合督查工作不定期对公路施工企业的从业行为进行抽查，当</w:t>
      </w:r>
      <w:r>
        <w:rPr>
          <w:rFonts w:hint="eastAsia" w:ascii="仿宋" w:hAnsi="仿宋" w:eastAsia="仿宋" w:cs="仿宋"/>
          <w:color w:val="auto"/>
          <w:sz w:val="32"/>
          <w:szCs w:val="32"/>
          <w:lang w:eastAsia="zh-CN"/>
        </w:rPr>
        <w:t>发现</w:t>
      </w:r>
      <w:r>
        <w:rPr>
          <w:rFonts w:hint="eastAsia" w:ascii="仿宋" w:hAnsi="仿宋" w:eastAsia="仿宋" w:cs="仿宋"/>
          <w:color w:val="auto"/>
          <w:sz w:val="32"/>
          <w:szCs w:val="32"/>
        </w:rPr>
        <w:t>招标人或项目法人对施工企业的评价与实际情况不符的，应当责令招标人或项目法人重新评价或直接予以调整。</w:t>
      </w:r>
    </w:p>
    <w:p>
      <w:pPr>
        <w:widowControl/>
        <w:tabs>
          <w:tab w:val="left" w:pos="2235"/>
          <w:tab w:val="center" w:pos="4153"/>
        </w:tabs>
        <w:autoSpaceDN w:val="0"/>
        <w:ind w:firstLine="480"/>
        <w:rPr>
          <w:rFonts w:hint="eastAsia" w:ascii="仿宋" w:hAnsi="仿宋" w:eastAsia="仿宋" w:cs="仿宋"/>
          <w:color w:val="auto"/>
          <w:sz w:val="32"/>
          <w:szCs w:val="32"/>
        </w:rPr>
      </w:pPr>
      <w:r>
        <w:rPr>
          <w:rFonts w:hint="eastAsia" w:ascii="仿宋" w:hAnsi="仿宋" w:eastAsia="仿宋" w:cs="仿宋"/>
          <w:color w:val="auto"/>
          <w:sz w:val="32"/>
          <w:szCs w:val="32"/>
        </w:rPr>
        <w:t>任何单位和个人均可对公路施工企业的不良行为，以及信用评价工作中的违纪、违规行为进行投诉举报。</w:t>
      </w:r>
    </w:p>
    <w:p>
      <w:pPr>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第二十五条</w:t>
      </w:r>
      <w:r>
        <w:rPr>
          <w:rFonts w:hint="eastAsia" w:ascii="仿宋" w:hAnsi="仿宋" w:eastAsia="仿宋" w:cs="仿宋"/>
          <w:color w:val="auto"/>
          <w:sz w:val="32"/>
          <w:szCs w:val="32"/>
        </w:rPr>
        <w:t xml:space="preserve"> </w:t>
      </w:r>
      <w:r>
        <w:rPr>
          <w:rFonts w:hint="eastAsia" w:ascii="仿宋_GB2312" w:hAnsi="黑体" w:eastAsia="仿宋_GB2312" w:cs="黑体"/>
          <w:color w:val="auto"/>
          <w:sz w:val="32"/>
          <w:szCs w:val="32"/>
        </w:rPr>
        <w:t>本办法自2018年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日起施行,有效期至</w:t>
      </w:r>
      <w:r>
        <w:rPr>
          <w:rFonts w:hint="eastAsia" w:ascii="仿宋_GB2312" w:hAnsi="黑体" w:eastAsia="仿宋_GB2312" w:cs="黑体"/>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黑体" w:eastAsia="仿宋_GB2312" w:cs="黑体"/>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p>
    <w:p>
      <w:pPr>
        <w:widowControl/>
        <w:tabs>
          <w:tab w:val="left" w:pos="2235"/>
          <w:tab w:val="center" w:pos="4153"/>
        </w:tabs>
        <w:autoSpaceDN w:val="0"/>
        <w:ind w:firstLine="480"/>
        <w:rPr>
          <w:rFonts w:hint="eastAsia" w:ascii="仿宋" w:hAnsi="仿宋" w:eastAsia="仿宋" w:cs="仿宋"/>
          <w:color w:val="auto"/>
          <w:sz w:val="32"/>
          <w:szCs w:val="32"/>
        </w:rPr>
      </w:pPr>
    </w:p>
    <w:p>
      <w:pPr>
        <w:widowControl/>
        <w:jc w:val="left"/>
        <w:textAlignment w:val="center"/>
        <w:rPr>
          <w:rFonts w:hint="eastAsia" w:ascii="黑体" w:hAnsi="黑体" w:eastAsia="黑体" w:cs="黑体"/>
          <w:color w:val="auto"/>
          <w:kern w:val="0"/>
          <w:sz w:val="32"/>
          <w:szCs w:val="32"/>
        </w:rPr>
        <w:sectPr>
          <w:headerReference r:id="rId3" w:type="default"/>
          <w:footerReference r:id="rId4" w:type="default"/>
          <w:pgSz w:w="11850" w:h="16783"/>
          <w:pgMar w:top="1984" w:right="1474" w:bottom="1701" w:left="1587" w:header="851" w:footer="992" w:gutter="0"/>
          <w:lnNumType w:countBy="0" w:distance="360"/>
          <w:pgNumType w:fmt="numberInDash" w:start="1"/>
          <w:cols w:space="720" w:num="1"/>
          <w:rtlGutter w:val="0"/>
          <w:docGrid w:type="lines" w:linePitch="312" w:charSpace="0"/>
        </w:sectPr>
      </w:pPr>
    </w:p>
    <w:tbl>
      <w:tblPr>
        <w:tblStyle w:val="5"/>
        <w:tblW w:w="14052" w:type="dxa"/>
        <w:tblInd w:w="0" w:type="dxa"/>
        <w:tblLayout w:type="fixed"/>
        <w:tblCellMar>
          <w:top w:w="15" w:type="dxa"/>
          <w:left w:w="15" w:type="dxa"/>
          <w:bottom w:w="15" w:type="dxa"/>
          <w:right w:w="15" w:type="dxa"/>
        </w:tblCellMar>
      </w:tblPr>
      <w:tblGrid>
        <w:gridCol w:w="1260"/>
        <w:gridCol w:w="1320"/>
        <w:gridCol w:w="1620"/>
        <w:gridCol w:w="6495"/>
        <w:gridCol w:w="1680"/>
        <w:gridCol w:w="1677"/>
      </w:tblGrid>
      <w:tr>
        <w:tblPrEx>
          <w:tblLayout w:type="fixed"/>
          <w:tblCellMar>
            <w:top w:w="15" w:type="dxa"/>
            <w:left w:w="15" w:type="dxa"/>
            <w:bottom w:w="15" w:type="dxa"/>
            <w:right w:w="15" w:type="dxa"/>
          </w:tblCellMar>
        </w:tblPrEx>
        <w:trPr>
          <w:trHeight w:val="405" w:hRule="atLeast"/>
        </w:trPr>
        <w:tc>
          <w:tcPr>
            <w:tcW w:w="10695" w:type="dxa"/>
            <w:gridSpan w:val="4"/>
            <w:vAlign w:val="center"/>
          </w:tcPr>
          <w:p>
            <w:pPr>
              <w:widowControl/>
              <w:jc w:val="left"/>
              <w:textAlignment w:val="center"/>
              <w:rPr>
                <w:rFonts w:ascii="仿宋_GB2312" w:hAnsi="宋体" w:eastAsia="仿宋_GB2312" w:cs="仿宋_GB2312"/>
                <w:color w:val="auto"/>
                <w:sz w:val="32"/>
                <w:szCs w:val="32"/>
              </w:rPr>
            </w:pPr>
            <w:r>
              <w:rPr>
                <w:rFonts w:hint="eastAsia" w:ascii="黑体" w:hAnsi="黑体" w:eastAsia="黑体" w:cs="黑体"/>
                <w:color w:val="auto"/>
                <w:kern w:val="0"/>
                <w:sz w:val="32"/>
                <w:szCs w:val="32"/>
              </w:rPr>
              <w:t>附件1</w:t>
            </w:r>
          </w:p>
        </w:tc>
        <w:tc>
          <w:tcPr>
            <w:tcW w:w="1680" w:type="dxa"/>
            <w:vAlign w:val="center"/>
          </w:tcPr>
          <w:p>
            <w:pPr>
              <w:jc w:val="center"/>
              <w:rPr>
                <w:rFonts w:hint="eastAsia" w:ascii="仿宋_GB2312" w:hAnsi="宋体" w:eastAsia="仿宋_GB2312" w:cs="仿宋_GB2312"/>
                <w:color w:val="auto"/>
                <w:sz w:val="24"/>
              </w:rPr>
            </w:pPr>
          </w:p>
        </w:tc>
        <w:tc>
          <w:tcPr>
            <w:tcW w:w="1677" w:type="dxa"/>
            <w:vAlign w:val="center"/>
          </w:tcPr>
          <w:p>
            <w:pPr>
              <w:jc w:val="left"/>
              <w:rPr>
                <w:rFonts w:hint="eastAsia" w:ascii="仿宋_GB2312" w:hAnsi="宋体" w:eastAsia="仿宋_GB2312" w:cs="仿宋_GB2312"/>
                <w:color w:val="auto"/>
                <w:sz w:val="24"/>
              </w:rPr>
            </w:pPr>
          </w:p>
        </w:tc>
      </w:tr>
      <w:tr>
        <w:tblPrEx>
          <w:tblLayout w:type="fixed"/>
          <w:tblCellMar>
            <w:top w:w="15" w:type="dxa"/>
            <w:left w:w="15" w:type="dxa"/>
            <w:bottom w:w="15" w:type="dxa"/>
            <w:right w:w="15" w:type="dxa"/>
          </w:tblCellMar>
        </w:tblPrEx>
        <w:trPr>
          <w:trHeight w:val="420" w:hRule="atLeast"/>
        </w:trPr>
        <w:tc>
          <w:tcPr>
            <w:tcW w:w="14052" w:type="dxa"/>
            <w:gridSpan w:val="6"/>
            <w:vAlign w:val="center"/>
          </w:tcPr>
          <w:p>
            <w:pPr>
              <w:widowControl/>
              <w:jc w:val="center"/>
              <w:textAlignment w:val="center"/>
              <w:rPr>
                <w:rFonts w:hint="eastAsia" w:ascii="仿宋_GB2312" w:hAnsi="宋体" w:eastAsia="仿宋_GB2312" w:cs="仿宋_GB2312"/>
                <w:b/>
                <w:color w:val="auto"/>
                <w:sz w:val="32"/>
                <w:szCs w:val="32"/>
              </w:rPr>
            </w:pPr>
            <w:r>
              <w:rPr>
                <w:rFonts w:hint="eastAsia" w:ascii="仿宋_GB2312" w:hAnsi="宋体" w:eastAsia="仿宋_GB2312" w:cs="仿宋_GB2312"/>
                <w:b/>
                <w:color w:val="auto"/>
                <w:kern w:val="0"/>
                <w:sz w:val="32"/>
                <w:szCs w:val="32"/>
              </w:rPr>
              <w:t>公路施工企业信用行为评定标准</w:t>
            </w:r>
          </w:p>
        </w:tc>
      </w:tr>
      <w:tr>
        <w:tblPrEx>
          <w:tblLayout w:type="fixed"/>
          <w:tblCellMar>
            <w:top w:w="15" w:type="dxa"/>
            <w:left w:w="15" w:type="dxa"/>
            <w:bottom w:w="15" w:type="dxa"/>
            <w:right w:w="15" w:type="dxa"/>
          </w:tblCellMar>
        </w:tblPrEx>
        <w:trPr>
          <w:trHeight w:val="690" w:hRule="atLeast"/>
        </w:trPr>
        <w:tc>
          <w:tcPr>
            <w:tcW w:w="2580" w:type="dxa"/>
            <w:gridSpan w:val="2"/>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评定内容</w:t>
            </w:r>
          </w:p>
        </w:tc>
        <w:tc>
          <w:tcPr>
            <w:tcW w:w="1620" w:type="dxa"/>
            <w:tcBorders>
              <w:top w:val="single" w:color="000000" w:sz="12"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行为代码</w:t>
            </w:r>
          </w:p>
        </w:tc>
        <w:tc>
          <w:tcPr>
            <w:tcW w:w="649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不良行为</w:t>
            </w:r>
          </w:p>
        </w:tc>
        <w:tc>
          <w:tcPr>
            <w:tcW w:w="168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行为等级和扣分标准</w:t>
            </w:r>
          </w:p>
        </w:tc>
        <w:tc>
          <w:tcPr>
            <w:tcW w:w="1677"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条文说明</w:t>
            </w:r>
          </w:p>
        </w:tc>
      </w:tr>
      <w:tr>
        <w:tblPrEx>
          <w:tblLayout w:type="fixed"/>
          <w:tblCellMar>
            <w:top w:w="15" w:type="dxa"/>
            <w:left w:w="15" w:type="dxa"/>
            <w:bottom w:w="15" w:type="dxa"/>
            <w:right w:w="15" w:type="dxa"/>
          </w:tblCellMar>
        </w:tblPrEx>
        <w:trPr>
          <w:trHeight w:val="450" w:hRule="atLeast"/>
        </w:trPr>
        <w:tc>
          <w:tcPr>
            <w:tcW w:w="1260"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投标行为（满分100，扣完为止。行为代码GLSG1）</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超越资质等级承揽工程</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直接定为D级</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出借资质，允许其他单位或个人以本单位名义承揽工程</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直接定为D级</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借用他人资质证书承揽工程</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直接定为D级</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与招标人或与其他投标人串通投标</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直接定为D级</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投标中有行贿行为</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直接定为D级</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因违反法律、法规、规章被禁止投标后，在禁止期内仍参与投标</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D级延期半年/次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GLSG1-7</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资审材料或投标文件虚假骗取中标</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40分/次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GLSG1-8</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资审材料或投标文件虚假未中标</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GLSG1-9</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虚假投诉举报</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r>
              <w:rPr>
                <w:rFonts w:hint="eastAsia" w:ascii="仿宋_GB2312" w:hAnsi="宋体" w:eastAsia="仿宋_GB2312" w:cs="仿宋_GB2312"/>
                <w:b/>
                <w:color w:val="auto"/>
                <w:sz w:val="22"/>
                <w:szCs w:val="22"/>
              </w:rPr>
              <w:t>当年度省内信用等级降一级</w:t>
            </w:r>
          </w:p>
        </w:tc>
      </w:tr>
      <w:tr>
        <w:tblPrEx>
          <w:tblLayout w:type="fixed"/>
          <w:tblCellMar>
            <w:top w:w="15" w:type="dxa"/>
            <w:left w:w="15" w:type="dxa"/>
            <w:bottom w:w="15" w:type="dxa"/>
            <w:right w:w="15" w:type="dxa"/>
          </w:tblCellMar>
        </w:tblPrEx>
        <w:trPr>
          <w:trHeight w:val="9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GLSG1-10</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中标后无正当理由放弃中标</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因评标时间过长,材料价格上涨过快造成成本价发生较大变化的除外</w:t>
            </w: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GLSG1-11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对同一合同段递交多份资格预审申请文件或投标文件</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GLSG1-12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非招标人或招标文件原因放弃投标，未提前书面告知招标人</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6分/次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GLSG1-13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未按时确认补遗书等招标人发出的通知</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GLSG1-14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不及时反馈评标澄清</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GLSG1-15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无正当理由拖延合同签订时间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因合同谈判原因的除外</w:t>
            </w: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sz w:val="20"/>
                <w:szCs w:val="20"/>
              </w:rPr>
            </w:pPr>
            <w:r>
              <w:rPr>
                <w:rFonts w:hint="eastAsia" w:ascii="仿宋_GB2312" w:hAnsi="宋体" w:eastAsia="仿宋_GB2312" w:cs="仿宋_GB2312"/>
                <w:b/>
                <w:color w:val="auto"/>
                <w:kern w:val="0"/>
                <w:sz w:val="20"/>
                <w:szCs w:val="20"/>
              </w:rPr>
              <w:t>省交通运输厅增加的其他被认为失信的招投标行为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sz w:val="22"/>
                <w:szCs w:val="22"/>
              </w:rPr>
            </w:pPr>
            <w:r>
              <w:rPr>
                <w:rFonts w:hint="eastAsia" w:ascii="仿宋_GB2312" w:hAnsi="宋体" w:eastAsia="仿宋_GB2312" w:cs="仿宋_GB2312"/>
                <w:b/>
                <w:color w:val="auto"/>
                <w:kern w:val="0"/>
                <w:sz w:val="22"/>
                <w:szCs w:val="22"/>
              </w:rPr>
              <w:t>GLSG1-16－1</w:t>
            </w:r>
          </w:p>
        </w:tc>
        <w:tc>
          <w:tcPr>
            <w:tcW w:w="6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color w:val="auto"/>
                <w:sz w:val="22"/>
                <w:szCs w:val="22"/>
              </w:rPr>
            </w:pPr>
            <w:r>
              <w:rPr>
                <w:rFonts w:hint="eastAsia" w:ascii="仿宋_GB2312" w:hAnsi="宋体" w:eastAsia="仿宋_GB2312" w:cs="仿宋_GB2312"/>
                <w:b/>
                <w:i w:val="0"/>
                <w:color w:val="auto"/>
                <w:kern w:val="0"/>
                <w:sz w:val="22"/>
                <w:szCs w:val="22"/>
                <w:u w:val="none"/>
                <w:lang w:val="en-US" w:eastAsia="zh-CN" w:bidi="ar-SA"/>
              </w:rPr>
              <w:t>投标人资格预审后放弃投标、不填写投标报价、投标报价超过最高限价的</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color w:val="auto"/>
                <w:sz w:val="22"/>
                <w:szCs w:val="22"/>
              </w:rPr>
            </w:pPr>
            <w:r>
              <w:rPr>
                <w:rFonts w:hint="eastAsia" w:ascii="仿宋_GB2312" w:hAnsi="宋体" w:eastAsia="仿宋_GB2312" w:cs="仿宋_GB2312"/>
                <w:b/>
                <w:i w:val="0"/>
                <w:color w:val="auto"/>
                <w:kern w:val="0"/>
                <w:sz w:val="22"/>
                <w:szCs w:val="22"/>
                <w:u w:val="none"/>
                <w:lang w:val="en-US" w:eastAsia="zh-CN" w:bidi="ar-SA"/>
              </w:rPr>
              <w:t>10分/次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b/>
                <w:color w:val="auto"/>
                <w:sz w:val="22"/>
                <w:szCs w:val="22"/>
              </w:rPr>
            </w:pPr>
            <w:r>
              <w:rPr>
                <w:rFonts w:hint="eastAsia" w:ascii="仿宋_GB2312" w:hAnsi="宋体" w:eastAsia="仿宋_GB2312" w:cs="仿宋_GB2312"/>
                <w:b/>
                <w:i w:val="0"/>
                <w:color w:val="auto"/>
                <w:kern w:val="0"/>
                <w:sz w:val="22"/>
                <w:szCs w:val="22"/>
                <w:u w:val="none"/>
                <w:lang w:val="en-US" w:eastAsia="zh-CN" w:bidi="ar-SA"/>
              </w:rPr>
              <w:t>出现3次的，陕西省内信用等级直接定为D级</w:t>
            </w: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0"/>
                <w:szCs w:val="20"/>
              </w:rPr>
            </w:pP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i w:val="0"/>
                <w:color w:val="auto"/>
                <w:kern w:val="0"/>
                <w:sz w:val="22"/>
                <w:szCs w:val="22"/>
                <w:u w:val="none"/>
                <w:lang w:val="en-US" w:eastAsia="zh-CN" w:bidi="ar-SA"/>
              </w:rPr>
              <w:t>GLSG1-16－2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kern w:val="0"/>
                <w:sz w:val="22"/>
                <w:szCs w:val="22"/>
              </w:rPr>
              <w:t>其他被认为失信的投标行为</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kern w:val="0"/>
                <w:sz w:val="22"/>
                <w:szCs w:val="22"/>
              </w:rPr>
              <w:t>1—10分</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kern w:val="0"/>
                <w:sz w:val="22"/>
                <w:szCs w:val="22"/>
              </w:rPr>
              <w:t>省交通运输厅在实施期间可根据实际情况再进一步细化</w:t>
            </w:r>
          </w:p>
        </w:tc>
      </w:tr>
      <w:tr>
        <w:tblPrEx>
          <w:tblLayout w:type="fixed"/>
          <w:tblCellMar>
            <w:top w:w="15" w:type="dxa"/>
            <w:left w:w="15" w:type="dxa"/>
            <w:bottom w:w="15" w:type="dxa"/>
            <w:right w:w="15" w:type="dxa"/>
          </w:tblCellMar>
        </w:tblPrEx>
        <w:trPr>
          <w:trHeight w:val="450" w:hRule="atLeast"/>
        </w:trPr>
        <w:tc>
          <w:tcPr>
            <w:tcW w:w="1260"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br w:type="textWrapping"/>
            </w:r>
            <w:r>
              <w:rPr>
                <w:rFonts w:hint="eastAsia" w:ascii="仿宋_GB2312" w:hAnsi="宋体" w:eastAsia="仿宋_GB2312" w:cs="仿宋_GB2312"/>
                <w:color w:val="auto"/>
                <w:kern w:val="0"/>
                <w:sz w:val="22"/>
                <w:szCs w:val="22"/>
              </w:rPr>
              <w:br w:type="textWrapping"/>
            </w:r>
            <w:r>
              <w:rPr>
                <w:rFonts w:hint="eastAsia" w:ascii="仿宋_GB2312" w:hAnsi="宋体" w:eastAsia="仿宋_GB2312" w:cs="仿宋_GB2312"/>
                <w:color w:val="auto"/>
                <w:kern w:val="0"/>
                <w:sz w:val="22"/>
                <w:szCs w:val="22"/>
              </w:rPr>
              <w:br w:type="textWrapping"/>
            </w:r>
            <w:r>
              <w:rPr>
                <w:rFonts w:hint="eastAsia" w:ascii="仿宋_GB2312" w:hAnsi="宋体" w:eastAsia="仿宋_GB2312" w:cs="仿宋_GB2312"/>
                <w:color w:val="auto"/>
                <w:kern w:val="0"/>
                <w:sz w:val="22"/>
                <w:szCs w:val="22"/>
              </w:rPr>
              <w:br w:type="textWrapping"/>
            </w:r>
            <w:r>
              <w:rPr>
                <w:rFonts w:hint="eastAsia" w:ascii="仿宋_GB2312" w:hAnsi="宋体" w:eastAsia="仿宋_GB2312" w:cs="仿宋_GB2312"/>
                <w:color w:val="auto"/>
                <w:kern w:val="0"/>
                <w:sz w:val="22"/>
                <w:szCs w:val="22"/>
              </w:rPr>
              <w:br w:type="textWrapping"/>
            </w:r>
            <w:r>
              <w:rPr>
                <w:rFonts w:hint="eastAsia" w:ascii="仿宋_GB2312" w:hAnsi="宋体" w:eastAsia="仿宋_GB2312" w:cs="仿宋_GB2312"/>
                <w:color w:val="auto"/>
                <w:kern w:val="0"/>
                <w:sz w:val="22"/>
                <w:szCs w:val="22"/>
              </w:rPr>
              <w:br w:type="textWrapping"/>
            </w:r>
            <w:r>
              <w:rPr>
                <w:rFonts w:hint="eastAsia" w:ascii="仿宋_GB2312" w:hAnsi="宋体" w:eastAsia="仿宋_GB2312" w:cs="仿宋_GB2312"/>
                <w:color w:val="auto"/>
                <w:kern w:val="0"/>
                <w:sz w:val="22"/>
                <w:szCs w:val="22"/>
              </w:rPr>
              <w:br w:type="textWrapping"/>
            </w:r>
            <w:r>
              <w:rPr>
                <w:rFonts w:hint="eastAsia" w:ascii="仿宋_GB2312" w:hAnsi="宋体" w:eastAsia="仿宋_GB2312" w:cs="仿宋_GB2312"/>
                <w:color w:val="auto"/>
                <w:kern w:val="0"/>
                <w:sz w:val="22"/>
                <w:szCs w:val="22"/>
              </w:rPr>
              <w:t>履约行为</w:t>
            </w:r>
            <w:r>
              <w:rPr>
                <w:rFonts w:hint="eastAsia" w:ascii="仿宋_GB2312" w:hAnsi="宋体" w:eastAsia="仿宋_GB2312" w:cs="仿宋_GB2312"/>
                <w:color w:val="auto"/>
                <w:kern w:val="0"/>
                <w:sz w:val="22"/>
                <w:szCs w:val="22"/>
              </w:rPr>
              <w:br w:type="textWrapping"/>
            </w:r>
            <w:r>
              <w:rPr>
                <w:rFonts w:hint="eastAsia" w:ascii="仿宋_GB2312" w:hAnsi="宋体" w:eastAsia="仿宋_GB2312" w:cs="仿宋_GB2312"/>
                <w:color w:val="auto"/>
                <w:kern w:val="0"/>
                <w:sz w:val="22"/>
                <w:szCs w:val="22"/>
              </w:rPr>
              <w:t>（满分100，扣完为止。GLSG2）</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严重不良行为（行为代码GLSG2-1）</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GLSG2-1-1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将中标合同转让</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直接定为D级</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GLSG2-1-2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将合同段全部工作内容肢解后分别分包</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直接定为D级</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GLSG2-1-3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发生重大质量或重大及以上安全生产责任事故</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直接定为D级</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GLSG2-1-4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经质监机构鉴定合同段工程质量不合格,或施工管理综合评价为差</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直接定为D级</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GLSG2-1-5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造成生态环境破坏或乱占土地，造成较大影响</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GLSG2-1-6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发生较大安全生产责任事故</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GLSG2-1-7</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将承包工程违法分包</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GLSG2-1-8</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承包人疏于管理，分包工程再次分包</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不含劳务分包</w:t>
            </w: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GLSG2-1-9</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违反公路工程建设强制性标准</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人员、设备到位（满分10，扣完为止。行为代码GLSG2-2）</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GLSG2-2-1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签订合同后无正当理由不按投标文件承诺时间进场</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2分/延迟十日</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GLSG2-2-2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项目经理未按投标承诺到位，或在施工期间所更换项目经理资格降低，或未经批准擅自更换</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4分/人次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GLSG2-2-3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项目经理在施工期间不低于原资格更换</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0.5分/人次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项目法人要求更换的除外</w:t>
            </w: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GLSG2-2-4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技术负责人未按投标承诺到位，或在施工期间更换人员资格降低，或未经批准擅自更换</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3分/人次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GLSG2-2-5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技术负责人在施工期间不低于原人员资格更换</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0.3分/人次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项目法人要求更换的除外</w:t>
            </w: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GLSG2-2-6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安全员或其他注册执业人员未按投标承诺到位,或无正当理由更换</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0.5分/人次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项目法人要求更换的除外</w:t>
            </w: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GLSG2-2-7</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主要工程管理、技术人员未按投标承诺到位</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0.2分/人次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GLSG2-2-8</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主要施工机械、试验检测设备未按投标承诺或工程需要到位</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0.5—1分/台套</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GLSG2-2-9</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有关人员未按要求持证上岗</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1分/人次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按照有关管理文件、招标文件要求检查</w:t>
            </w: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GLSG2-2-10</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未按规定签订劳务用工合同</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质量管理、进度管理（满分50，扣完为止。行为代码GLSG2-3）</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拒绝或阻碍依法进行公路建设监督检查工作</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8分/次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未对职工进行专项教育和培训</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0.5分/人次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质量保证体系或质量保证措施不健全</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特殊季节施工预防措施不健全</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对季节性施工有特殊预防要求的，如雨季、冬季施工，应有相应预防措施</w:t>
            </w: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未建立工程质量责任登记制度</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8分</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使用不合格的建筑材料、建筑构配件和设备</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GLSG2-3-7</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不按设计图纸施工</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8分/次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GLSG2-3-8</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不按施工技术标准、规范施工</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GLSG2-3-9</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未经监理签认进入下道工序或分项工程</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GLSG2-3-10</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未经监理签认将建筑材料、建筑构配件和设备在工程上使用或安装</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GLSG2-3-11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监理下达停工指令拒不执行</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GLSG2-3-12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未对建筑材料、建筑构配件、设备和商品混凝土进行检验，或者未对涉及结构安全的试块、试件以及有关材料取样检测直接使用</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GLSG2-3-13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施工过程中偷工减料</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GLSG2-3-14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原材料堆放混乱，对使用质量造成影响</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如砂石材料堆放未分界、场地未硬化、未采取防雨防潮措施等</w:t>
            </w: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GLSG2-3-15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工程检查中抽测实体质量不合格</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6分/次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指交通主管部门组织的督查或项目法人组织的正式检查</w:t>
            </w: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GLSG2-3-16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因施工原因出现质量问题，对工程实体质量影响不大</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如水泥混凝土表面蜂窝麻面、砌筑砂浆不饱满、钢筋混凝土保护层不够等</w:t>
            </w: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GLSG2-3-17</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因施工原因发生一般质量责任事故</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GLSG2-3-18</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出现质量问题经整改仍达不到要求的</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被项目法人或交通主管部门发现有质量问题并要求整改，整改不合格的</w:t>
            </w: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GLSG2-3-19</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施工现场管理混乱</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GLSG2-3-20</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内业资料不全或不规范</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1—2分</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GLSG2-3-21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工地试验室不符合要求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1—3分</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b/>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GLSG2-3-22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试验检测数据或内业资料虚假</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GLSG2-3-23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因施工单位原因造成工程进度滞后计划工期或合同工期</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1分/延迟十日</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GLSG2-3-24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未达到合同约定的质量标准</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10分</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GLSG2-3-25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不配合业主进行交工验收</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GLSG2-3-26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不履行保修义务或者拖延履行保修义务</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10分</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财务管理（满分10，扣完为止。行为代码GLSG2-4）</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GLSG2-4-1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财务管理制度不健全</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GLSG2-4-2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财务管理混乱，管理台帐不完备</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GLSG2-4-3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工程变更弄虚作假</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6分/次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GLSG2-4-4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虚假计量</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GLSG2-4-5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流动资金不能满足工程建设</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GLSG2-4-6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挪用工程款，造成管理混乱、进度滞后等不良影响</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GLSG2-4-7</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因施工企业原因拖欠工程款、农民工工资、材料款，尚未造成影响</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0.5分/次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安全生产（满分20，扣完为止。行为代码GLSG2-5）</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因施工企业原因未签订安全生产合同</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未建立健全安全生产规章制度、操作规程或安全生产保证体系</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1—3分</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项目负责人、专职安全生产管理人员、作业人员或者特种作业人员，未经安全教育培训或考核不合格即从事相关工作</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未对职工进行安全生产教育和培训，或者未如实告知有关安全生产事项</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未在施工现场的危险部位设置明显的安全警示标志和安全防护，或者未按照国家有关规定在施工现场设置消防通道、消防水源、配备消防设施和灭火器材</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未向作业人员提供安全防护用具和安全防护服装</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1095"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GLSG2-5-7</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特种设备未经具有专业资质的机构检测、检验合格，取得安全使用证或者安全标志，投入使用。或使用未经验收或者验收不合格的施工起重机械和整体提升脚手架、模板等自升式架设设施</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GLSG2-5-8</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使用国家明令淘汰、禁止使用的危及生产安全的工艺、设备</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6分/次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GLSG2-5-9</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储存、使用危险物品，未建立专门安全管理制度、未采取可靠的安全措施或者不接受有关主管部门依法实施的监督管理</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4分/次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GLSG2-5-10</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对重大危险源未登记建档，或者未进行评估、监控，或者未制定应急预案</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4分/次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GLSG2-5-11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进行爆破、吊装等危险作业，未安排专门管理人员进行现场安全管理</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GLSG2-5-12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两个以上单位在同一作业区域内进行可能危及对方安全生产的生产经营活动，因自身原因未签订安全生产管理协议或者未指定专职安全生产管理人员进行安全检查与协调</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1095"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GLSG2-5-13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储存、使用危险物品的车间、仓库与员工宿舍在同一座建筑内，或者与员工宿舍的距离不符合安全要求；施工现场和员工宿舍未设有符合紧急疏散需要、标志明显、保持畅通的出口，或者封闭、堵塞施工现场或者员工宿舍出口</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GLSG2-5-14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从业人员不服从管理，违反安全生产规章制度或者操作规程</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GLSG2-5-15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未及时、如实报告生产安全事故</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GLSG2-5-16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主要负责人在本单位发生重大生产安全事故时，不立即组织抢救或者在事故调查处理期间擅离职守或者逃匿</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GLSG2-5-17</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挪用列入建设工程概算的安全生产作业环境及安全施工措施所需费用</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GLSG2-5-18</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每项工程实施前，未进行安全生产技术交底</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GLSG2-5-19</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未根据不同施工阶段和周围环境及季节、气候的变化，在施工现场采取相应的安全施工措施</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GLSG2-5-20</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施工现场临时搭建的建筑物不符合安全使用要求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GLSG2-5-21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对危险性较大的工程未编制专项施工方案并附安全验算结果</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GLSG2-5-22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未对因建设工程施工可能造成损害的毗邻建筑物、构筑物和地下管线等采取专项防护措施</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GLSG2-5-23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安全防护用具、机械设备、施工机具及配件在进入施工现场前未经查验或者查验不合格即投入使用</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GLSG2-5-24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委托不具有相应资质的单位承担施工现场安装、拆卸施工起重机械和整体提升脚手架、模板等自升式架设设施</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GLSG2-5-25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未取得安全生产许可证擅自进行生产，安全生产许可证有效期满未办理延期手续，继续进行生产；逾期仍不办理延期手续，继续进行生产</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GLSG2-5-26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使用伪造的安全生产许可证</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9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GLSG2-5-27</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多次整改仍然存在安全问题；对存在重大安全事故隐患但拒绝整改或者整改效果不明显</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被项目法人或交通主管部门发现有安全生产问题并要求整改，整改不合格的</w:t>
            </w: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GLSG2-5-28</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在沿海水域进行水上水下施工以及划定相应的安全作业区，未报经主管机关核准公告；施工单位擅自扩大安全作业区范围</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4分/次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GLSG2-5-29</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施工现场防护不到位，存在安全隐患</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GLSG2-5-30</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未编制安全生产应急预案并落实人员、器材，组织演练</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bookmarkStart w:id="0" w:name="_GoBack"/>
            <w:bookmarkEnd w:id="0"/>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GLSG2-5-31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发生一般安全生产责任事故</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GLSG2-5-32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未办理施工现场人员人身意外伤害保险</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restart"/>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社会责任（满分10，扣完为止。行为代码GLSG2-6）</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GLSG2-6-1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在崩塌滑坡危险区、泥石流易发区范围内取土、挖砂或者采石</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8分/次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GLSG2-6-2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施工产生的废渣随意堆放或丢弃，废水随意排放</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GLSG2-6-3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施工中破坏生态环境</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GLSG2-6-4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 xml:space="preserve">施工过程中造成水土流失，不进行治理 </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4分/次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GLSG2-6-5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生活区、办公区设置杂乱，卫生环境差</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GLSG2-6-6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建设项目出现突发事件，拒不执行应急或救援任务</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10分/次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GLSG2-6-7</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乱占土地、草场</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GLSG2-6-8</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临时占用农田、林地等未及时复垦或恢复原状</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GLSG2-6-9</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未按要求签订廉政合同</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宋体" w:eastAsia="仿宋_GB2312" w:cs="仿宋_GB2312"/>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GLSG2-6-10</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违反廉政合同</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5分/人次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省交通运输厅增加的其他被认为失信的履约行为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GLSG2-7-1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由于施工单位原因造成工期拖延，被项目法人发函要求其上级单位督办3次，不能解决问题，影响按期建成通车的</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直接定为D级</w:t>
            </w:r>
          </w:p>
        </w:tc>
        <w:tc>
          <w:tcPr>
            <w:tcW w:w="16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_GB2312" w:hAnsi="宋体" w:eastAsia="仿宋_GB2312" w:cs="仿宋_GB2312"/>
                <w:b w:val="0"/>
                <w:bCs/>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val="0"/>
                <w:bCs/>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GLSG2-7-2</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项目建设期中和通车运营后出现严重质量问题造成恶劣影响的</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直接定为D级</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仿宋_GB2312" w:hAnsi="宋体" w:eastAsia="仿宋_GB2312" w:cs="仿宋_GB2312"/>
                <w:b w:val="0"/>
                <w:bCs/>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val="0"/>
                <w:bCs/>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GLSG2-7-3</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考核期内被项目法人（项目管理机构）全线通报批评</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仿宋_GB2312" w:hAnsi="宋体" w:eastAsia="仿宋_GB2312" w:cs="仿宋_GB2312"/>
                <w:b w:val="0"/>
                <w:bCs/>
                <w:color w:val="auto"/>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val="0"/>
                <w:bCs/>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GLSG2-7-4</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交工验收后1年内不及时提交工程结算、竣工资料</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施工单位原因</w:t>
            </w:r>
          </w:p>
        </w:tc>
      </w:tr>
      <w:tr>
        <w:tblPrEx>
          <w:tblLayout w:type="fixed"/>
          <w:tblCellMar>
            <w:top w:w="15" w:type="dxa"/>
            <w:left w:w="15" w:type="dxa"/>
            <w:bottom w:w="15" w:type="dxa"/>
            <w:right w:w="15" w:type="dxa"/>
          </w:tblCellMar>
        </w:tblPrEx>
        <w:trPr>
          <w:trHeight w:val="45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val="0"/>
                <w:bCs/>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GLSG2-7-5</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缺陷责任期内出现质量问题不能及时修复</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仿宋_GB2312" w:hAnsi="宋体" w:eastAsia="仿宋_GB2312" w:cs="仿宋_GB2312"/>
                <w:b w:val="0"/>
                <w:bCs/>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val="0"/>
                <w:bCs/>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GLSG2-7-6</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因施工单位原因被项目法人发函要求其上级单位督办，不能解决问题的</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5分/次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仿宋_GB2312" w:hAnsi="宋体" w:eastAsia="仿宋_GB2312" w:cs="仿宋_GB2312"/>
                <w:b w:val="0"/>
                <w:bCs/>
                <w:color w:val="auto"/>
                <w:sz w:val="22"/>
                <w:szCs w:val="22"/>
              </w:rPr>
            </w:pP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val="0"/>
                <w:bCs/>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GLSG2-7-7</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其他被认为失信的履约行为</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1—10分</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省交通运输厅在实施期间可根据实际情况再进一步细化</w:t>
            </w:r>
          </w:p>
        </w:tc>
      </w:tr>
      <w:tr>
        <w:tblPrEx>
          <w:tblLayout w:type="fixed"/>
          <w:tblCellMar>
            <w:top w:w="15" w:type="dxa"/>
            <w:left w:w="15" w:type="dxa"/>
            <w:bottom w:w="15" w:type="dxa"/>
            <w:right w:w="15" w:type="dxa"/>
          </w:tblCellMar>
        </w:tblPrEx>
        <w:trPr>
          <w:trHeight w:val="900" w:hRule="atLeast"/>
        </w:trPr>
        <w:tc>
          <w:tcPr>
            <w:tcW w:w="1260"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宋体" w:eastAsia="仿宋_GB2312" w:cs="仿宋_GB2312"/>
                <w:b/>
                <w:color w:val="auto"/>
                <w:sz w:val="22"/>
                <w:szCs w:val="22"/>
              </w:rPr>
            </w:pPr>
            <w:r>
              <w:rPr>
                <w:rFonts w:hint="eastAsia" w:ascii="仿宋_GB2312" w:hAnsi="宋体" w:eastAsia="仿宋_GB2312" w:cs="仿宋_GB2312"/>
                <w:b w:val="0"/>
                <w:bCs/>
                <w:color w:val="auto"/>
                <w:kern w:val="0"/>
                <w:sz w:val="22"/>
                <w:szCs w:val="22"/>
              </w:rPr>
              <w:t>省交通运输厅增加的其他被认为失信的履约行为</w:t>
            </w:r>
            <w:r>
              <w:rPr>
                <w:rFonts w:hint="eastAsia" w:ascii="仿宋_GB2312" w:hAnsi="宋体" w:eastAsia="仿宋_GB2312" w:cs="仿宋_GB2312"/>
                <w:b/>
                <w:color w:val="auto"/>
                <w:sz w:val="22"/>
                <w:szCs w:val="22"/>
              </w:rPr>
              <w:t xml:space="preserve"> </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GLSG2-7-8</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未按要求建设标准化工地，包括预制场地、拌和场地、施工料场、施工便道等</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1分/项</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kern w:val="0"/>
                <w:sz w:val="22"/>
                <w:szCs w:val="22"/>
              </w:rPr>
              <w:t>包括标准化工地验收不合格</w:t>
            </w:r>
          </w:p>
        </w:tc>
      </w:tr>
      <w:tr>
        <w:tblPrEx>
          <w:tblLayout w:type="fixed"/>
          <w:tblCellMar>
            <w:top w:w="15" w:type="dxa"/>
            <w:left w:w="15" w:type="dxa"/>
            <w:bottom w:w="15" w:type="dxa"/>
            <w:right w:w="15" w:type="dxa"/>
          </w:tblCellMar>
        </w:tblPrEx>
        <w:trPr>
          <w:trHeight w:val="900" w:hRule="atLeast"/>
        </w:trPr>
        <w:tc>
          <w:tcPr>
            <w:tcW w:w="1260"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left w:val="single" w:color="000000" w:sz="4" w:space="0"/>
              <w:right w:val="single" w:color="000000" w:sz="4" w:space="0"/>
            </w:tcBorders>
            <w:vAlign w:val="center"/>
          </w:tcPr>
          <w:p>
            <w:pPr>
              <w:jc w:val="center"/>
              <w:rPr>
                <w:rFonts w:hint="eastAsia" w:ascii="仿宋_GB2312" w:hAnsi="宋体" w:eastAsia="仿宋_GB2312" w:cs="仿宋_GB2312"/>
                <w:b/>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GLSG2-7-9</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原材料、工程实体质量抽检未按规定执行，自检频率不符合要求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2分/次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仿宋_GB2312" w:hAnsi="宋体" w:eastAsia="仿宋_GB2312" w:cs="仿宋_GB2312"/>
                <w:b/>
                <w:color w:val="auto"/>
                <w:kern w:val="0"/>
                <w:sz w:val="22"/>
                <w:szCs w:val="22"/>
              </w:rPr>
            </w:pPr>
          </w:p>
        </w:tc>
      </w:tr>
      <w:tr>
        <w:tblPrEx>
          <w:tblLayout w:type="fixed"/>
          <w:tblCellMar>
            <w:top w:w="15" w:type="dxa"/>
            <w:left w:w="15" w:type="dxa"/>
            <w:bottom w:w="15" w:type="dxa"/>
            <w:right w:w="15" w:type="dxa"/>
          </w:tblCellMar>
        </w:tblPrEx>
        <w:trPr>
          <w:trHeight w:val="900" w:hRule="atLeast"/>
        </w:trPr>
        <w:tc>
          <w:tcPr>
            <w:tcW w:w="1260"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left w:val="single" w:color="000000" w:sz="4" w:space="0"/>
              <w:right w:val="single" w:color="000000" w:sz="4" w:space="0"/>
            </w:tcBorders>
            <w:vAlign w:val="center"/>
          </w:tcPr>
          <w:p>
            <w:pPr>
              <w:jc w:val="center"/>
              <w:rPr>
                <w:rFonts w:hint="eastAsia" w:ascii="仿宋_GB2312" w:hAnsi="宋体" w:eastAsia="仿宋_GB2312" w:cs="仿宋_GB2312"/>
                <w:b/>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GLSG2-7-10</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委托不符合</w:t>
            </w:r>
            <w:r>
              <w:rPr>
                <w:rFonts w:hint="eastAsia" w:ascii="仿宋_GB2312" w:hAnsi="宋体" w:eastAsia="仿宋_GB2312" w:cs="仿宋_GB2312"/>
                <w:b/>
                <w:color w:val="auto"/>
                <w:sz w:val="22"/>
                <w:szCs w:val="22"/>
                <w:lang w:val="en-US" w:eastAsia="zh-CN"/>
              </w:rPr>
              <w:t>资质</w:t>
            </w:r>
            <w:r>
              <w:rPr>
                <w:rFonts w:hint="eastAsia" w:ascii="仿宋_GB2312" w:hAnsi="宋体" w:eastAsia="仿宋_GB2312" w:cs="仿宋_GB2312"/>
                <w:b/>
                <w:color w:val="auto"/>
                <w:sz w:val="22"/>
                <w:szCs w:val="22"/>
              </w:rPr>
              <w:t>要求的机构进行试验检测</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3分/次</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仿宋_GB2312" w:hAnsi="宋体" w:eastAsia="仿宋_GB2312" w:cs="仿宋_GB2312"/>
                <w:b/>
                <w:color w:val="auto"/>
                <w:kern w:val="0"/>
                <w:sz w:val="22"/>
                <w:szCs w:val="22"/>
              </w:rPr>
            </w:pPr>
          </w:p>
        </w:tc>
      </w:tr>
      <w:tr>
        <w:tblPrEx>
          <w:tblLayout w:type="fixed"/>
          <w:tblCellMar>
            <w:top w:w="15" w:type="dxa"/>
            <w:left w:w="15" w:type="dxa"/>
            <w:bottom w:w="15" w:type="dxa"/>
            <w:right w:w="15" w:type="dxa"/>
          </w:tblCellMar>
        </w:tblPrEx>
        <w:trPr>
          <w:trHeight w:val="900" w:hRule="atLeast"/>
        </w:trPr>
        <w:tc>
          <w:tcPr>
            <w:tcW w:w="1260"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left w:val="single" w:color="000000" w:sz="4" w:space="0"/>
              <w:right w:val="single" w:color="000000" w:sz="4" w:space="0"/>
            </w:tcBorders>
            <w:vAlign w:val="center"/>
          </w:tcPr>
          <w:p>
            <w:pPr>
              <w:jc w:val="center"/>
              <w:rPr>
                <w:rFonts w:hint="eastAsia" w:ascii="仿宋_GB2312" w:hAnsi="宋体" w:eastAsia="仿宋_GB2312" w:cs="仿宋_GB2312"/>
                <w:b/>
                <w:color w:val="auto"/>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GLSG2-7-1</w:t>
            </w:r>
            <w:r>
              <w:rPr>
                <w:rFonts w:hint="eastAsia" w:ascii="仿宋_GB2312" w:hAnsi="宋体" w:eastAsia="仿宋_GB2312" w:cs="仿宋_GB2312"/>
                <w:b/>
                <w:color w:val="auto"/>
                <w:sz w:val="22"/>
                <w:szCs w:val="22"/>
                <w:lang w:val="en-US" w:eastAsia="zh-CN"/>
              </w:rPr>
              <w:t>1</w:t>
            </w:r>
          </w:p>
        </w:tc>
        <w:tc>
          <w:tcPr>
            <w:tcW w:w="6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平安工地建设工作不达标</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1-10分</w:t>
            </w:r>
          </w:p>
        </w:tc>
        <w:tc>
          <w:tcPr>
            <w:tcW w:w="1677"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kern w:val="0"/>
                <w:sz w:val="22"/>
                <w:szCs w:val="22"/>
              </w:rPr>
              <w:t>项目建设单位按照日常管理情况酌情扣分</w:t>
            </w:r>
          </w:p>
        </w:tc>
      </w:tr>
      <w:tr>
        <w:tblPrEx>
          <w:tblLayout w:type="fixed"/>
          <w:tblCellMar>
            <w:top w:w="15" w:type="dxa"/>
            <w:left w:w="15" w:type="dxa"/>
            <w:bottom w:w="15" w:type="dxa"/>
            <w:right w:w="15" w:type="dxa"/>
          </w:tblCellMar>
        </w:tblPrEx>
        <w:trPr>
          <w:trHeight w:val="900" w:hRule="atLeast"/>
        </w:trPr>
        <w:tc>
          <w:tcPr>
            <w:tcW w:w="1260" w:type="dxa"/>
            <w:tcBorders>
              <w:top w:val="single" w:color="000000" w:sz="4" w:space="0"/>
              <w:left w:val="single" w:color="000000" w:sz="12" w:space="0"/>
              <w:bottom w:val="single" w:color="auto" w:sz="4" w:space="0"/>
              <w:right w:val="single" w:color="000000"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left w:val="single" w:color="000000" w:sz="4" w:space="0"/>
              <w:bottom w:val="single" w:color="auto" w:sz="4" w:space="0"/>
              <w:right w:val="single" w:color="000000" w:sz="4" w:space="0"/>
            </w:tcBorders>
            <w:vAlign w:val="center"/>
          </w:tcPr>
          <w:p>
            <w:pPr>
              <w:jc w:val="center"/>
              <w:rPr>
                <w:rFonts w:hint="eastAsia" w:ascii="仿宋_GB2312" w:hAnsi="宋体" w:eastAsia="仿宋_GB2312" w:cs="仿宋_GB2312"/>
                <w:b/>
                <w:color w:val="auto"/>
                <w:sz w:val="22"/>
                <w:szCs w:val="22"/>
              </w:rPr>
            </w:pPr>
          </w:p>
        </w:tc>
        <w:tc>
          <w:tcPr>
            <w:tcW w:w="162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GLSG2-7-1</w:t>
            </w:r>
            <w:r>
              <w:rPr>
                <w:rFonts w:hint="eastAsia" w:ascii="仿宋_GB2312" w:hAnsi="宋体" w:eastAsia="仿宋_GB2312" w:cs="仿宋_GB2312"/>
                <w:b/>
                <w:color w:val="auto"/>
                <w:sz w:val="22"/>
                <w:szCs w:val="22"/>
                <w:lang w:val="en-US" w:eastAsia="zh-CN"/>
              </w:rPr>
              <w:t>2</w:t>
            </w:r>
          </w:p>
        </w:tc>
        <w:tc>
          <w:tcPr>
            <w:tcW w:w="649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宋体" w:eastAsia="仿宋_GB2312" w:cs="仿宋_GB2312"/>
                <w:b/>
                <w:color w:val="auto"/>
                <w:sz w:val="22"/>
                <w:szCs w:val="22"/>
              </w:rPr>
            </w:pPr>
            <w:r>
              <w:rPr>
                <w:rFonts w:hint="eastAsia" w:ascii="仿宋_GB2312" w:hAnsi="宋体" w:eastAsia="仿宋_GB2312" w:cs="仿宋_GB2312"/>
                <w:b/>
                <w:color w:val="auto"/>
                <w:sz w:val="22"/>
                <w:szCs w:val="22"/>
              </w:rPr>
              <w:t>工程变更弄虚作假或虚假计量，</w:t>
            </w:r>
          </w:p>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造成严重后果</w:t>
            </w:r>
          </w:p>
        </w:tc>
        <w:tc>
          <w:tcPr>
            <w:tcW w:w="168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直接定为D级</w:t>
            </w:r>
          </w:p>
        </w:tc>
        <w:tc>
          <w:tcPr>
            <w:tcW w:w="1677" w:type="dxa"/>
            <w:tcBorders>
              <w:top w:val="single" w:color="000000" w:sz="4" w:space="0"/>
              <w:left w:val="single" w:color="000000" w:sz="4" w:space="0"/>
              <w:bottom w:val="single" w:color="auto" w:sz="4" w:space="0"/>
              <w:right w:val="single" w:color="000000" w:sz="12" w:space="0"/>
            </w:tcBorders>
            <w:vAlign w:val="center"/>
          </w:tcPr>
          <w:p>
            <w:pPr>
              <w:widowControl/>
              <w:jc w:val="center"/>
              <w:textAlignment w:val="center"/>
              <w:rPr>
                <w:rFonts w:hint="eastAsia" w:ascii="仿宋_GB2312" w:hAnsi="宋体" w:eastAsia="仿宋_GB2312" w:cs="仿宋_GB2312"/>
                <w:b/>
                <w:color w:val="auto"/>
                <w:kern w:val="0"/>
                <w:sz w:val="22"/>
                <w:szCs w:val="22"/>
              </w:rPr>
            </w:pPr>
          </w:p>
        </w:tc>
      </w:tr>
      <w:tr>
        <w:tblPrEx>
          <w:tblLayout w:type="fixed"/>
          <w:tblCellMar>
            <w:top w:w="15" w:type="dxa"/>
            <w:left w:w="15" w:type="dxa"/>
            <w:bottom w:w="15" w:type="dxa"/>
            <w:right w:w="15" w:type="dxa"/>
          </w:tblCellMar>
        </w:tblPrEx>
        <w:trPr>
          <w:trHeight w:val="450" w:hRule="atLeast"/>
        </w:trPr>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其它行为（行为代码GLSG3）</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GLSG3-1</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被本省司法机关认定有行贿、受贿行为，并构成犯罪</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直接定为D级</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GLSG3-2</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省级及以上交通运输主管部门要求企业填报向社会公布的信息，存在虚假的</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3分/次(在企业总分中扣除)</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GLSG3-3</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信用评价弄虚作假或以不正当手段骗取较高信用等级</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4分/次(在企业总分中扣除)</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bCs/>
                <w:color w:val="auto"/>
                <w:sz w:val="22"/>
                <w:szCs w:val="22"/>
              </w:rPr>
            </w:pPr>
            <w:r>
              <w:rPr>
                <w:rFonts w:hint="eastAsia" w:ascii="仿宋_GB2312" w:hAnsi="宋体" w:eastAsia="仿宋_GB2312" w:cs="仿宋_GB2312"/>
                <w:b/>
                <w:bCs/>
                <w:color w:val="auto"/>
                <w:kern w:val="0"/>
                <w:sz w:val="22"/>
                <w:szCs w:val="22"/>
              </w:rPr>
              <w:t>GLSG3-4</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b/>
                <w:bCs/>
                <w:color w:val="auto"/>
                <w:sz w:val="22"/>
                <w:szCs w:val="22"/>
              </w:rPr>
            </w:pPr>
            <w:r>
              <w:rPr>
                <w:rFonts w:hint="eastAsia" w:ascii="仿宋_GB2312" w:hAnsi="宋体" w:eastAsia="仿宋_GB2312" w:cs="仿宋_GB2312"/>
                <w:b/>
                <w:bCs/>
                <w:color w:val="auto"/>
                <w:kern w:val="0"/>
                <w:sz w:val="22"/>
                <w:szCs w:val="22"/>
              </w:rPr>
              <w:t>拖欠农民工工资被强制执行</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b/>
                <w:bCs/>
                <w:color w:val="auto"/>
                <w:kern w:val="0"/>
                <w:sz w:val="22"/>
                <w:szCs w:val="22"/>
              </w:rPr>
              <w:t>5分/次(在企业总分中扣除)</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GLSG3-5</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拒绝参与交通运输主管部门组织的应急抢险任务</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2分/次(在企业总分中扣除)</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GLSG3-6</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被市级交通运输主管部门通报批评</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2分/次(在企业总分扣除)</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GLSG3-7</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被省级交通运输主管部门通报批评</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3分/次(在企业总分扣除)</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GLSG3-8</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被国务院交通运输主管部门通报批评</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5分/次(在企业总分扣除)</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宋体" w:eastAsia="仿宋_GB2312" w:cs="仿宋_GB2312"/>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省交通运输厅增加的其他被认为失信的其他行为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val="0"/>
                <w:bCs/>
                <w:color w:val="auto"/>
                <w:sz w:val="22"/>
                <w:szCs w:val="22"/>
              </w:rPr>
            </w:pPr>
            <w:r>
              <w:rPr>
                <w:b w:val="0"/>
                <w:bCs/>
                <w:color w:val="auto"/>
                <w:kern w:val="0"/>
                <w:sz w:val="22"/>
                <w:szCs w:val="22"/>
              </w:rPr>
              <w:t>GLSG3-9-1</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被省市质监站通报批评</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2分/次(在企业总分扣除)</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宋体" w:eastAsia="仿宋_GB2312" w:cs="仿宋_GB2312"/>
                <w:b w:val="0"/>
                <w:bCs/>
                <w:color w:val="auto"/>
                <w:sz w:val="22"/>
                <w:szCs w:val="22"/>
              </w:rPr>
            </w:pPr>
          </w:p>
        </w:tc>
      </w:tr>
      <w:tr>
        <w:tblPrEx>
          <w:tblLayout w:type="fixed"/>
          <w:tblCellMar>
            <w:top w:w="15" w:type="dxa"/>
            <w:left w:w="15" w:type="dxa"/>
            <w:bottom w:w="15" w:type="dxa"/>
            <w:right w:w="15" w:type="dxa"/>
          </w:tblCellMar>
        </w:tblPrEx>
        <w:trPr>
          <w:trHeight w:val="690"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b w:val="0"/>
                <w:bCs/>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val="0"/>
                <w:bCs/>
                <w:color w:val="auto"/>
                <w:sz w:val="22"/>
                <w:szCs w:val="22"/>
              </w:rPr>
            </w:pPr>
            <w:r>
              <w:rPr>
                <w:b w:val="0"/>
                <w:bCs/>
                <w:color w:val="auto"/>
                <w:kern w:val="0"/>
                <w:sz w:val="22"/>
                <w:szCs w:val="22"/>
              </w:rPr>
              <w:t>GLSG3-9-2</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被举报经查实存在一般质量问题、安全隐患</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2分/次(在企业总分扣除)</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宋体" w:eastAsia="仿宋_GB2312" w:cs="仿宋_GB2312"/>
                <w:b w:val="0"/>
                <w:bCs/>
                <w:color w:val="auto"/>
                <w:sz w:val="22"/>
                <w:szCs w:val="22"/>
              </w:rPr>
            </w:pPr>
          </w:p>
        </w:tc>
      </w:tr>
      <w:tr>
        <w:tblPrEx>
          <w:tblLayout w:type="fixed"/>
          <w:tblCellMar>
            <w:top w:w="15" w:type="dxa"/>
            <w:left w:w="15" w:type="dxa"/>
            <w:bottom w:w="15" w:type="dxa"/>
            <w:right w:w="15" w:type="dxa"/>
          </w:tblCellMar>
        </w:tblPrEx>
        <w:trPr>
          <w:trHeight w:val="900"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b w:val="0"/>
                <w:bCs/>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val="0"/>
                <w:bCs/>
                <w:color w:val="auto"/>
                <w:sz w:val="22"/>
                <w:szCs w:val="22"/>
              </w:rPr>
            </w:pPr>
            <w:r>
              <w:rPr>
                <w:b w:val="0"/>
                <w:bCs/>
                <w:color w:val="auto"/>
                <w:kern w:val="0"/>
                <w:sz w:val="22"/>
                <w:szCs w:val="22"/>
              </w:rPr>
              <w:t>GLSG3-9-3</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其他被认为失信的行为</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1—10分</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宋体" w:eastAsia="仿宋_GB2312" w:cs="仿宋_GB2312"/>
                <w:b w:val="0"/>
                <w:bCs/>
                <w:color w:val="auto"/>
                <w:sz w:val="22"/>
                <w:szCs w:val="22"/>
              </w:rPr>
            </w:pPr>
            <w:r>
              <w:rPr>
                <w:rFonts w:hint="eastAsia" w:ascii="仿宋_GB2312" w:hAnsi="宋体" w:eastAsia="仿宋_GB2312" w:cs="仿宋_GB2312"/>
                <w:b w:val="0"/>
                <w:bCs/>
                <w:color w:val="auto"/>
                <w:kern w:val="0"/>
                <w:sz w:val="22"/>
                <w:szCs w:val="22"/>
              </w:rPr>
              <w:t>省交通运输厅在实施期间可根据实际情况再进一步细化</w:t>
            </w:r>
          </w:p>
        </w:tc>
      </w:tr>
      <w:tr>
        <w:tblPrEx>
          <w:tblLayout w:type="fixed"/>
          <w:tblCellMar>
            <w:top w:w="15" w:type="dxa"/>
            <w:left w:w="15" w:type="dxa"/>
            <w:bottom w:w="15" w:type="dxa"/>
            <w:right w:w="15" w:type="dxa"/>
          </w:tblCellMar>
        </w:tblPrEx>
        <w:trPr>
          <w:trHeight w:val="900" w:hRule="atLeast"/>
        </w:trPr>
        <w:tc>
          <w:tcPr>
            <w:tcW w:w="12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其它行为（行为代码GLSG3）</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b/>
                <w:color w:val="auto"/>
                <w:sz w:val="22"/>
                <w:szCs w:val="22"/>
              </w:rPr>
            </w:pPr>
            <w:r>
              <w:rPr>
                <w:rFonts w:hint="eastAsia" w:ascii="仿宋_GB2312" w:hAnsi="宋体" w:eastAsia="仿宋_GB2312" w:cs="仿宋_GB2312"/>
                <w:b w:val="0"/>
                <w:bCs/>
                <w:color w:val="auto"/>
                <w:kern w:val="0"/>
                <w:sz w:val="22"/>
                <w:szCs w:val="22"/>
              </w:rPr>
              <w:t>省交通运输厅增加的其他被认为失信的其他行为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color w:val="auto"/>
                <w:kern w:val="0"/>
                <w:sz w:val="22"/>
                <w:szCs w:val="22"/>
              </w:rPr>
            </w:pPr>
            <w:r>
              <w:rPr>
                <w:rFonts w:hint="eastAsia" w:ascii="仿宋_GB2312" w:hAnsi="宋体" w:eastAsia="仿宋_GB2312" w:cs="仿宋_GB2312"/>
                <w:b/>
                <w:color w:val="auto"/>
                <w:sz w:val="22"/>
                <w:szCs w:val="22"/>
              </w:rPr>
              <w:t>GLSG3-9-</w:t>
            </w:r>
            <w:r>
              <w:rPr>
                <w:rFonts w:hint="eastAsia" w:ascii="仿宋_GB2312" w:hAnsi="宋体" w:eastAsia="仿宋_GB2312" w:cs="仿宋_GB2312"/>
                <w:b/>
                <w:color w:val="auto"/>
                <w:sz w:val="22"/>
                <w:szCs w:val="22"/>
                <w:lang w:val="en-US" w:eastAsia="zh-CN"/>
              </w:rPr>
              <w:t>4</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被交通运输主管部门或其他监管机构约谈</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kern w:val="0"/>
                <w:sz w:val="22"/>
                <w:szCs w:val="22"/>
              </w:rPr>
              <w:t>2分/次(在企业总分中扣除)</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color w:val="auto"/>
                <w:kern w:val="0"/>
                <w:sz w:val="22"/>
                <w:szCs w:val="22"/>
              </w:rPr>
            </w:pPr>
          </w:p>
        </w:tc>
      </w:tr>
      <w:tr>
        <w:tblPrEx>
          <w:tblLayout w:type="fixed"/>
          <w:tblCellMar>
            <w:top w:w="15" w:type="dxa"/>
            <w:left w:w="15" w:type="dxa"/>
            <w:bottom w:w="15" w:type="dxa"/>
            <w:right w:w="15" w:type="dxa"/>
          </w:tblCellMar>
        </w:tblPrEx>
        <w:trPr>
          <w:trHeight w:val="720" w:hRule="atLeast"/>
        </w:trPr>
        <w:tc>
          <w:tcPr>
            <w:tcW w:w="1260" w:type="dxa"/>
            <w:vMerge w:val="continue"/>
            <w:tcBorders>
              <w:top w:val="single" w:color="auto" w:sz="4" w:space="0"/>
              <w:left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b/>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color w:val="auto"/>
                <w:kern w:val="0"/>
                <w:sz w:val="22"/>
                <w:szCs w:val="22"/>
              </w:rPr>
            </w:pPr>
            <w:r>
              <w:rPr>
                <w:rFonts w:hint="eastAsia" w:ascii="仿宋_GB2312" w:hAnsi="宋体" w:eastAsia="仿宋_GB2312" w:cs="仿宋_GB2312"/>
                <w:b/>
                <w:color w:val="auto"/>
                <w:sz w:val="22"/>
                <w:szCs w:val="22"/>
              </w:rPr>
              <w:t>GLSG3-9-</w:t>
            </w:r>
            <w:r>
              <w:rPr>
                <w:rFonts w:hint="eastAsia" w:ascii="仿宋_GB2312" w:hAnsi="宋体" w:eastAsia="仿宋_GB2312" w:cs="仿宋_GB2312"/>
                <w:b/>
                <w:color w:val="auto"/>
                <w:sz w:val="22"/>
                <w:szCs w:val="22"/>
                <w:lang w:val="en-US" w:eastAsia="zh-CN"/>
              </w:rPr>
              <w:t>5</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因自身原因无法继续履约，被项目法人清退出场或终止合同</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kern w:val="0"/>
                <w:sz w:val="22"/>
                <w:szCs w:val="22"/>
              </w:rPr>
              <w:t>直接定为D级</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color w:val="auto"/>
                <w:kern w:val="0"/>
                <w:sz w:val="22"/>
                <w:szCs w:val="22"/>
              </w:rPr>
            </w:pPr>
          </w:p>
        </w:tc>
      </w:tr>
      <w:tr>
        <w:tblPrEx>
          <w:tblLayout w:type="fixed"/>
          <w:tblCellMar>
            <w:top w:w="15" w:type="dxa"/>
            <w:left w:w="15" w:type="dxa"/>
            <w:bottom w:w="15" w:type="dxa"/>
            <w:right w:w="15" w:type="dxa"/>
          </w:tblCellMar>
        </w:tblPrEx>
        <w:trPr>
          <w:trHeight w:val="750" w:hRule="atLeast"/>
        </w:trPr>
        <w:tc>
          <w:tcPr>
            <w:tcW w:w="1260" w:type="dxa"/>
            <w:vMerge w:val="continue"/>
            <w:tcBorders>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color w:val="auto"/>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b/>
                <w:color w:val="auto"/>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color w:val="auto"/>
                <w:kern w:val="0"/>
                <w:sz w:val="22"/>
                <w:szCs w:val="22"/>
              </w:rPr>
            </w:pPr>
            <w:r>
              <w:rPr>
                <w:rFonts w:hint="eastAsia" w:ascii="仿宋_GB2312" w:hAnsi="宋体" w:eastAsia="仿宋_GB2312" w:cs="仿宋_GB2312"/>
                <w:b/>
                <w:color w:val="auto"/>
                <w:sz w:val="22"/>
                <w:szCs w:val="22"/>
              </w:rPr>
              <w:t>GLSG3-9-</w:t>
            </w:r>
            <w:r>
              <w:rPr>
                <w:rFonts w:hint="eastAsia" w:ascii="仿宋_GB2312" w:hAnsi="宋体" w:eastAsia="仿宋_GB2312" w:cs="仿宋_GB2312"/>
                <w:b/>
                <w:color w:val="auto"/>
                <w:sz w:val="22"/>
                <w:szCs w:val="22"/>
                <w:lang w:val="en-US" w:eastAsia="zh-CN"/>
              </w:rPr>
              <w:t>6</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lang w:val="en-US" w:eastAsia="zh-CN"/>
              </w:rPr>
              <w:t>恶意</w:t>
            </w:r>
            <w:r>
              <w:rPr>
                <w:rFonts w:hint="eastAsia" w:ascii="仿宋_GB2312" w:hAnsi="宋体" w:eastAsia="仿宋_GB2312" w:cs="仿宋_GB2312"/>
                <w:b/>
                <w:color w:val="auto"/>
                <w:sz w:val="22"/>
                <w:szCs w:val="22"/>
              </w:rPr>
              <w:t>拖欠农民工工资被强制执行，</w:t>
            </w:r>
            <w:r>
              <w:rPr>
                <w:rFonts w:hint="eastAsia" w:ascii="仿宋_GB2312" w:hAnsi="宋体" w:eastAsia="仿宋_GB2312" w:cs="仿宋_GB2312"/>
                <w:b/>
                <w:color w:val="auto"/>
                <w:sz w:val="22"/>
                <w:szCs w:val="22"/>
                <w:lang w:val="en-US" w:eastAsia="zh-CN"/>
              </w:rPr>
              <w:t>或因拖欠问题造成群体时间或</w:t>
            </w:r>
            <w:r>
              <w:rPr>
                <w:rFonts w:hint="eastAsia" w:ascii="仿宋_GB2312" w:hAnsi="宋体" w:eastAsia="仿宋_GB2312" w:cs="仿宋_GB2312"/>
                <w:b/>
                <w:color w:val="auto"/>
                <w:sz w:val="22"/>
                <w:szCs w:val="22"/>
              </w:rPr>
              <w:t>不良社会影响的</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直接定为D级</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b/>
                <w:color w:val="auto"/>
                <w:kern w:val="0"/>
                <w:sz w:val="22"/>
                <w:szCs w:val="22"/>
              </w:rPr>
            </w:pPr>
            <w:r>
              <w:rPr>
                <w:rFonts w:hint="eastAsia" w:ascii="仿宋_GB2312" w:hAnsi="宋体" w:eastAsia="仿宋_GB2312" w:cs="仿宋_GB2312"/>
                <w:b/>
                <w:color w:val="auto"/>
                <w:sz w:val="22"/>
                <w:szCs w:val="22"/>
              </w:rPr>
              <w:t>根据国家及部农民工工资有关规定建议修订为“</w:t>
            </w:r>
            <w:r>
              <w:rPr>
                <w:rFonts w:hint="eastAsia" w:ascii="仿宋_GB2312" w:hAnsi="宋体" w:eastAsia="仿宋_GB2312" w:cs="仿宋_GB2312"/>
                <w:b/>
                <w:color w:val="auto"/>
                <w:sz w:val="22"/>
                <w:szCs w:val="22"/>
                <w:lang w:val="en-US" w:eastAsia="zh-CN"/>
              </w:rPr>
              <w:t>D级</w:t>
            </w:r>
            <w:r>
              <w:rPr>
                <w:rFonts w:hint="eastAsia" w:ascii="仿宋_GB2312" w:hAnsi="宋体" w:eastAsia="仿宋_GB2312" w:cs="仿宋_GB2312"/>
                <w:b/>
                <w:color w:val="auto"/>
                <w:sz w:val="22"/>
                <w:szCs w:val="22"/>
              </w:rPr>
              <w:t>”</w:t>
            </w:r>
          </w:p>
        </w:tc>
      </w:tr>
      <w:tr>
        <w:tblPrEx>
          <w:tblLayout w:type="fixed"/>
          <w:tblCellMar>
            <w:top w:w="15" w:type="dxa"/>
            <w:left w:w="15" w:type="dxa"/>
            <w:bottom w:w="15" w:type="dxa"/>
            <w:right w:w="15" w:type="dxa"/>
          </w:tblCellMar>
        </w:tblPrEx>
        <w:trPr>
          <w:trHeight w:val="405" w:hRule="atLeast"/>
        </w:trPr>
        <w:tc>
          <w:tcPr>
            <w:tcW w:w="14052" w:type="dxa"/>
            <w:gridSpan w:val="6"/>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备注：履约行为检查每半年开展一次，一种行为在同次检查中原则上不重复扣分。检查结果以正式书面文件为准。</w:t>
            </w:r>
          </w:p>
        </w:tc>
      </w:tr>
      <w:tr>
        <w:tblPrEx>
          <w:tblLayout w:type="fixed"/>
          <w:tblCellMar>
            <w:top w:w="15" w:type="dxa"/>
            <w:left w:w="15" w:type="dxa"/>
            <w:bottom w:w="15" w:type="dxa"/>
            <w:right w:w="15" w:type="dxa"/>
          </w:tblCellMar>
        </w:tblPrEx>
        <w:trPr>
          <w:trHeight w:val="405" w:hRule="atLeast"/>
        </w:trPr>
        <w:tc>
          <w:tcPr>
            <w:tcW w:w="14052" w:type="dxa"/>
            <w:gridSpan w:val="6"/>
            <w:vAlign w:val="center"/>
          </w:tcPr>
          <w:p>
            <w:pPr>
              <w:widowControl/>
              <w:jc w:val="left"/>
              <w:textAlignment w:val="center"/>
              <w:rPr>
                <w:rFonts w:hint="eastAsia"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rPr>
              <w:t xml:space="preserve">      检查中未发现但事后查实，其失信行为可以追溯。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F9FBFA"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906AD"/>
    <w:rsid w:val="2A4906A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2018-11-26T02:35:00Z</dcterms:created>
  <dc:creator>wang</dc:creator>
  <cp:lastModifiedBy>wang</cp:lastModifiedBy>
  <dcterms:modified xsi:type="dcterms:W3CDTF">2018-11-26T02:36:12Z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