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0C898">
      <w:pPr>
        <w:spacing w:line="560" w:lineRule="exact"/>
        <w:rPr>
          <w:rFonts w:ascii="黑体" w:hAnsi="黑体" w:eastAsia="黑体" w:cs="方正小标宋简体"/>
          <w:sz w:val="32"/>
          <w:szCs w:val="44"/>
        </w:rPr>
      </w:pPr>
      <w:r>
        <w:rPr>
          <w:rFonts w:ascii="黑体" w:hAnsi="黑体" w:eastAsia="黑体" w:cs="方正小标宋简体"/>
          <w:sz w:val="32"/>
          <w:szCs w:val="44"/>
        </w:rPr>
        <w:t>附件</w:t>
      </w:r>
      <w:r>
        <w:rPr>
          <w:rFonts w:hint="eastAsia" w:ascii="黑体" w:hAnsi="黑体" w:eastAsia="黑体" w:cs="方正小标宋简体"/>
          <w:sz w:val="32"/>
          <w:szCs w:val="44"/>
        </w:rPr>
        <w:t>1</w:t>
      </w:r>
      <w:r>
        <w:rPr>
          <w:rFonts w:ascii="黑体" w:hAnsi="黑体" w:eastAsia="黑体" w:cs="方正小标宋简体"/>
          <w:sz w:val="32"/>
          <w:szCs w:val="44"/>
        </w:rPr>
        <w:t>：</w:t>
      </w:r>
    </w:p>
    <w:p w14:paraId="550555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特许经营收费公路项目</w:t>
      </w:r>
    </w:p>
    <w:p w14:paraId="2C834A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“投资规模大、建设难度高”认定标准</w:t>
      </w:r>
    </w:p>
    <w:p w14:paraId="2791F4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</w:t>
      </w:r>
      <w:bookmarkEnd w:id="0"/>
    </w:p>
    <w:p w14:paraId="7BDAA6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24BE5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一、“投资规模大”的认定标准</w:t>
      </w:r>
    </w:p>
    <w:p w14:paraId="7D609A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b/>
          <w:bCs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估算总投资大于30亿元的收费公路。</w:t>
      </w:r>
    </w:p>
    <w:p w14:paraId="71C4C9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二、“建设难度高”的认定标准</w:t>
      </w:r>
    </w:p>
    <w:p w14:paraId="2A6569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1.项目包含大断面（单洞断面3车道及以上），或长度达到3000米及以上，或包含岩溶、高瓦斯、高地应力、软岩大变形等不良地质条件且长度不小于1000米的隧道单体工程。</w:t>
      </w:r>
    </w:p>
    <w:p w14:paraId="43F3AC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2.项目包含单孔跨径达到150米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或水深达到10米及以上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</w:rPr>
        <w:t>或总长度大于1000米的桥梁单体工程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。</w:t>
      </w:r>
    </w:p>
    <w:p w14:paraId="186D4D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3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.桥梁和隧道累计长度占项目总里程的比例（桥隧比）达到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bidi="ar"/>
        </w:rPr>
        <w:t>35%及以上。</w:t>
      </w:r>
    </w:p>
    <w:p w14:paraId="7E73A8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</w:rPr>
        <w:t>4.项目包含与铁路、轨道或市政道路等合并建设复杂桥梁或隧道单体工程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</w:rPr>
        <w:t>桥梁施工采用转体施工工艺的项目。</w:t>
      </w:r>
    </w:p>
    <w:p w14:paraId="7EAA6A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5.项目包含多岔（五岔及以上）复杂互通式立交桥梁工程。</w:t>
      </w:r>
    </w:p>
    <w:p w14:paraId="0DA0D2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估算总投资大于30亿元，且具备建设难度高认定标准中至少一项的收费公路，即可认定为“投资规模大、建设难度高”的收费公路项目。</w:t>
      </w:r>
    </w:p>
    <w:p w14:paraId="794CB9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本标准自印发之日起生效，并随国家有关政策规定及陕西省经济和社会发展变化适时调整。</w:t>
      </w:r>
    </w:p>
    <w:p w14:paraId="138245D8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129F97E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557170A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FE5105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4EFABB1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5A4241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C55A4EF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2BA08DF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A3D969B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4A4A16B3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BEF0045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8A23B11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35F3476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7F5D0F7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140660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MGNiODdlZjFjOGY0MmU5OWQ3MGE4MjU0MmNhNDgifQ=="/>
  </w:docVars>
  <w:rsids>
    <w:rsidRoot w:val="09556931"/>
    <w:rsid w:val="09556931"/>
    <w:rsid w:val="0AF1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2024-09-04T03:32:00Z</dcterms:created>
  <dc:creator>mr.Deja Vu</dc:creator>
  <cp:lastModifiedBy>mr.Deja Vu</cp:lastModifiedBy>
  <dcterms:modified xsi:type="dcterms:W3CDTF">2024-09-04T03:32:41Z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D40BC69B24E24B7EA2E9377C76BC517D_11</vt:lpwstr>
  </property>
</Properties>
</file>