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right="23"/>
        <w:jc w:val="both"/>
        <w:outlineLvl w:val="1"/>
        <w:rPr>
          <w:rFonts w:hAnsi="仿宋_GB2312"/>
          <w:b/>
          <w:bCs/>
          <w:color w:val="auto"/>
          <w:sz w:val="32"/>
          <w:szCs w:val="32"/>
        </w:rPr>
      </w:pPr>
      <w:r>
        <w:rPr>
          <w:rFonts w:hint="eastAsia" w:hAnsi="仿宋_GB2312"/>
          <w:b/>
          <w:bCs/>
          <w:color w:val="auto"/>
          <w:sz w:val="32"/>
          <w:szCs w:val="32"/>
        </w:rPr>
        <w:t>附件一</w:t>
      </w:r>
    </w:p>
    <w:p>
      <w:pPr>
        <w:pStyle w:val="4"/>
        <w:spacing w:line="360" w:lineRule="auto"/>
        <w:ind w:right="20" w:firstLine="2249" w:firstLineChars="700"/>
        <w:jc w:val="both"/>
        <w:rPr>
          <w:rFonts w:hAnsi="仿宋_GB2312"/>
          <w:b/>
          <w:bCs/>
          <w:color w:val="auto"/>
          <w:sz w:val="32"/>
          <w:szCs w:val="32"/>
        </w:rPr>
      </w:pPr>
      <w:r>
        <w:rPr>
          <w:rFonts w:hint="eastAsia" w:hAnsi="仿宋_GB2312"/>
          <w:b/>
          <w:bCs/>
          <w:color w:val="auto"/>
          <w:sz w:val="32"/>
          <w:szCs w:val="32"/>
        </w:rPr>
        <w:t>高速公路交调设备站点运行表</w:t>
      </w:r>
    </w:p>
    <w:tbl>
      <w:tblPr>
        <w:tblStyle w:val="3"/>
        <w:tblW w:w="85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014"/>
        <w:gridCol w:w="834"/>
        <w:gridCol w:w="833"/>
        <w:gridCol w:w="834"/>
        <w:gridCol w:w="834"/>
        <w:gridCol w:w="833"/>
        <w:gridCol w:w="834"/>
        <w:gridCol w:w="833"/>
        <w:gridCol w:w="10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53" w:type="dxa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014" w:type="dxa"/>
            <w:tcBorders>
              <w:top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（公司）</w:t>
            </w:r>
          </w:p>
        </w:tc>
        <w:tc>
          <w:tcPr>
            <w:tcW w:w="834" w:type="dxa"/>
            <w:tcBorders>
              <w:top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连续观测站点（个）</w:t>
            </w:r>
          </w:p>
        </w:tc>
        <w:tc>
          <w:tcPr>
            <w:tcW w:w="833" w:type="dxa"/>
            <w:tcBorders>
              <w:top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间隙观测站点（个）</w:t>
            </w:r>
          </w:p>
        </w:tc>
        <w:tc>
          <w:tcPr>
            <w:tcW w:w="834" w:type="dxa"/>
            <w:tcBorders>
              <w:top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设备总数（套）</w:t>
            </w:r>
          </w:p>
        </w:tc>
        <w:tc>
          <w:tcPr>
            <w:tcW w:w="834" w:type="dxa"/>
            <w:tcBorders>
              <w:top w:val="double" w:color="000000" w:sz="4" w:space="0"/>
              <w:bottom w:val="single" w:color="000000" w:sz="12" w:space="0"/>
              <w:right w:val="doub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数据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在线率</w:t>
            </w:r>
          </w:p>
        </w:tc>
        <w:tc>
          <w:tcPr>
            <w:tcW w:w="833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第三季度平均完整率</w:t>
            </w:r>
          </w:p>
        </w:tc>
        <w:tc>
          <w:tcPr>
            <w:tcW w:w="834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第三季度平均异常率</w:t>
            </w:r>
          </w:p>
        </w:tc>
        <w:tc>
          <w:tcPr>
            <w:tcW w:w="833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第三季度平均及时率</w:t>
            </w:r>
          </w:p>
        </w:tc>
        <w:tc>
          <w:tcPr>
            <w:tcW w:w="1084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第三季度不合格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设备数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3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1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全省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119</w:t>
            </w:r>
          </w:p>
        </w:tc>
        <w:tc>
          <w:tcPr>
            <w:tcW w:w="83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78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124</w:t>
            </w:r>
          </w:p>
        </w:tc>
        <w:tc>
          <w:tcPr>
            <w:tcW w:w="834" w:type="dxa"/>
            <w:tcBorders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95.24%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88.34%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0.24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94.29%</w:t>
            </w:r>
          </w:p>
        </w:tc>
        <w:tc>
          <w:tcPr>
            <w:tcW w:w="108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3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1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高速集团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41</w:t>
            </w:r>
          </w:p>
        </w:tc>
        <w:tc>
          <w:tcPr>
            <w:tcW w:w="83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77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43</w:t>
            </w:r>
          </w:p>
        </w:tc>
        <w:tc>
          <w:tcPr>
            <w:tcW w:w="834" w:type="dxa"/>
            <w:tcBorders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96.67%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91.85%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0.2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94.72%</w:t>
            </w:r>
          </w:p>
        </w:tc>
        <w:tc>
          <w:tcPr>
            <w:tcW w:w="108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3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01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交通集团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69</w:t>
            </w:r>
          </w:p>
        </w:tc>
        <w:tc>
          <w:tcPr>
            <w:tcW w:w="83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72</w:t>
            </w:r>
          </w:p>
        </w:tc>
        <w:tc>
          <w:tcPr>
            <w:tcW w:w="834" w:type="dxa"/>
            <w:tcBorders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95.02%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91.76%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0.23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94.29%</w:t>
            </w:r>
          </w:p>
        </w:tc>
        <w:tc>
          <w:tcPr>
            <w:tcW w:w="108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3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1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华通公司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4" w:type="dxa"/>
            <w:tcBorders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93.55%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92.69%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88.19%</w:t>
            </w:r>
          </w:p>
        </w:tc>
        <w:tc>
          <w:tcPr>
            <w:tcW w:w="108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3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1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</w:rPr>
            </w:pPr>
            <w:r>
              <w:rPr>
                <w:rFonts w:hint="eastAsia" w:ascii="仿宋" w:hAnsi="仿宋" w:eastAsia="仿宋" w:cs="Arial"/>
              </w:rPr>
              <w:t>神佳米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公司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</w:t>
            </w:r>
          </w:p>
        </w:tc>
        <w:tc>
          <w:tcPr>
            <w:tcW w:w="83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</w:t>
            </w:r>
          </w:p>
        </w:tc>
        <w:tc>
          <w:tcPr>
            <w:tcW w:w="834" w:type="dxa"/>
            <w:tcBorders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76.16%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69.99%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92.05%</w:t>
            </w:r>
          </w:p>
        </w:tc>
        <w:tc>
          <w:tcPr>
            <w:tcW w:w="108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3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1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榆神公司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4" w:type="dxa"/>
            <w:tcBorders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91.70%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89.54%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0.46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93.16%</w:t>
            </w:r>
          </w:p>
        </w:tc>
        <w:tc>
          <w:tcPr>
            <w:tcW w:w="108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3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01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榆佳公司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</w:t>
            </w:r>
          </w:p>
        </w:tc>
        <w:tc>
          <w:tcPr>
            <w:tcW w:w="83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4" w:type="dxa"/>
            <w:tcBorders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88.71%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87.31%</w:t>
            </w:r>
          </w:p>
        </w:tc>
        <w:tc>
          <w:tcPr>
            <w:tcW w:w="83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0.01</w:t>
            </w:r>
          </w:p>
        </w:tc>
        <w:tc>
          <w:tcPr>
            <w:tcW w:w="833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96.17%</w:t>
            </w:r>
          </w:p>
        </w:tc>
        <w:tc>
          <w:tcPr>
            <w:tcW w:w="1084" w:type="dxa"/>
            <w:tcBorders>
              <w:left w:val="single" w:color="000000" w:sz="12" w:space="0"/>
              <w:bottom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3" w:type="dxa"/>
            <w:tcBorders>
              <w:left w:val="doub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014" w:type="dxa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</w:rPr>
              <w:t>西铜公司</w:t>
            </w:r>
          </w:p>
        </w:tc>
        <w:tc>
          <w:tcPr>
            <w:tcW w:w="834" w:type="dxa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3" w:type="dxa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</w:t>
            </w:r>
          </w:p>
        </w:tc>
        <w:tc>
          <w:tcPr>
            <w:tcW w:w="834" w:type="dxa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2</w:t>
            </w:r>
          </w:p>
        </w:tc>
        <w:tc>
          <w:tcPr>
            <w:tcW w:w="834" w:type="dxa"/>
            <w:tcBorders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95.56%</w:t>
            </w:r>
          </w:p>
        </w:tc>
        <w:tc>
          <w:tcPr>
            <w:tcW w:w="833" w:type="dxa"/>
            <w:tcBorders>
              <w:left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94.88%</w:t>
            </w:r>
          </w:p>
        </w:tc>
        <w:tc>
          <w:tcPr>
            <w:tcW w:w="834" w:type="dxa"/>
            <w:tcBorders>
              <w:left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0.01</w:t>
            </w:r>
          </w:p>
        </w:tc>
        <w:tc>
          <w:tcPr>
            <w:tcW w:w="833" w:type="dxa"/>
            <w:tcBorders>
              <w:left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99.27%</w:t>
            </w:r>
          </w:p>
        </w:tc>
        <w:tc>
          <w:tcPr>
            <w:tcW w:w="1084" w:type="dxa"/>
            <w:tcBorders>
              <w:left w:val="single" w:color="000000" w:sz="12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586" w:type="dxa"/>
            <w:gridSpan w:val="10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ind w:firstLine="472" w:firstLineChars="196"/>
              <w:rPr>
                <w:rStyle w:val="5"/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注：</w:t>
            </w:r>
            <w:r>
              <w:rPr>
                <w:rStyle w:val="5"/>
                <w:rFonts w:hint="eastAsia" w:ascii="仿宋" w:hAnsi="仿宋" w:eastAsia="仿宋" w:cs="仿宋"/>
                <w:bCs/>
                <w:color w:val="auto"/>
                <w:sz w:val="24"/>
              </w:rPr>
              <w:t>有的站点存在两个设备，分别监测上行和下行的交通流量，</w:t>
            </w:r>
          </w:p>
          <w:p>
            <w:pPr>
              <w:spacing w:line="360" w:lineRule="auto"/>
              <w:ind w:firstLine="948" w:firstLineChars="395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color w:val="auto"/>
                <w:sz w:val="24"/>
              </w:rPr>
              <w:t>所以出现设备数大于站点数。</w:t>
            </w:r>
          </w:p>
        </w:tc>
      </w:tr>
    </w:tbl>
    <w:p>
      <w:pPr>
        <w:pStyle w:val="4"/>
        <w:spacing w:line="360" w:lineRule="auto"/>
        <w:ind w:right="20" w:firstLine="1606" w:firstLineChars="500"/>
        <w:jc w:val="both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hAnsi="仿宋_GB2312"/>
          <w:b/>
          <w:bCs/>
          <w:color w:val="auto"/>
          <w:sz w:val="32"/>
          <w:szCs w:val="32"/>
        </w:rPr>
        <w:t>普通国省干线公路交调设备站点运行表</w:t>
      </w:r>
    </w:p>
    <w:tbl>
      <w:tblPr>
        <w:tblStyle w:val="3"/>
        <w:tblpPr w:leftFromText="180" w:rightFromText="180" w:vertAnchor="text" w:horzAnchor="page" w:tblpX="1800" w:tblpY="4"/>
        <w:tblOverlap w:val="never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826"/>
        <w:gridCol w:w="854"/>
        <w:gridCol w:w="1012"/>
        <w:gridCol w:w="1012"/>
        <w:gridCol w:w="1012"/>
        <w:gridCol w:w="1012"/>
        <w:gridCol w:w="1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管理机构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连续观测站点（个）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设备总数（套）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总体完整率（</w:t>
            </w:r>
            <w:r>
              <w:rPr>
                <w:rFonts w:ascii="仿宋" w:hAnsi="仿宋" w:eastAsia="仿宋" w:cs="仿宋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总体异常率（</w:t>
            </w:r>
            <w:r>
              <w:rPr>
                <w:rFonts w:ascii="仿宋" w:hAnsi="仿宋" w:eastAsia="仿宋" w:cs="仿宋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总体及时率（</w:t>
            </w:r>
            <w:r>
              <w:rPr>
                <w:rFonts w:ascii="仿宋" w:hAnsi="仿宋" w:eastAsia="仿宋" w:cs="仿宋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总体在线率（</w:t>
            </w:r>
            <w:r>
              <w:rPr>
                <w:rFonts w:ascii="仿宋" w:hAnsi="仿宋" w:eastAsia="仿宋" w:cs="仿宋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全省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118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119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95.41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0.09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97.43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西安公路管理局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97.04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98.82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99.53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宝鸡公路管理局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98.94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98.86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99.33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咸阳公路管理局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94.13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98.64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铜川公路管理局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99.35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99.27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93.75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98.46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延安公路管理局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86.38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93.48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榆林公路管理局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94.42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0.09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98.48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96.10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汉中公路管理局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96.31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0.01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97.36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94.29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安康公路管理局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94.68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0.06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95.23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96.50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商洛公路管理局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96.84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0.03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95.22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97.74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韩城公路管理局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97.64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0.76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97.89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236" w:firstLineChars="98"/>
              <w:jc w:val="left"/>
              <w:textAlignment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注：</w:t>
            </w:r>
            <w:r>
              <w:rPr>
                <w:rStyle w:val="6"/>
                <w:rFonts w:cs="仿宋"/>
              </w:rPr>
              <w:t>1.</w:t>
            </w:r>
            <w:r>
              <w:rPr>
                <w:rStyle w:val="6"/>
                <w:rFonts w:hint="eastAsia" w:cs="仿宋"/>
              </w:rPr>
              <w:t>连续式观测站点数据传输质量情况截止至</w:t>
            </w:r>
            <w:r>
              <w:rPr>
                <w:rStyle w:val="6"/>
                <w:rFonts w:cs="仿宋"/>
              </w:rPr>
              <w:t>2018</w:t>
            </w:r>
            <w:r>
              <w:rPr>
                <w:rStyle w:val="6"/>
                <w:rFonts w:hint="eastAsia" w:cs="仿宋"/>
              </w:rPr>
              <w:t>年</w:t>
            </w:r>
            <w:r>
              <w:rPr>
                <w:rStyle w:val="6"/>
                <w:rFonts w:cs="仿宋"/>
              </w:rPr>
              <w:t>9</w:t>
            </w:r>
            <w:r>
              <w:rPr>
                <w:rStyle w:val="6"/>
                <w:rFonts w:hint="eastAsia" w:cs="仿宋"/>
              </w:rPr>
              <w:t>月</w:t>
            </w:r>
            <w:r>
              <w:rPr>
                <w:rStyle w:val="6"/>
                <w:rFonts w:cs="仿宋"/>
              </w:rPr>
              <w:t>30</w:t>
            </w:r>
            <w:r>
              <w:rPr>
                <w:rStyle w:val="6"/>
                <w:rFonts w:hint="eastAsia" w:cs="仿宋"/>
              </w:rPr>
              <w:t>日当日。</w:t>
            </w:r>
          </w:p>
          <w:p>
            <w:pPr>
              <w:widowControl/>
              <w:spacing w:line="360" w:lineRule="auto"/>
              <w:ind w:firstLine="720" w:firstLineChars="300"/>
              <w:jc w:val="left"/>
              <w:textAlignment w:val="center"/>
              <w:rPr>
                <w:rStyle w:val="6"/>
                <w:rFonts w:cs="仿宋"/>
              </w:rPr>
            </w:pPr>
            <w:r>
              <w:rPr>
                <w:rStyle w:val="6"/>
                <w:rFonts w:cs="仿宋"/>
              </w:rPr>
              <w:t>2.</w:t>
            </w:r>
            <w:r>
              <w:rPr>
                <w:rStyle w:val="6"/>
                <w:rFonts w:hint="eastAsia" w:cs="仿宋"/>
              </w:rPr>
              <w:t>榆林孤山站点存在两个设备，分别监测上行和下行的交通流量，</w:t>
            </w:r>
          </w:p>
          <w:p>
            <w:pPr>
              <w:widowControl/>
              <w:spacing w:line="360" w:lineRule="auto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Style w:val="6"/>
                <w:rFonts w:hint="eastAsia" w:cs="仿宋"/>
              </w:rPr>
              <w:t>所以出现设备数大于站点数。</w:t>
            </w:r>
          </w:p>
        </w:tc>
      </w:tr>
    </w:tbl>
    <w:p>
      <w:pPr>
        <w:pStyle w:val="4"/>
        <w:spacing w:line="360" w:lineRule="auto"/>
        <w:ind w:right="20"/>
        <w:jc w:val="both"/>
        <w:rPr>
          <w:rFonts w:hAnsi="仿宋_GB2312"/>
          <w:b/>
          <w:bCs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40DB9"/>
    <w:rsid w:val="1E040D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">
    <w:name w:val="font0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6">
    <w:name w:val="font51"/>
    <w:qFormat/>
    <w:uiPriority w:val="99"/>
    <w:rPr>
      <w:rFonts w:ascii="仿宋" w:hAnsi="仿宋" w:eastAsia="仿宋"/>
      <w:color w:val="auto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2018-10-25T08:18:00Z</dcterms:created>
  <dc:creator>wang</dc:creator>
  <cp:lastModifiedBy>wang</cp:lastModifiedBy>
  <dcterms:modified xsi:type="dcterms:W3CDTF">2018-10-25T08:18:22Z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