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sz w:val="28"/>
        </w:rPr>
      </w:pPr>
      <w:r>
        <w:rPr>
          <w:rFonts w:hint="eastAsia" w:ascii="宋体" w:hAnsi="宋体"/>
          <w:b/>
          <w:sz w:val="28"/>
        </w:rPr>
        <w:t>附件1</w:t>
      </w:r>
    </w:p>
    <w:p>
      <w:pPr>
        <w:autoSpaceDN w:val="0"/>
        <w:jc w:val="center"/>
        <w:textAlignment w:val="center"/>
        <w:rPr>
          <w:rFonts w:ascii="宋体" w:hAnsi="宋体"/>
          <w:b/>
          <w:color w:val="000000"/>
          <w:sz w:val="28"/>
        </w:rPr>
      </w:pPr>
      <w:bookmarkStart w:id="0" w:name="_GoBack"/>
      <w:r>
        <w:rPr>
          <w:rFonts w:ascii="宋体" w:hAnsi="宋体"/>
          <w:b/>
          <w:color w:val="000000"/>
          <w:sz w:val="28"/>
        </w:rPr>
        <w:t>公路水运工程监理企业信用评价标准</w:t>
      </w:r>
    </w:p>
    <w:bookmarkEnd w:id="0"/>
    <w:p>
      <w:pPr>
        <w:rPr>
          <w:rFonts w:hint="eastAsia" w:ascii="宋体" w:hAnsi="宋体"/>
          <w:bCs/>
          <w:sz w:val="28"/>
        </w:rPr>
      </w:pPr>
    </w:p>
    <w:tbl>
      <w:tblPr>
        <w:tblStyle w:val="6"/>
        <w:tblW w:w="8646" w:type="dxa"/>
        <w:tblInd w:w="0" w:type="dxa"/>
        <w:tblLayout w:type="fixed"/>
        <w:tblCellMar>
          <w:top w:w="0" w:type="dxa"/>
          <w:left w:w="108" w:type="dxa"/>
          <w:bottom w:w="0" w:type="dxa"/>
          <w:right w:w="108" w:type="dxa"/>
        </w:tblCellMar>
      </w:tblPr>
      <w:tblGrid>
        <w:gridCol w:w="466"/>
        <w:gridCol w:w="961"/>
        <w:gridCol w:w="1323"/>
        <w:gridCol w:w="4185"/>
        <w:gridCol w:w="1711"/>
      </w:tblGrid>
      <w:tr>
        <w:tblPrEx>
          <w:tblLayout w:type="fixed"/>
          <w:tblCellMar>
            <w:top w:w="0" w:type="dxa"/>
            <w:left w:w="108" w:type="dxa"/>
            <w:bottom w:w="0" w:type="dxa"/>
            <w:right w:w="108" w:type="dxa"/>
          </w:tblCellMar>
        </w:tblPrEx>
        <w:trPr>
          <w:trHeight w:val="750" w:hRule="atLeast"/>
        </w:trPr>
        <w:tc>
          <w:tcPr>
            <w:tcW w:w="1427"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评价内容</w:t>
            </w:r>
          </w:p>
        </w:tc>
        <w:tc>
          <w:tcPr>
            <w:tcW w:w="132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失信行为代码</w:t>
            </w:r>
          </w:p>
        </w:tc>
        <w:tc>
          <w:tcPr>
            <w:tcW w:w="41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失信行为</w:t>
            </w:r>
          </w:p>
        </w:tc>
        <w:tc>
          <w:tcPr>
            <w:tcW w:w="17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信用等级或扣分标准</w:t>
            </w:r>
          </w:p>
        </w:tc>
      </w:tr>
      <w:tr>
        <w:tblPrEx>
          <w:tblLayout w:type="fixed"/>
          <w:tblCellMar>
            <w:top w:w="0" w:type="dxa"/>
            <w:left w:w="108" w:type="dxa"/>
            <w:bottom w:w="0" w:type="dxa"/>
            <w:right w:w="108" w:type="dxa"/>
          </w:tblCellMar>
        </w:tblPrEx>
        <w:trPr>
          <w:trHeight w:val="960" w:hRule="atLeast"/>
        </w:trPr>
        <w:tc>
          <w:tcPr>
            <w:tcW w:w="1427"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投标行为</w:t>
            </w:r>
          </w:p>
        </w:tc>
        <w:tc>
          <w:tcPr>
            <w:tcW w:w="132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JJX101001</w:t>
            </w:r>
          </w:p>
        </w:tc>
        <w:tc>
          <w:tcPr>
            <w:tcW w:w="4185"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宋体" w:hAnsi="宋体"/>
                <w:bCs/>
                <w:color w:val="000000"/>
                <w:sz w:val="24"/>
              </w:rPr>
            </w:pPr>
            <w:r>
              <w:rPr>
                <w:rFonts w:ascii="宋体" w:hAnsi="宋体"/>
                <w:bCs/>
                <w:color w:val="000000"/>
                <w:sz w:val="24"/>
              </w:rPr>
              <w:t>出借监理企业资质的</w:t>
            </w:r>
          </w:p>
        </w:tc>
        <w:tc>
          <w:tcPr>
            <w:tcW w:w="17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直接定为D级</w:t>
            </w:r>
          </w:p>
        </w:tc>
      </w:tr>
      <w:tr>
        <w:tblPrEx>
          <w:tblLayout w:type="fixed"/>
          <w:tblCellMar>
            <w:top w:w="0" w:type="dxa"/>
            <w:left w:w="108" w:type="dxa"/>
            <w:bottom w:w="0" w:type="dxa"/>
            <w:right w:w="108" w:type="dxa"/>
          </w:tblCellMar>
        </w:tblPrEx>
        <w:trPr>
          <w:trHeight w:val="1260" w:hRule="atLeast"/>
        </w:trPr>
        <w:tc>
          <w:tcPr>
            <w:tcW w:w="1427"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bCs/>
                <w:sz w:val="24"/>
              </w:rPr>
            </w:pPr>
          </w:p>
        </w:tc>
        <w:tc>
          <w:tcPr>
            <w:tcW w:w="132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JJX101002</w:t>
            </w:r>
          </w:p>
        </w:tc>
        <w:tc>
          <w:tcPr>
            <w:tcW w:w="4185"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宋体" w:hAnsi="宋体"/>
                <w:bCs/>
                <w:color w:val="000000"/>
                <w:sz w:val="24"/>
              </w:rPr>
            </w:pPr>
            <w:r>
              <w:rPr>
                <w:rFonts w:ascii="宋体" w:hAnsi="宋体"/>
                <w:bCs/>
                <w:color w:val="000000"/>
                <w:sz w:val="24"/>
              </w:rPr>
              <w:t>以他人名义或弄虚作假进行投标的，以向招标人或评标委员会成员行贿的手段谋取中标的，或串标、围标的</w:t>
            </w:r>
          </w:p>
        </w:tc>
        <w:tc>
          <w:tcPr>
            <w:tcW w:w="17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直接定为D级</w:t>
            </w:r>
          </w:p>
        </w:tc>
      </w:tr>
      <w:tr>
        <w:tblPrEx>
          <w:tblLayout w:type="fixed"/>
          <w:tblCellMar>
            <w:top w:w="0" w:type="dxa"/>
            <w:left w:w="108" w:type="dxa"/>
            <w:bottom w:w="0" w:type="dxa"/>
            <w:right w:w="108" w:type="dxa"/>
          </w:tblCellMar>
        </w:tblPrEx>
        <w:trPr>
          <w:trHeight w:val="1140" w:hRule="atLeast"/>
        </w:trPr>
        <w:tc>
          <w:tcPr>
            <w:tcW w:w="1427"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bCs/>
                <w:sz w:val="24"/>
              </w:rPr>
            </w:pPr>
          </w:p>
        </w:tc>
        <w:tc>
          <w:tcPr>
            <w:tcW w:w="132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JJX101003</w:t>
            </w:r>
          </w:p>
        </w:tc>
        <w:tc>
          <w:tcPr>
            <w:tcW w:w="4185"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宋体" w:hAnsi="宋体"/>
                <w:bCs/>
                <w:color w:val="000000"/>
                <w:sz w:val="24"/>
              </w:rPr>
            </w:pPr>
            <w:r>
              <w:rPr>
                <w:rFonts w:ascii="宋体" w:hAnsi="宋体"/>
                <w:bCs/>
                <w:color w:val="000000"/>
                <w:sz w:val="24"/>
              </w:rPr>
              <w:t>监理企业中标后无正当理由放弃中标的</w:t>
            </w:r>
          </w:p>
        </w:tc>
        <w:tc>
          <w:tcPr>
            <w:tcW w:w="17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在全国信用评价总分中扣5分/次</w:t>
            </w:r>
          </w:p>
        </w:tc>
      </w:tr>
      <w:tr>
        <w:tblPrEx>
          <w:tblLayout w:type="fixed"/>
          <w:tblCellMar>
            <w:top w:w="0" w:type="dxa"/>
            <w:left w:w="108" w:type="dxa"/>
            <w:bottom w:w="0" w:type="dxa"/>
            <w:right w:w="108" w:type="dxa"/>
          </w:tblCellMar>
        </w:tblPrEx>
        <w:trPr>
          <w:trHeight w:val="960" w:hRule="atLeast"/>
        </w:trPr>
        <w:tc>
          <w:tcPr>
            <w:tcW w:w="466"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r>
              <w:rPr>
                <w:rFonts w:ascii="宋体" w:hAnsi="宋体"/>
                <w:bCs/>
                <w:color w:val="000000"/>
                <w:sz w:val="24"/>
              </w:rPr>
              <w:t>履约行为</w:t>
            </w: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r>
              <w:rPr>
                <w:rFonts w:ascii="宋体" w:hAnsi="宋体"/>
                <w:bCs/>
                <w:color w:val="000000"/>
                <w:sz w:val="24"/>
              </w:rPr>
              <w:t>履约行为</w:t>
            </w: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r>
              <w:rPr>
                <w:rFonts w:ascii="宋体" w:hAnsi="宋体"/>
                <w:bCs/>
                <w:color w:val="000000"/>
                <w:sz w:val="24"/>
              </w:rPr>
              <w:t>履约行为</w:t>
            </w:r>
          </w:p>
        </w:tc>
        <w:tc>
          <w:tcPr>
            <w:tcW w:w="961"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r>
              <w:rPr>
                <w:rFonts w:ascii="宋体" w:hAnsi="宋体"/>
                <w:bCs/>
                <w:color w:val="000000"/>
                <w:sz w:val="24"/>
              </w:rPr>
              <w:t>严重不良行为</w:t>
            </w:r>
          </w:p>
        </w:tc>
        <w:tc>
          <w:tcPr>
            <w:tcW w:w="132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JJX101004</w:t>
            </w:r>
          </w:p>
        </w:tc>
        <w:tc>
          <w:tcPr>
            <w:tcW w:w="4185"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宋体" w:hAnsi="宋体"/>
                <w:bCs/>
                <w:color w:val="000000"/>
                <w:sz w:val="24"/>
              </w:rPr>
            </w:pPr>
            <w:r>
              <w:rPr>
                <w:rFonts w:ascii="宋体" w:hAnsi="宋体"/>
                <w:bCs/>
                <w:color w:val="000000"/>
                <w:sz w:val="24"/>
              </w:rPr>
              <w:t>分包、转包工程监理工作的</w:t>
            </w:r>
          </w:p>
        </w:tc>
        <w:tc>
          <w:tcPr>
            <w:tcW w:w="17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直接定为D级</w:t>
            </w:r>
          </w:p>
        </w:tc>
      </w:tr>
      <w:tr>
        <w:tblPrEx>
          <w:tblLayout w:type="fixed"/>
          <w:tblCellMar>
            <w:top w:w="0" w:type="dxa"/>
            <w:left w:w="108" w:type="dxa"/>
            <w:bottom w:w="0" w:type="dxa"/>
            <w:right w:w="108" w:type="dxa"/>
          </w:tblCellMar>
        </w:tblPrEx>
        <w:trPr>
          <w:trHeight w:val="960" w:hRule="atLeast"/>
        </w:trPr>
        <w:tc>
          <w:tcPr>
            <w:tcW w:w="466" w:type="dxa"/>
            <w:vMerge w:val="continue"/>
            <w:tcBorders>
              <w:top w:val="single" w:color="000000" w:sz="4" w:space="0"/>
              <w:left w:val="single" w:color="000000" w:sz="4" w:space="0"/>
              <w:bottom w:val="single" w:color="000000" w:sz="4" w:space="0"/>
              <w:right w:val="single" w:color="000000" w:sz="4" w:space="0"/>
            </w:tcBorders>
            <w:vAlign w:val="center"/>
          </w:tcPr>
          <w:p>
            <w:pPr>
              <w:rPr>
                <w:bCs/>
                <w:sz w:val="24"/>
              </w:rPr>
            </w:pPr>
          </w:p>
        </w:tc>
        <w:tc>
          <w:tcPr>
            <w:tcW w:w="961" w:type="dxa"/>
            <w:vMerge w:val="continue"/>
            <w:tcBorders>
              <w:top w:val="single" w:color="000000" w:sz="4" w:space="0"/>
              <w:left w:val="single" w:color="000000" w:sz="4" w:space="0"/>
              <w:bottom w:val="single" w:color="000000" w:sz="4" w:space="0"/>
              <w:right w:val="single" w:color="000000" w:sz="4" w:space="0"/>
            </w:tcBorders>
            <w:vAlign w:val="center"/>
          </w:tcPr>
          <w:p>
            <w:pPr>
              <w:rPr>
                <w:bCs/>
                <w:sz w:val="24"/>
              </w:rPr>
            </w:pPr>
          </w:p>
        </w:tc>
        <w:tc>
          <w:tcPr>
            <w:tcW w:w="132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JJX101005</w:t>
            </w:r>
          </w:p>
        </w:tc>
        <w:tc>
          <w:tcPr>
            <w:tcW w:w="4185"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宋体" w:hAnsi="宋体"/>
                <w:bCs/>
                <w:color w:val="000000"/>
                <w:sz w:val="24"/>
              </w:rPr>
            </w:pPr>
            <w:r>
              <w:rPr>
                <w:rFonts w:hint="eastAsia" w:ascii="宋体" w:hAnsi="宋体"/>
                <w:bCs/>
                <w:color w:val="000000"/>
                <w:sz w:val="24"/>
              </w:rPr>
              <w:t>弄虚作假，故意降低工程质量标准的</w:t>
            </w:r>
          </w:p>
        </w:tc>
        <w:tc>
          <w:tcPr>
            <w:tcW w:w="17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直接定为D级</w:t>
            </w:r>
          </w:p>
        </w:tc>
      </w:tr>
      <w:tr>
        <w:tblPrEx>
          <w:tblLayout w:type="fixed"/>
          <w:tblCellMar>
            <w:top w:w="0" w:type="dxa"/>
            <w:left w:w="108" w:type="dxa"/>
            <w:bottom w:w="0" w:type="dxa"/>
            <w:right w:w="108" w:type="dxa"/>
          </w:tblCellMar>
        </w:tblPrEx>
        <w:trPr>
          <w:trHeight w:val="1205" w:hRule="atLeast"/>
        </w:trPr>
        <w:tc>
          <w:tcPr>
            <w:tcW w:w="466" w:type="dxa"/>
            <w:vMerge w:val="continue"/>
            <w:tcBorders>
              <w:top w:val="single" w:color="000000" w:sz="4" w:space="0"/>
              <w:left w:val="single" w:color="000000" w:sz="4" w:space="0"/>
              <w:bottom w:val="single" w:color="000000" w:sz="4" w:space="0"/>
              <w:right w:val="single" w:color="000000" w:sz="4" w:space="0"/>
            </w:tcBorders>
            <w:vAlign w:val="center"/>
          </w:tcPr>
          <w:p>
            <w:pPr>
              <w:rPr>
                <w:bCs/>
                <w:sz w:val="24"/>
              </w:rPr>
            </w:pPr>
          </w:p>
        </w:tc>
        <w:tc>
          <w:tcPr>
            <w:tcW w:w="961" w:type="dxa"/>
            <w:vMerge w:val="continue"/>
            <w:tcBorders>
              <w:top w:val="single" w:color="000000" w:sz="4" w:space="0"/>
              <w:left w:val="single" w:color="000000" w:sz="4" w:space="0"/>
              <w:bottom w:val="single" w:color="000000" w:sz="4" w:space="0"/>
              <w:right w:val="single" w:color="000000" w:sz="4" w:space="0"/>
            </w:tcBorders>
            <w:vAlign w:val="center"/>
          </w:tcPr>
          <w:p>
            <w:pPr>
              <w:rPr>
                <w:bCs/>
                <w:sz w:val="24"/>
              </w:rPr>
            </w:pPr>
          </w:p>
        </w:tc>
        <w:tc>
          <w:tcPr>
            <w:tcW w:w="132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JJX101006</w:t>
            </w:r>
          </w:p>
        </w:tc>
        <w:tc>
          <w:tcPr>
            <w:tcW w:w="4185"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宋体" w:hAnsi="宋体"/>
                <w:bCs/>
                <w:color w:val="000000"/>
                <w:sz w:val="24"/>
              </w:rPr>
            </w:pPr>
            <w:r>
              <w:rPr>
                <w:rFonts w:ascii="宋体" w:hAnsi="宋体"/>
                <w:bCs/>
                <w:color w:val="000000"/>
                <w:sz w:val="24"/>
              </w:rPr>
              <w:t>在重大质量事故或较大及以上等级安全生产责任事故中，监理企业负有主要责任的</w:t>
            </w:r>
          </w:p>
        </w:tc>
        <w:tc>
          <w:tcPr>
            <w:tcW w:w="17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直接定为D级</w:t>
            </w:r>
          </w:p>
        </w:tc>
      </w:tr>
      <w:tr>
        <w:tblPrEx>
          <w:tblLayout w:type="fixed"/>
          <w:tblCellMar>
            <w:top w:w="0" w:type="dxa"/>
            <w:left w:w="108" w:type="dxa"/>
            <w:bottom w:w="0" w:type="dxa"/>
            <w:right w:w="108" w:type="dxa"/>
          </w:tblCellMar>
        </w:tblPrEx>
        <w:trPr>
          <w:trHeight w:val="1235" w:hRule="atLeast"/>
        </w:trPr>
        <w:tc>
          <w:tcPr>
            <w:tcW w:w="466" w:type="dxa"/>
            <w:vMerge w:val="continue"/>
            <w:tcBorders>
              <w:top w:val="single" w:color="000000" w:sz="4" w:space="0"/>
              <w:left w:val="single" w:color="000000" w:sz="4" w:space="0"/>
              <w:bottom w:val="single" w:color="000000" w:sz="4" w:space="0"/>
              <w:right w:val="single" w:color="000000" w:sz="4" w:space="0"/>
            </w:tcBorders>
            <w:vAlign w:val="center"/>
          </w:tcPr>
          <w:p>
            <w:pPr>
              <w:rPr>
                <w:bCs/>
                <w:sz w:val="24"/>
              </w:rPr>
            </w:pPr>
          </w:p>
        </w:tc>
        <w:tc>
          <w:tcPr>
            <w:tcW w:w="961" w:type="dxa"/>
            <w:vMerge w:val="continue"/>
            <w:tcBorders>
              <w:top w:val="single" w:color="000000" w:sz="4" w:space="0"/>
              <w:left w:val="single" w:color="000000" w:sz="4" w:space="0"/>
              <w:bottom w:val="single" w:color="000000" w:sz="4" w:space="0"/>
              <w:right w:val="single" w:color="000000" w:sz="4" w:space="0"/>
            </w:tcBorders>
            <w:vAlign w:val="center"/>
          </w:tcPr>
          <w:p>
            <w:pPr>
              <w:rPr>
                <w:bCs/>
                <w:sz w:val="24"/>
              </w:rPr>
            </w:pPr>
          </w:p>
        </w:tc>
        <w:tc>
          <w:tcPr>
            <w:tcW w:w="132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JJX101007</w:t>
            </w:r>
          </w:p>
        </w:tc>
        <w:tc>
          <w:tcPr>
            <w:tcW w:w="4185"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宋体" w:hAnsi="宋体"/>
                <w:bCs/>
                <w:color w:val="000000"/>
                <w:sz w:val="24"/>
              </w:rPr>
            </w:pPr>
            <w:r>
              <w:rPr>
                <w:rFonts w:ascii="宋体" w:hAnsi="宋体"/>
                <w:bCs/>
                <w:color w:val="000000"/>
                <w:sz w:val="24"/>
              </w:rPr>
              <w:t>在重大质量事故或较大及以上等级安全生产责任事故中，监理企业负有责任的</w:t>
            </w:r>
          </w:p>
        </w:tc>
        <w:tc>
          <w:tcPr>
            <w:tcW w:w="17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20分∕次</w:t>
            </w:r>
          </w:p>
        </w:tc>
      </w:tr>
      <w:tr>
        <w:tblPrEx>
          <w:tblLayout w:type="fixed"/>
          <w:tblCellMar>
            <w:top w:w="0" w:type="dxa"/>
            <w:left w:w="108" w:type="dxa"/>
            <w:bottom w:w="0" w:type="dxa"/>
            <w:right w:w="108" w:type="dxa"/>
          </w:tblCellMar>
        </w:tblPrEx>
        <w:trPr>
          <w:trHeight w:val="960" w:hRule="atLeast"/>
        </w:trPr>
        <w:tc>
          <w:tcPr>
            <w:tcW w:w="466" w:type="dxa"/>
            <w:vMerge w:val="continue"/>
            <w:tcBorders>
              <w:top w:val="single" w:color="000000" w:sz="4" w:space="0"/>
              <w:left w:val="single" w:color="000000" w:sz="4" w:space="0"/>
              <w:bottom w:val="single" w:color="000000" w:sz="4" w:space="0"/>
              <w:right w:val="single" w:color="000000" w:sz="4" w:space="0"/>
            </w:tcBorders>
            <w:vAlign w:val="center"/>
          </w:tcPr>
          <w:p>
            <w:pPr>
              <w:rPr>
                <w:bCs/>
                <w:sz w:val="24"/>
              </w:rPr>
            </w:pPr>
          </w:p>
        </w:tc>
        <w:tc>
          <w:tcPr>
            <w:tcW w:w="961"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r>
              <w:rPr>
                <w:rFonts w:ascii="宋体" w:hAnsi="宋体"/>
                <w:bCs/>
                <w:color w:val="000000"/>
                <w:sz w:val="24"/>
              </w:rPr>
              <w:t>质量、安全生产、环保监理</w:t>
            </w: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r>
              <w:rPr>
                <w:rFonts w:ascii="宋体" w:hAnsi="宋体"/>
                <w:bCs/>
                <w:color w:val="000000"/>
                <w:sz w:val="24"/>
              </w:rPr>
              <w:t>质量、安全生产、环保监理</w:t>
            </w:r>
          </w:p>
        </w:tc>
        <w:tc>
          <w:tcPr>
            <w:tcW w:w="132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JJX101008</w:t>
            </w:r>
          </w:p>
        </w:tc>
        <w:tc>
          <w:tcPr>
            <w:tcW w:w="4185"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宋体" w:hAnsi="宋体"/>
                <w:bCs/>
                <w:color w:val="000000"/>
                <w:sz w:val="24"/>
              </w:rPr>
            </w:pPr>
            <w:r>
              <w:rPr>
                <w:rFonts w:ascii="宋体" w:hAnsi="宋体"/>
                <w:bCs/>
                <w:color w:val="000000"/>
                <w:sz w:val="24"/>
              </w:rPr>
              <w:t>将不合格的单位、分部、分项工程、工序按照合格签字的</w:t>
            </w:r>
          </w:p>
        </w:tc>
        <w:tc>
          <w:tcPr>
            <w:tcW w:w="17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1</w:t>
            </w:r>
            <w:r>
              <w:rPr>
                <w:rFonts w:hint="eastAsia" w:ascii="宋体" w:hAnsi="宋体"/>
                <w:bCs/>
                <w:color w:val="000000"/>
                <w:sz w:val="24"/>
              </w:rPr>
              <w:t>5</w:t>
            </w:r>
            <w:r>
              <w:rPr>
                <w:rFonts w:ascii="宋体" w:hAnsi="宋体"/>
                <w:bCs/>
                <w:color w:val="000000"/>
                <w:sz w:val="24"/>
              </w:rPr>
              <w:t>分∕次</w:t>
            </w:r>
          </w:p>
        </w:tc>
      </w:tr>
      <w:tr>
        <w:tblPrEx>
          <w:tblLayout w:type="fixed"/>
          <w:tblCellMar>
            <w:top w:w="0" w:type="dxa"/>
            <w:left w:w="108" w:type="dxa"/>
            <w:bottom w:w="0" w:type="dxa"/>
            <w:right w:w="108" w:type="dxa"/>
          </w:tblCellMar>
        </w:tblPrEx>
        <w:trPr>
          <w:trHeight w:val="960" w:hRule="atLeast"/>
        </w:trPr>
        <w:tc>
          <w:tcPr>
            <w:tcW w:w="466" w:type="dxa"/>
            <w:vMerge w:val="continue"/>
            <w:tcBorders>
              <w:top w:val="single" w:color="000000" w:sz="4" w:space="0"/>
              <w:left w:val="single" w:color="000000" w:sz="4" w:space="0"/>
              <w:bottom w:val="single" w:color="000000" w:sz="4" w:space="0"/>
              <w:right w:val="single" w:color="000000" w:sz="4" w:space="0"/>
            </w:tcBorders>
            <w:vAlign w:val="center"/>
          </w:tcPr>
          <w:p>
            <w:pPr>
              <w:rPr>
                <w:bCs/>
                <w:sz w:val="24"/>
              </w:rPr>
            </w:pPr>
          </w:p>
        </w:tc>
        <w:tc>
          <w:tcPr>
            <w:tcW w:w="961" w:type="dxa"/>
            <w:vMerge w:val="continue"/>
            <w:tcBorders>
              <w:left w:val="single" w:color="000000" w:sz="4" w:space="0"/>
              <w:right w:val="single" w:color="000000" w:sz="4" w:space="0"/>
            </w:tcBorders>
            <w:vAlign w:val="center"/>
          </w:tcPr>
          <w:p>
            <w:pPr>
              <w:autoSpaceDN w:val="0"/>
              <w:jc w:val="center"/>
              <w:textAlignment w:val="center"/>
              <w:rPr>
                <w:rFonts w:ascii="宋体" w:hAnsi="宋体"/>
                <w:bCs/>
                <w:color w:val="000000"/>
                <w:sz w:val="24"/>
              </w:rPr>
            </w:pPr>
          </w:p>
        </w:tc>
        <w:tc>
          <w:tcPr>
            <w:tcW w:w="132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JJX10100</w:t>
            </w:r>
            <w:r>
              <w:rPr>
                <w:rFonts w:hint="eastAsia" w:ascii="宋体" w:hAnsi="宋体"/>
                <w:bCs/>
                <w:color w:val="000000"/>
                <w:sz w:val="24"/>
              </w:rPr>
              <w:t>9</w:t>
            </w:r>
          </w:p>
        </w:tc>
        <w:tc>
          <w:tcPr>
            <w:tcW w:w="4185"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宋体" w:hAnsi="宋体"/>
                <w:bCs/>
                <w:color w:val="000000"/>
                <w:sz w:val="24"/>
              </w:rPr>
            </w:pPr>
            <w:r>
              <w:rPr>
                <w:rFonts w:ascii="宋体" w:hAnsi="宋体"/>
                <w:bCs/>
                <w:color w:val="000000"/>
                <w:sz w:val="24"/>
              </w:rPr>
              <w:t>将不合格的建筑材料、建筑构配件或设备按照合格签字的</w:t>
            </w:r>
          </w:p>
        </w:tc>
        <w:tc>
          <w:tcPr>
            <w:tcW w:w="17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10分∕次</w:t>
            </w:r>
          </w:p>
        </w:tc>
      </w:tr>
      <w:tr>
        <w:tblPrEx>
          <w:tblLayout w:type="fixed"/>
          <w:tblCellMar>
            <w:top w:w="0" w:type="dxa"/>
            <w:left w:w="108" w:type="dxa"/>
            <w:bottom w:w="0" w:type="dxa"/>
            <w:right w:w="108" w:type="dxa"/>
          </w:tblCellMar>
        </w:tblPrEx>
        <w:trPr>
          <w:trHeight w:val="1260" w:hRule="atLeast"/>
        </w:trPr>
        <w:tc>
          <w:tcPr>
            <w:tcW w:w="466" w:type="dxa"/>
            <w:vMerge w:val="continue"/>
            <w:tcBorders>
              <w:top w:val="single" w:color="000000" w:sz="4" w:space="0"/>
              <w:left w:val="single" w:color="000000" w:sz="4" w:space="0"/>
              <w:bottom w:val="single" w:color="000000" w:sz="4" w:space="0"/>
              <w:right w:val="single" w:color="000000" w:sz="4" w:space="0"/>
            </w:tcBorders>
            <w:vAlign w:val="center"/>
          </w:tcPr>
          <w:p>
            <w:pPr>
              <w:rPr>
                <w:bCs/>
                <w:sz w:val="24"/>
              </w:rPr>
            </w:pPr>
          </w:p>
        </w:tc>
        <w:tc>
          <w:tcPr>
            <w:tcW w:w="961" w:type="dxa"/>
            <w:vMerge w:val="continue"/>
            <w:tcBorders>
              <w:top w:val="single" w:color="000000" w:sz="4" w:space="0"/>
              <w:left w:val="single" w:color="000000" w:sz="4" w:space="0"/>
              <w:bottom w:val="single" w:color="000000" w:sz="4" w:space="0"/>
              <w:right w:val="single" w:color="000000" w:sz="4" w:space="0"/>
            </w:tcBorders>
            <w:vAlign w:val="center"/>
          </w:tcPr>
          <w:p>
            <w:pPr>
              <w:rPr>
                <w:bCs/>
                <w:sz w:val="24"/>
              </w:rPr>
            </w:pPr>
          </w:p>
        </w:tc>
        <w:tc>
          <w:tcPr>
            <w:tcW w:w="132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JJX1010</w:t>
            </w:r>
            <w:r>
              <w:rPr>
                <w:rFonts w:hint="eastAsia" w:ascii="宋体" w:hAnsi="宋体"/>
                <w:bCs/>
                <w:color w:val="000000"/>
                <w:sz w:val="24"/>
              </w:rPr>
              <w:t>10</w:t>
            </w:r>
          </w:p>
        </w:tc>
        <w:tc>
          <w:tcPr>
            <w:tcW w:w="4185"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宋体" w:hAnsi="宋体"/>
                <w:bCs/>
                <w:color w:val="000000"/>
                <w:sz w:val="24"/>
              </w:rPr>
            </w:pPr>
            <w:r>
              <w:rPr>
                <w:rFonts w:ascii="宋体" w:hAnsi="宋体"/>
                <w:bCs/>
                <w:color w:val="000000"/>
                <w:sz w:val="24"/>
              </w:rPr>
              <w:t>在环保事件中负有责任的</w:t>
            </w:r>
          </w:p>
        </w:tc>
        <w:tc>
          <w:tcPr>
            <w:tcW w:w="17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10分∕次</w:t>
            </w:r>
          </w:p>
        </w:tc>
      </w:tr>
      <w:tr>
        <w:tblPrEx>
          <w:tblLayout w:type="fixed"/>
          <w:tblCellMar>
            <w:top w:w="0" w:type="dxa"/>
            <w:left w:w="108" w:type="dxa"/>
            <w:bottom w:w="0" w:type="dxa"/>
            <w:right w:w="108" w:type="dxa"/>
          </w:tblCellMar>
        </w:tblPrEx>
        <w:trPr>
          <w:trHeight w:val="632" w:hRule="atLeast"/>
        </w:trPr>
        <w:tc>
          <w:tcPr>
            <w:tcW w:w="466" w:type="dxa"/>
            <w:vMerge w:val="continue"/>
            <w:tcBorders>
              <w:top w:val="single" w:color="000000" w:sz="4" w:space="0"/>
              <w:left w:val="single" w:color="000000" w:sz="4" w:space="0"/>
              <w:bottom w:val="single" w:color="000000" w:sz="4" w:space="0"/>
              <w:right w:val="single" w:color="000000" w:sz="4" w:space="0"/>
            </w:tcBorders>
            <w:vAlign w:val="center"/>
          </w:tcPr>
          <w:p>
            <w:pPr>
              <w:rPr>
                <w:bCs/>
                <w:sz w:val="24"/>
              </w:rPr>
            </w:pPr>
          </w:p>
        </w:tc>
        <w:tc>
          <w:tcPr>
            <w:tcW w:w="961" w:type="dxa"/>
            <w:vMerge w:val="continue"/>
            <w:tcBorders>
              <w:top w:val="single" w:color="000000" w:sz="4" w:space="0"/>
              <w:left w:val="single" w:color="000000" w:sz="4" w:space="0"/>
              <w:bottom w:val="single" w:color="000000" w:sz="4" w:space="0"/>
              <w:right w:val="single" w:color="000000" w:sz="4" w:space="0"/>
            </w:tcBorders>
            <w:vAlign w:val="center"/>
          </w:tcPr>
          <w:p>
            <w:pPr>
              <w:rPr>
                <w:bCs/>
                <w:sz w:val="24"/>
              </w:rPr>
            </w:pPr>
          </w:p>
        </w:tc>
        <w:tc>
          <w:tcPr>
            <w:tcW w:w="132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JJX10101</w:t>
            </w:r>
            <w:r>
              <w:rPr>
                <w:rFonts w:hint="eastAsia" w:ascii="宋体" w:hAnsi="宋体"/>
                <w:bCs/>
                <w:color w:val="000000"/>
                <w:sz w:val="24"/>
              </w:rPr>
              <w:t>1</w:t>
            </w:r>
          </w:p>
        </w:tc>
        <w:tc>
          <w:tcPr>
            <w:tcW w:w="4185"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宋体" w:hAnsi="宋体"/>
                <w:bCs/>
                <w:color w:val="000000"/>
                <w:sz w:val="24"/>
              </w:rPr>
            </w:pPr>
            <w:r>
              <w:rPr>
                <w:rFonts w:ascii="宋体" w:hAnsi="宋体"/>
                <w:bCs/>
                <w:color w:val="000000"/>
                <w:sz w:val="24"/>
              </w:rPr>
              <w:t>在一般质量事故或安全生产责任事故中，监理</w:t>
            </w:r>
            <w:r>
              <w:rPr>
                <w:rFonts w:hint="eastAsia" w:ascii="宋体" w:hAnsi="宋体"/>
                <w:bCs/>
                <w:color w:val="000000"/>
                <w:sz w:val="24"/>
              </w:rPr>
              <w:t>企业</w:t>
            </w:r>
            <w:r>
              <w:rPr>
                <w:rFonts w:ascii="宋体" w:hAnsi="宋体"/>
                <w:bCs/>
                <w:color w:val="000000"/>
                <w:sz w:val="24"/>
              </w:rPr>
              <w:t>负有责任的</w:t>
            </w:r>
          </w:p>
        </w:tc>
        <w:tc>
          <w:tcPr>
            <w:tcW w:w="17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10分∕次</w:t>
            </w:r>
          </w:p>
        </w:tc>
      </w:tr>
      <w:tr>
        <w:tblPrEx>
          <w:tblLayout w:type="fixed"/>
          <w:tblCellMar>
            <w:top w:w="0" w:type="dxa"/>
            <w:left w:w="108" w:type="dxa"/>
            <w:bottom w:w="0" w:type="dxa"/>
            <w:right w:w="108" w:type="dxa"/>
          </w:tblCellMar>
        </w:tblPrEx>
        <w:trPr>
          <w:trHeight w:val="1440" w:hRule="atLeast"/>
        </w:trPr>
        <w:tc>
          <w:tcPr>
            <w:tcW w:w="466" w:type="dxa"/>
            <w:vMerge w:val="continue"/>
            <w:tcBorders>
              <w:top w:val="single" w:color="000000" w:sz="4" w:space="0"/>
              <w:left w:val="single" w:color="000000" w:sz="4" w:space="0"/>
              <w:bottom w:val="single" w:color="000000" w:sz="4" w:space="0"/>
              <w:right w:val="single" w:color="000000" w:sz="4" w:space="0"/>
            </w:tcBorders>
            <w:vAlign w:val="center"/>
          </w:tcPr>
          <w:p>
            <w:pPr>
              <w:rPr>
                <w:bCs/>
                <w:sz w:val="24"/>
              </w:rPr>
            </w:pPr>
          </w:p>
        </w:tc>
        <w:tc>
          <w:tcPr>
            <w:tcW w:w="961" w:type="dxa"/>
            <w:vMerge w:val="continue"/>
            <w:tcBorders>
              <w:top w:val="single" w:color="000000" w:sz="4" w:space="0"/>
              <w:left w:val="single" w:color="000000" w:sz="4" w:space="0"/>
              <w:bottom w:val="single" w:color="000000" w:sz="4" w:space="0"/>
              <w:right w:val="single" w:color="000000" w:sz="4" w:space="0"/>
            </w:tcBorders>
            <w:vAlign w:val="center"/>
          </w:tcPr>
          <w:p>
            <w:pPr>
              <w:rPr>
                <w:bCs/>
                <w:sz w:val="24"/>
              </w:rPr>
            </w:pPr>
          </w:p>
        </w:tc>
        <w:tc>
          <w:tcPr>
            <w:tcW w:w="132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JJX10101</w:t>
            </w:r>
            <w:r>
              <w:rPr>
                <w:rFonts w:hint="eastAsia" w:ascii="宋体" w:hAnsi="宋体"/>
                <w:bCs/>
                <w:color w:val="000000"/>
                <w:sz w:val="24"/>
              </w:rPr>
              <w:t>2</w:t>
            </w:r>
          </w:p>
        </w:tc>
        <w:tc>
          <w:tcPr>
            <w:tcW w:w="4185"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宋体" w:hAnsi="宋体"/>
                <w:bCs/>
                <w:color w:val="000000"/>
                <w:sz w:val="24"/>
              </w:rPr>
            </w:pPr>
            <w:r>
              <w:rPr>
                <w:rFonts w:ascii="宋体" w:hAnsi="宋体"/>
                <w:bCs/>
                <w:color w:val="000000"/>
                <w:sz w:val="24"/>
              </w:rPr>
              <w:t>工程项目出现重大安全生产事故隐患，监理</w:t>
            </w:r>
            <w:r>
              <w:rPr>
                <w:rFonts w:hint="eastAsia" w:ascii="宋体" w:hAnsi="宋体"/>
                <w:bCs/>
                <w:color w:val="000000"/>
                <w:sz w:val="24"/>
              </w:rPr>
              <w:t>企业</w:t>
            </w:r>
            <w:r>
              <w:rPr>
                <w:rFonts w:ascii="宋体" w:hAnsi="宋体"/>
                <w:bCs/>
                <w:color w:val="000000"/>
                <w:sz w:val="24"/>
              </w:rPr>
              <w:t>负有责任的</w:t>
            </w:r>
          </w:p>
        </w:tc>
        <w:tc>
          <w:tcPr>
            <w:tcW w:w="17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6分/次</w:t>
            </w:r>
          </w:p>
        </w:tc>
      </w:tr>
      <w:tr>
        <w:tblPrEx>
          <w:tblLayout w:type="fixed"/>
          <w:tblCellMar>
            <w:top w:w="0" w:type="dxa"/>
            <w:left w:w="108" w:type="dxa"/>
            <w:bottom w:w="0" w:type="dxa"/>
            <w:right w:w="108" w:type="dxa"/>
          </w:tblCellMar>
        </w:tblPrEx>
        <w:trPr>
          <w:trHeight w:val="960" w:hRule="atLeast"/>
        </w:trPr>
        <w:tc>
          <w:tcPr>
            <w:tcW w:w="466" w:type="dxa"/>
            <w:vMerge w:val="continue"/>
            <w:tcBorders>
              <w:top w:val="single" w:color="000000" w:sz="4" w:space="0"/>
              <w:left w:val="single" w:color="000000" w:sz="4" w:space="0"/>
              <w:bottom w:val="single" w:color="000000" w:sz="4" w:space="0"/>
              <w:right w:val="single" w:color="000000" w:sz="4" w:space="0"/>
            </w:tcBorders>
            <w:vAlign w:val="center"/>
          </w:tcPr>
          <w:p>
            <w:pPr>
              <w:rPr>
                <w:bCs/>
                <w:sz w:val="24"/>
              </w:rPr>
            </w:pPr>
          </w:p>
        </w:tc>
        <w:tc>
          <w:tcPr>
            <w:tcW w:w="961" w:type="dxa"/>
            <w:vMerge w:val="continue"/>
            <w:tcBorders>
              <w:top w:val="single" w:color="000000" w:sz="4" w:space="0"/>
              <w:left w:val="single" w:color="000000" w:sz="4" w:space="0"/>
              <w:bottom w:val="single" w:color="000000" w:sz="4" w:space="0"/>
              <w:right w:val="single" w:color="000000" w:sz="4" w:space="0"/>
            </w:tcBorders>
            <w:vAlign w:val="center"/>
          </w:tcPr>
          <w:p>
            <w:pPr>
              <w:rPr>
                <w:bCs/>
                <w:sz w:val="24"/>
              </w:rPr>
            </w:pPr>
          </w:p>
        </w:tc>
        <w:tc>
          <w:tcPr>
            <w:tcW w:w="132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JJX10101</w:t>
            </w:r>
            <w:r>
              <w:rPr>
                <w:rFonts w:hint="eastAsia" w:ascii="宋体" w:hAnsi="宋体"/>
                <w:bCs/>
                <w:color w:val="000000"/>
                <w:sz w:val="24"/>
              </w:rPr>
              <w:t>3</w:t>
            </w:r>
          </w:p>
        </w:tc>
        <w:tc>
          <w:tcPr>
            <w:tcW w:w="4185"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宋体" w:hAnsi="宋体"/>
                <w:bCs/>
                <w:color w:val="000000"/>
                <w:sz w:val="24"/>
              </w:rPr>
            </w:pPr>
            <w:r>
              <w:rPr>
                <w:rFonts w:ascii="宋体" w:hAnsi="宋体"/>
                <w:bCs/>
                <w:color w:val="000000"/>
                <w:sz w:val="24"/>
              </w:rPr>
              <w:t>工程项目出现质量问题，监理</w:t>
            </w:r>
            <w:r>
              <w:rPr>
                <w:rFonts w:hint="eastAsia" w:ascii="宋体" w:hAnsi="宋体"/>
                <w:bCs/>
                <w:color w:val="000000"/>
                <w:sz w:val="24"/>
              </w:rPr>
              <w:t>企业</w:t>
            </w:r>
            <w:r>
              <w:rPr>
                <w:rFonts w:ascii="宋体" w:hAnsi="宋体"/>
                <w:bCs/>
                <w:color w:val="000000"/>
                <w:sz w:val="24"/>
              </w:rPr>
              <w:t>负有责任的</w:t>
            </w:r>
          </w:p>
        </w:tc>
        <w:tc>
          <w:tcPr>
            <w:tcW w:w="17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5分/次</w:t>
            </w:r>
          </w:p>
        </w:tc>
      </w:tr>
      <w:tr>
        <w:tblPrEx>
          <w:tblLayout w:type="fixed"/>
          <w:tblCellMar>
            <w:top w:w="0" w:type="dxa"/>
            <w:left w:w="108" w:type="dxa"/>
            <w:bottom w:w="0" w:type="dxa"/>
            <w:right w:w="108" w:type="dxa"/>
          </w:tblCellMar>
        </w:tblPrEx>
        <w:trPr>
          <w:trHeight w:val="960" w:hRule="atLeast"/>
        </w:trPr>
        <w:tc>
          <w:tcPr>
            <w:tcW w:w="466" w:type="dxa"/>
            <w:vMerge w:val="continue"/>
            <w:tcBorders>
              <w:top w:val="single" w:color="000000" w:sz="4" w:space="0"/>
              <w:left w:val="single" w:color="000000" w:sz="4" w:space="0"/>
              <w:bottom w:val="single" w:color="000000" w:sz="4" w:space="0"/>
              <w:right w:val="single" w:color="000000" w:sz="4" w:space="0"/>
            </w:tcBorders>
            <w:vAlign w:val="center"/>
          </w:tcPr>
          <w:p>
            <w:pPr>
              <w:rPr>
                <w:bCs/>
                <w:sz w:val="24"/>
              </w:rPr>
            </w:pPr>
          </w:p>
        </w:tc>
        <w:tc>
          <w:tcPr>
            <w:tcW w:w="961" w:type="dxa"/>
            <w:vMerge w:val="continue"/>
            <w:tcBorders>
              <w:top w:val="single" w:color="000000" w:sz="4" w:space="0"/>
              <w:left w:val="single" w:color="000000" w:sz="4" w:space="0"/>
              <w:bottom w:val="single" w:color="000000" w:sz="4" w:space="0"/>
              <w:right w:val="single" w:color="000000" w:sz="4" w:space="0"/>
            </w:tcBorders>
            <w:vAlign w:val="center"/>
          </w:tcPr>
          <w:p>
            <w:pPr>
              <w:rPr>
                <w:bCs/>
                <w:sz w:val="24"/>
              </w:rPr>
            </w:pPr>
          </w:p>
        </w:tc>
        <w:tc>
          <w:tcPr>
            <w:tcW w:w="132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JJX10101</w:t>
            </w:r>
            <w:r>
              <w:rPr>
                <w:rFonts w:hint="eastAsia" w:ascii="宋体" w:hAnsi="宋体"/>
                <w:bCs/>
                <w:color w:val="000000"/>
                <w:sz w:val="24"/>
              </w:rPr>
              <w:t>4</w:t>
            </w:r>
          </w:p>
        </w:tc>
        <w:tc>
          <w:tcPr>
            <w:tcW w:w="4185"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宋体" w:hAnsi="宋体"/>
                <w:bCs/>
                <w:color w:val="000000"/>
                <w:sz w:val="24"/>
              </w:rPr>
            </w:pPr>
            <w:r>
              <w:rPr>
                <w:rFonts w:ascii="宋体" w:hAnsi="宋体"/>
                <w:bCs/>
                <w:color w:val="000000"/>
                <w:sz w:val="24"/>
              </w:rPr>
              <w:t>对交通运输主管部门或质量监督机构检查（督查）提出的监理问题未整改、整改不及时或经整改达不到要求的</w:t>
            </w:r>
          </w:p>
        </w:tc>
        <w:tc>
          <w:tcPr>
            <w:tcW w:w="17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5分/次</w:t>
            </w:r>
          </w:p>
        </w:tc>
      </w:tr>
      <w:tr>
        <w:tblPrEx>
          <w:tblLayout w:type="fixed"/>
          <w:tblCellMar>
            <w:top w:w="0" w:type="dxa"/>
            <w:left w:w="108" w:type="dxa"/>
            <w:bottom w:w="0" w:type="dxa"/>
            <w:right w:w="108" w:type="dxa"/>
          </w:tblCellMar>
        </w:tblPrEx>
        <w:trPr>
          <w:trHeight w:val="1560" w:hRule="atLeast"/>
        </w:trPr>
        <w:tc>
          <w:tcPr>
            <w:tcW w:w="466" w:type="dxa"/>
            <w:vMerge w:val="continue"/>
            <w:tcBorders>
              <w:top w:val="single" w:color="000000" w:sz="4" w:space="0"/>
              <w:left w:val="single" w:color="000000" w:sz="4" w:space="0"/>
              <w:bottom w:val="single" w:color="000000" w:sz="4" w:space="0"/>
              <w:right w:val="single" w:color="000000" w:sz="4" w:space="0"/>
            </w:tcBorders>
            <w:vAlign w:val="center"/>
          </w:tcPr>
          <w:p>
            <w:pPr>
              <w:rPr>
                <w:bCs/>
                <w:sz w:val="24"/>
              </w:rPr>
            </w:pPr>
          </w:p>
        </w:tc>
        <w:tc>
          <w:tcPr>
            <w:tcW w:w="961" w:type="dxa"/>
            <w:vMerge w:val="continue"/>
            <w:tcBorders>
              <w:top w:val="single" w:color="000000" w:sz="4" w:space="0"/>
              <w:left w:val="single" w:color="000000" w:sz="4" w:space="0"/>
              <w:bottom w:val="single" w:color="000000" w:sz="4" w:space="0"/>
              <w:right w:val="single" w:color="000000" w:sz="4" w:space="0"/>
            </w:tcBorders>
            <w:vAlign w:val="center"/>
          </w:tcPr>
          <w:p>
            <w:pPr>
              <w:rPr>
                <w:bCs/>
                <w:sz w:val="24"/>
              </w:rPr>
            </w:pPr>
          </w:p>
        </w:tc>
        <w:tc>
          <w:tcPr>
            <w:tcW w:w="132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JJX10101</w:t>
            </w:r>
            <w:r>
              <w:rPr>
                <w:rFonts w:hint="eastAsia" w:ascii="宋体" w:hAnsi="宋体"/>
                <w:bCs/>
                <w:color w:val="000000"/>
                <w:sz w:val="24"/>
              </w:rPr>
              <w:t>5</w:t>
            </w:r>
          </w:p>
        </w:tc>
        <w:tc>
          <w:tcPr>
            <w:tcW w:w="4185"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宋体" w:hAnsi="宋体"/>
                <w:bCs/>
                <w:color w:val="000000"/>
                <w:sz w:val="24"/>
              </w:rPr>
            </w:pPr>
            <w:r>
              <w:rPr>
                <w:rFonts w:ascii="宋体" w:hAnsi="宋体"/>
                <w:bCs/>
                <w:color w:val="000000"/>
                <w:sz w:val="24"/>
              </w:rPr>
              <w:t>未</w:t>
            </w:r>
            <w:r>
              <w:rPr>
                <w:rFonts w:hint="eastAsia" w:ascii="宋体" w:hAnsi="宋体"/>
                <w:bCs/>
                <w:color w:val="000000"/>
                <w:sz w:val="24"/>
              </w:rPr>
              <w:t>按规定</w:t>
            </w:r>
            <w:r>
              <w:rPr>
                <w:rFonts w:ascii="宋体" w:hAnsi="宋体"/>
                <w:bCs/>
                <w:color w:val="000000"/>
                <w:sz w:val="24"/>
              </w:rPr>
              <w:t>对施工组织设计、专项施工方案等进行审批的，或监理计划（规划）、监理实施细则未按规定审批的</w:t>
            </w:r>
          </w:p>
        </w:tc>
        <w:tc>
          <w:tcPr>
            <w:tcW w:w="17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5分/次</w:t>
            </w:r>
          </w:p>
        </w:tc>
      </w:tr>
      <w:tr>
        <w:tblPrEx>
          <w:tblLayout w:type="fixed"/>
          <w:tblCellMar>
            <w:top w:w="0" w:type="dxa"/>
            <w:left w:w="108" w:type="dxa"/>
            <w:bottom w:w="0" w:type="dxa"/>
            <w:right w:w="108" w:type="dxa"/>
          </w:tblCellMar>
        </w:tblPrEx>
        <w:trPr>
          <w:trHeight w:val="1170" w:hRule="atLeast"/>
        </w:trPr>
        <w:tc>
          <w:tcPr>
            <w:tcW w:w="466" w:type="dxa"/>
            <w:vMerge w:val="continue"/>
            <w:tcBorders>
              <w:top w:val="single" w:color="000000" w:sz="4" w:space="0"/>
              <w:left w:val="single" w:color="000000" w:sz="4" w:space="0"/>
              <w:bottom w:val="single" w:color="000000" w:sz="4" w:space="0"/>
              <w:right w:val="single" w:color="000000" w:sz="4" w:space="0"/>
            </w:tcBorders>
            <w:vAlign w:val="center"/>
          </w:tcPr>
          <w:p>
            <w:pPr>
              <w:rPr>
                <w:bCs/>
                <w:sz w:val="24"/>
              </w:rPr>
            </w:pPr>
          </w:p>
        </w:tc>
        <w:tc>
          <w:tcPr>
            <w:tcW w:w="961" w:type="dxa"/>
            <w:vMerge w:val="continue"/>
            <w:tcBorders>
              <w:top w:val="single" w:color="000000" w:sz="4" w:space="0"/>
              <w:left w:val="single" w:color="000000" w:sz="4" w:space="0"/>
              <w:bottom w:val="single" w:color="000000" w:sz="4" w:space="0"/>
              <w:right w:val="single" w:color="000000" w:sz="4" w:space="0"/>
            </w:tcBorders>
            <w:vAlign w:val="center"/>
          </w:tcPr>
          <w:p>
            <w:pPr>
              <w:rPr>
                <w:bCs/>
                <w:sz w:val="24"/>
              </w:rPr>
            </w:pPr>
          </w:p>
        </w:tc>
        <w:tc>
          <w:tcPr>
            <w:tcW w:w="132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JJX10101</w:t>
            </w:r>
            <w:r>
              <w:rPr>
                <w:rFonts w:hint="eastAsia" w:ascii="宋体" w:hAnsi="宋体"/>
                <w:bCs/>
                <w:color w:val="000000"/>
                <w:sz w:val="24"/>
              </w:rPr>
              <w:t>6</w:t>
            </w:r>
          </w:p>
        </w:tc>
        <w:tc>
          <w:tcPr>
            <w:tcW w:w="41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bCs/>
                <w:color w:val="000000"/>
                <w:sz w:val="24"/>
              </w:rPr>
            </w:pPr>
            <w:r>
              <w:rPr>
                <w:rFonts w:ascii="宋体" w:hAnsi="宋体"/>
                <w:bCs/>
                <w:color w:val="000000"/>
                <w:sz w:val="24"/>
              </w:rPr>
              <w:t>未按规定进行隐蔽工程验收或进行中间交工验收和质量评定的</w:t>
            </w:r>
          </w:p>
        </w:tc>
        <w:tc>
          <w:tcPr>
            <w:tcW w:w="17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5分/次</w:t>
            </w:r>
          </w:p>
        </w:tc>
      </w:tr>
      <w:tr>
        <w:tblPrEx>
          <w:tblLayout w:type="fixed"/>
          <w:tblCellMar>
            <w:top w:w="0" w:type="dxa"/>
            <w:left w:w="108" w:type="dxa"/>
            <w:bottom w:w="0" w:type="dxa"/>
            <w:right w:w="108" w:type="dxa"/>
          </w:tblCellMar>
        </w:tblPrEx>
        <w:trPr>
          <w:trHeight w:val="960" w:hRule="atLeast"/>
        </w:trPr>
        <w:tc>
          <w:tcPr>
            <w:tcW w:w="466" w:type="dxa"/>
            <w:vMerge w:val="continue"/>
            <w:tcBorders>
              <w:top w:val="single" w:color="000000" w:sz="4" w:space="0"/>
              <w:left w:val="single" w:color="000000" w:sz="4" w:space="0"/>
              <w:bottom w:val="single" w:color="000000" w:sz="4" w:space="0"/>
              <w:right w:val="single" w:color="000000" w:sz="4" w:space="0"/>
            </w:tcBorders>
            <w:vAlign w:val="center"/>
          </w:tcPr>
          <w:p>
            <w:pPr>
              <w:rPr>
                <w:bCs/>
                <w:sz w:val="24"/>
              </w:rPr>
            </w:pPr>
          </w:p>
        </w:tc>
        <w:tc>
          <w:tcPr>
            <w:tcW w:w="961" w:type="dxa"/>
            <w:vMerge w:val="continue"/>
            <w:tcBorders>
              <w:top w:val="single" w:color="000000" w:sz="4" w:space="0"/>
              <w:left w:val="single" w:color="000000" w:sz="4" w:space="0"/>
              <w:bottom w:val="single" w:color="000000" w:sz="4" w:space="0"/>
              <w:right w:val="single" w:color="000000" w:sz="4" w:space="0"/>
            </w:tcBorders>
            <w:vAlign w:val="center"/>
          </w:tcPr>
          <w:p>
            <w:pPr>
              <w:rPr>
                <w:bCs/>
                <w:sz w:val="24"/>
              </w:rPr>
            </w:pPr>
          </w:p>
        </w:tc>
        <w:tc>
          <w:tcPr>
            <w:tcW w:w="132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JJX10101</w:t>
            </w:r>
            <w:r>
              <w:rPr>
                <w:rFonts w:hint="eastAsia" w:ascii="宋体" w:hAnsi="宋体"/>
                <w:bCs/>
                <w:color w:val="000000"/>
                <w:sz w:val="24"/>
              </w:rPr>
              <w:t>7</w:t>
            </w:r>
          </w:p>
        </w:tc>
        <w:tc>
          <w:tcPr>
            <w:tcW w:w="4185"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宋体" w:hAnsi="宋体"/>
                <w:bCs/>
                <w:color w:val="000000"/>
                <w:sz w:val="24"/>
              </w:rPr>
            </w:pPr>
            <w:r>
              <w:rPr>
                <w:rFonts w:ascii="宋体" w:hAnsi="宋体"/>
                <w:bCs/>
                <w:color w:val="000000"/>
                <w:sz w:val="24"/>
              </w:rPr>
              <w:t>存在假数据、假资料问题的</w:t>
            </w:r>
          </w:p>
        </w:tc>
        <w:tc>
          <w:tcPr>
            <w:tcW w:w="17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5分∕类</w:t>
            </w:r>
            <w:r>
              <w:rPr>
                <w:rFonts w:hint="eastAsia" w:ascii="宋体" w:hAnsi="宋体"/>
                <w:bCs/>
                <w:color w:val="000000"/>
                <w:sz w:val="24"/>
              </w:rPr>
              <w:t>·次</w:t>
            </w:r>
          </w:p>
        </w:tc>
      </w:tr>
      <w:tr>
        <w:tblPrEx>
          <w:tblLayout w:type="fixed"/>
          <w:tblCellMar>
            <w:top w:w="0" w:type="dxa"/>
            <w:left w:w="108" w:type="dxa"/>
            <w:bottom w:w="0" w:type="dxa"/>
            <w:right w:w="108" w:type="dxa"/>
          </w:tblCellMar>
        </w:tblPrEx>
        <w:trPr>
          <w:trHeight w:val="815" w:hRule="atLeast"/>
        </w:trPr>
        <w:tc>
          <w:tcPr>
            <w:tcW w:w="466" w:type="dxa"/>
            <w:vMerge w:val="continue"/>
            <w:tcBorders>
              <w:top w:val="single" w:color="000000" w:sz="4" w:space="0"/>
              <w:left w:val="single" w:color="000000" w:sz="4" w:space="0"/>
              <w:bottom w:val="single" w:color="000000" w:sz="4" w:space="0"/>
              <w:right w:val="single" w:color="000000" w:sz="4" w:space="0"/>
            </w:tcBorders>
            <w:vAlign w:val="center"/>
          </w:tcPr>
          <w:p>
            <w:pPr>
              <w:rPr>
                <w:bCs/>
                <w:sz w:val="24"/>
              </w:rPr>
            </w:pPr>
          </w:p>
        </w:tc>
        <w:tc>
          <w:tcPr>
            <w:tcW w:w="961" w:type="dxa"/>
            <w:vMerge w:val="continue"/>
            <w:tcBorders>
              <w:top w:val="single" w:color="000000" w:sz="4" w:space="0"/>
              <w:left w:val="single" w:color="000000" w:sz="4" w:space="0"/>
              <w:bottom w:val="single" w:color="000000" w:sz="4" w:space="0"/>
              <w:right w:val="single" w:color="000000" w:sz="4" w:space="0"/>
            </w:tcBorders>
            <w:vAlign w:val="center"/>
          </w:tcPr>
          <w:p>
            <w:pPr>
              <w:rPr>
                <w:bCs/>
                <w:sz w:val="24"/>
              </w:rPr>
            </w:pPr>
          </w:p>
        </w:tc>
        <w:tc>
          <w:tcPr>
            <w:tcW w:w="132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JJX10101</w:t>
            </w:r>
            <w:r>
              <w:rPr>
                <w:rFonts w:hint="eastAsia" w:ascii="宋体" w:hAnsi="宋体"/>
                <w:bCs/>
                <w:color w:val="000000"/>
                <w:sz w:val="24"/>
              </w:rPr>
              <w:t>8</w:t>
            </w:r>
          </w:p>
        </w:tc>
        <w:tc>
          <w:tcPr>
            <w:tcW w:w="4185"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宋体" w:hAnsi="宋体"/>
                <w:bCs/>
                <w:color w:val="000000"/>
                <w:sz w:val="24"/>
              </w:rPr>
            </w:pPr>
            <w:r>
              <w:rPr>
                <w:rFonts w:ascii="宋体" w:hAnsi="宋体"/>
                <w:bCs/>
                <w:color w:val="000000"/>
                <w:sz w:val="24"/>
              </w:rPr>
              <w:t>对施工现场发现的质量</w:t>
            </w:r>
            <w:r>
              <w:rPr>
                <w:rFonts w:hint="eastAsia" w:ascii="宋体" w:hAnsi="宋体"/>
                <w:bCs/>
                <w:color w:val="000000"/>
                <w:sz w:val="24"/>
              </w:rPr>
              <w:t>问题</w:t>
            </w:r>
            <w:r>
              <w:rPr>
                <w:rFonts w:ascii="宋体" w:hAnsi="宋体"/>
                <w:bCs/>
                <w:color w:val="000000"/>
                <w:sz w:val="24"/>
              </w:rPr>
              <w:t>、安全隐患、环保问题，未及时提出书面指令督促施工单位整改的</w:t>
            </w:r>
          </w:p>
        </w:tc>
        <w:tc>
          <w:tcPr>
            <w:tcW w:w="17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3分/</w:t>
            </w:r>
            <w:r>
              <w:rPr>
                <w:rFonts w:hint="eastAsia" w:ascii="宋体" w:hAnsi="宋体"/>
                <w:bCs/>
                <w:color w:val="000000"/>
                <w:sz w:val="24"/>
              </w:rPr>
              <w:t>项·</w:t>
            </w:r>
            <w:r>
              <w:rPr>
                <w:rFonts w:ascii="宋体" w:hAnsi="宋体"/>
                <w:bCs/>
                <w:color w:val="000000"/>
                <w:sz w:val="24"/>
              </w:rPr>
              <w:t>次</w:t>
            </w:r>
          </w:p>
        </w:tc>
      </w:tr>
      <w:tr>
        <w:tblPrEx>
          <w:tblLayout w:type="fixed"/>
          <w:tblCellMar>
            <w:top w:w="0" w:type="dxa"/>
            <w:left w:w="108" w:type="dxa"/>
            <w:bottom w:w="0" w:type="dxa"/>
            <w:right w:w="108" w:type="dxa"/>
          </w:tblCellMar>
        </w:tblPrEx>
        <w:trPr>
          <w:trHeight w:val="1295" w:hRule="atLeast"/>
        </w:trPr>
        <w:tc>
          <w:tcPr>
            <w:tcW w:w="466" w:type="dxa"/>
            <w:vMerge w:val="continue"/>
            <w:tcBorders>
              <w:top w:val="single" w:color="000000" w:sz="4" w:space="0"/>
              <w:left w:val="single" w:color="000000" w:sz="4" w:space="0"/>
              <w:bottom w:val="single" w:color="000000" w:sz="4" w:space="0"/>
              <w:right w:val="single" w:color="000000" w:sz="4" w:space="0"/>
            </w:tcBorders>
            <w:vAlign w:val="center"/>
          </w:tcPr>
          <w:p>
            <w:pPr>
              <w:rPr>
                <w:bCs/>
                <w:sz w:val="24"/>
              </w:rPr>
            </w:pPr>
          </w:p>
        </w:tc>
        <w:tc>
          <w:tcPr>
            <w:tcW w:w="961" w:type="dxa"/>
            <w:vMerge w:val="continue"/>
            <w:tcBorders>
              <w:top w:val="single" w:color="000000" w:sz="4" w:space="0"/>
              <w:left w:val="single" w:color="000000" w:sz="4" w:space="0"/>
              <w:bottom w:val="single" w:color="000000" w:sz="4" w:space="0"/>
              <w:right w:val="single" w:color="000000" w:sz="4" w:space="0"/>
            </w:tcBorders>
            <w:vAlign w:val="center"/>
          </w:tcPr>
          <w:p>
            <w:pPr>
              <w:rPr>
                <w:bCs/>
                <w:sz w:val="24"/>
              </w:rPr>
            </w:pPr>
          </w:p>
        </w:tc>
        <w:tc>
          <w:tcPr>
            <w:tcW w:w="132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JJX10101</w:t>
            </w:r>
            <w:r>
              <w:rPr>
                <w:rFonts w:hint="eastAsia" w:ascii="宋体" w:hAnsi="宋体"/>
                <w:bCs/>
                <w:color w:val="000000"/>
                <w:sz w:val="24"/>
              </w:rPr>
              <w:t>9</w:t>
            </w:r>
          </w:p>
        </w:tc>
        <w:tc>
          <w:tcPr>
            <w:tcW w:w="4185"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宋体" w:hAnsi="宋体"/>
                <w:bCs/>
                <w:color w:val="000000"/>
                <w:sz w:val="24"/>
              </w:rPr>
            </w:pPr>
            <w:r>
              <w:rPr>
                <w:rFonts w:ascii="宋体" w:hAnsi="宋体"/>
                <w:bCs/>
                <w:color w:val="000000"/>
                <w:sz w:val="24"/>
              </w:rPr>
              <w:t>未按规定频率进行抽检和质量检验（评定）的</w:t>
            </w:r>
          </w:p>
        </w:tc>
        <w:tc>
          <w:tcPr>
            <w:tcW w:w="17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3分/次</w:t>
            </w:r>
          </w:p>
        </w:tc>
      </w:tr>
      <w:tr>
        <w:tblPrEx>
          <w:tblLayout w:type="fixed"/>
          <w:tblCellMar>
            <w:top w:w="0" w:type="dxa"/>
            <w:left w:w="108" w:type="dxa"/>
            <w:bottom w:w="0" w:type="dxa"/>
            <w:right w:w="108" w:type="dxa"/>
          </w:tblCellMar>
        </w:tblPrEx>
        <w:trPr>
          <w:trHeight w:val="1160" w:hRule="atLeast"/>
        </w:trPr>
        <w:tc>
          <w:tcPr>
            <w:tcW w:w="466" w:type="dxa"/>
            <w:vMerge w:val="continue"/>
            <w:tcBorders>
              <w:top w:val="single" w:color="000000" w:sz="4" w:space="0"/>
              <w:left w:val="single" w:color="000000" w:sz="4" w:space="0"/>
              <w:bottom w:val="single" w:color="000000" w:sz="4" w:space="0"/>
              <w:right w:val="single" w:color="000000" w:sz="4" w:space="0"/>
            </w:tcBorders>
            <w:vAlign w:val="center"/>
          </w:tcPr>
          <w:p>
            <w:pPr>
              <w:rPr>
                <w:bCs/>
                <w:sz w:val="24"/>
              </w:rPr>
            </w:pPr>
          </w:p>
        </w:tc>
        <w:tc>
          <w:tcPr>
            <w:tcW w:w="961" w:type="dxa"/>
            <w:vMerge w:val="continue"/>
            <w:tcBorders>
              <w:top w:val="single" w:color="000000" w:sz="4" w:space="0"/>
              <w:left w:val="single" w:color="000000" w:sz="4" w:space="0"/>
              <w:bottom w:val="single" w:color="000000" w:sz="4" w:space="0"/>
              <w:right w:val="single" w:color="000000" w:sz="4" w:space="0"/>
            </w:tcBorders>
            <w:vAlign w:val="center"/>
          </w:tcPr>
          <w:p>
            <w:pPr>
              <w:rPr>
                <w:bCs/>
                <w:sz w:val="24"/>
              </w:rPr>
            </w:pPr>
          </w:p>
        </w:tc>
        <w:tc>
          <w:tcPr>
            <w:tcW w:w="132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JJX1010</w:t>
            </w:r>
            <w:r>
              <w:rPr>
                <w:rFonts w:hint="eastAsia" w:ascii="宋体" w:hAnsi="宋体"/>
                <w:bCs/>
                <w:color w:val="000000"/>
                <w:sz w:val="24"/>
              </w:rPr>
              <w:t>20</w:t>
            </w:r>
          </w:p>
        </w:tc>
        <w:tc>
          <w:tcPr>
            <w:tcW w:w="4185"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宋体" w:hAnsi="宋体"/>
                <w:bCs/>
                <w:color w:val="000000"/>
                <w:sz w:val="24"/>
              </w:rPr>
            </w:pPr>
            <w:r>
              <w:rPr>
                <w:rFonts w:ascii="宋体" w:hAnsi="宋体"/>
                <w:bCs/>
                <w:color w:val="000000"/>
                <w:sz w:val="24"/>
              </w:rPr>
              <w:t>监理日志、巡视、旁站记录中重要内容未记录的</w:t>
            </w:r>
          </w:p>
        </w:tc>
        <w:tc>
          <w:tcPr>
            <w:tcW w:w="17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2分/</w:t>
            </w:r>
            <w:r>
              <w:rPr>
                <w:rFonts w:hint="eastAsia" w:ascii="宋体" w:hAnsi="宋体"/>
                <w:bCs/>
                <w:color w:val="000000"/>
                <w:sz w:val="24"/>
              </w:rPr>
              <w:t>项·</w:t>
            </w:r>
            <w:r>
              <w:rPr>
                <w:rFonts w:ascii="宋体" w:hAnsi="宋体"/>
                <w:bCs/>
                <w:color w:val="000000"/>
                <w:sz w:val="24"/>
              </w:rPr>
              <w:t>次</w:t>
            </w:r>
          </w:p>
        </w:tc>
      </w:tr>
      <w:tr>
        <w:tblPrEx>
          <w:tblLayout w:type="fixed"/>
          <w:tblCellMar>
            <w:top w:w="0" w:type="dxa"/>
            <w:left w:w="108" w:type="dxa"/>
            <w:bottom w:w="0" w:type="dxa"/>
            <w:right w:w="108" w:type="dxa"/>
          </w:tblCellMar>
        </w:tblPrEx>
        <w:trPr>
          <w:trHeight w:val="965" w:hRule="atLeast"/>
        </w:trPr>
        <w:tc>
          <w:tcPr>
            <w:tcW w:w="466" w:type="dxa"/>
            <w:vMerge w:val="continue"/>
            <w:tcBorders>
              <w:top w:val="single" w:color="000000" w:sz="4" w:space="0"/>
              <w:left w:val="single" w:color="000000" w:sz="4" w:space="0"/>
              <w:bottom w:val="single" w:color="000000" w:sz="4" w:space="0"/>
              <w:right w:val="single" w:color="000000" w:sz="4" w:space="0"/>
            </w:tcBorders>
            <w:vAlign w:val="center"/>
          </w:tcPr>
          <w:p>
            <w:pPr>
              <w:rPr>
                <w:bCs/>
                <w:sz w:val="24"/>
              </w:rPr>
            </w:pPr>
          </w:p>
        </w:tc>
        <w:tc>
          <w:tcPr>
            <w:tcW w:w="96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费用监理</w:t>
            </w:r>
          </w:p>
        </w:tc>
        <w:tc>
          <w:tcPr>
            <w:tcW w:w="132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JJX10102</w:t>
            </w:r>
            <w:r>
              <w:rPr>
                <w:rFonts w:hint="eastAsia" w:ascii="宋体" w:hAnsi="宋体"/>
                <w:bCs/>
                <w:color w:val="000000"/>
                <w:sz w:val="24"/>
              </w:rPr>
              <w:t>1</w:t>
            </w:r>
          </w:p>
        </w:tc>
        <w:tc>
          <w:tcPr>
            <w:tcW w:w="4185"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宋体" w:hAnsi="宋体"/>
                <w:bCs/>
                <w:color w:val="000000"/>
                <w:sz w:val="24"/>
              </w:rPr>
            </w:pPr>
            <w:r>
              <w:rPr>
                <w:rFonts w:ascii="宋体" w:hAnsi="宋体"/>
                <w:bCs/>
                <w:color w:val="000000"/>
                <w:sz w:val="24"/>
              </w:rPr>
              <w:t>工程量计量不真实</w:t>
            </w:r>
            <w:r>
              <w:rPr>
                <w:rFonts w:hint="eastAsia" w:ascii="宋体" w:hAnsi="宋体"/>
                <w:bCs/>
                <w:color w:val="000000"/>
                <w:sz w:val="24"/>
              </w:rPr>
              <w:t>的</w:t>
            </w:r>
          </w:p>
        </w:tc>
        <w:tc>
          <w:tcPr>
            <w:tcW w:w="17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5分/次</w:t>
            </w:r>
          </w:p>
        </w:tc>
      </w:tr>
      <w:tr>
        <w:tblPrEx>
          <w:tblLayout w:type="fixed"/>
          <w:tblCellMar>
            <w:top w:w="0" w:type="dxa"/>
            <w:left w:w="108" w:type="dxa"/>
            <w:bottom w:w="0" w:type="dxa"/>
            <w:right w:w="108" w:type="dxa"/>
          </w:tblCellMar>
        </w:tblPrEx>
        <w:trPr>
          <w:trHeight w:val="1320" w:hRule="atLeast"/>
        </w:trPr>
        <w:tc>
          <w:tcPr>
            <w:tcW w:w="466" w:type="dxa"/>
            <w:vMerge w:val="continue"/>
            <w:tcBorders>
              <w:top w:val="single" w:color="000000" w:sz="4" w:space="0"/>
              <w:left w:val="single" w:color="000000" w:sz="4" w:space="0"/>
              <w:bottom w:val="single" w:color="000000" w:sz="4" w:space="0"/>
              <w:right w:val="single" w:color="000000" w:sz="4" w:space="0"/>
            </w:tcBorders>
            <w:vAlign w:val="center"/>
          </w:tcPr>
          <w:p>
            <w:pPr>
              <w:rPr>
                <w:bCs/>
                <w:sz w:val="24"/>
              </w:rPr>
            </w:pPr>
          </w:p>
        </w:tc>
        <w:tc>
          <w:tcPr>
            <w:tcW w:w="96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进度监理</w:t>
            </w:r>
          </w:p>
        </w:tc>
        <w:tc>
          <w:tcPr>
            <w:tcW w:w="132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JJX10102</w:t>
            </w:r>
            <w:r>
              <w:rPr>
                <w:rFonts w:hint="eastAsia" w:ascii="宋体" w:hAnsi="宋体"/>
                <w:bCs/>
                <w:color w:val="000000"/>
                <w:sz w:val="24"/>
              </w:rPr>
              <w:t>2</w:t>
            </w:r>
          </w:p>
        </w:tc>
        <w:tc>
          <w:tcPr>
            <w:tcW w:w="4185"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宋体" w:hAnsi="宋体"/>
                <w:bCs/>
                <w:color w:val="000000"/>
                <w:sz w:val="24"/>
              </w:rPr>
            </w:pPr>
            <w:r>
              <w:rPr>
                <w:rFonts w:ascii="宋体" w:hAnsi="宋体"/>
                <w:bCs/>
                <w:color w:val="000000"/>
                <w:sz w:val="24"/>
              </w:rPr>
              <w:t>由于施工单位原因导致工期滞后，监理未及时提出书面指令督促施工单位整改的</w:t>
            </w:r>
          </w:p>
        </w:tc>
        <w:tc>
          <w:tcPr>
            <w:tcW w:w="17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3分/次</w:t>
            </w:r>
          </w:p>
        </w:tc>
      </w:tr>
      <w:tr>
        <w:tblPrEx>
          <w:tblLayout w:type="fixed"/>
          <w:tblCellMar>
            <w:top w:w="0" w:type="dxa"/>
            <w:left w:w="108" w:type="dxa"/>
            <w:bottom w:w="0" w:type="dxa"/>
            <w:right w:w="108" w:type="dxa"/>
          </w:tblCellMar>
        </w:tblPrEx>
        <w:trPr>
          <w:trHeight w:val="1320" w:hRule="atLeast"/>
        </w:trPr>
        <w:tc>
          <w:tcPr>
            <w:tcW w:w="466" w:type="dxa"/>
            <w:vMerge w:val="continue"/>
            <w:tcBorders>
              <w:top w:val="single" w:color="000000" w:sz="4" w:space="0"/>
              <w:left w:val="single" w:color="000000" w:sz="4" w:space="0"/>
              <w:bottom w:val="single" w:color="000000" w:sz="4" w:space="0"/>
              <w:right w:val="single" w:color="000000" w:sz="4" w:space="0"/>
            </w:tcBorders>
            <w:vAlign w:val="center"/>
          </w:tcPr>
          <w:p>
            <w:pPr>
              <w:rPr>
                <w:bCs/>
                <w:sz w:val="24"/>
              </w:rPr>
            </w:pPr>
          </w:p>
        </w:tc>
        <w:tc>
          <w:tcPr>
            <w:tcW w:w="961"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r>
              <w:rPr>
                <w:rFonts w:ascii="宋体" w:hAnsi="宋体"/>
                <w:bCs/>
                <w:color w:val="000000"/>
                <w:sz w:val="24"/>
              </w:rPr>
              <w:t>人</w:t>
            </w:r>
          </w:p>
          <w:p>
            <w:pPr>
              <w:autoSpaceDN w:val="0"/>
              <w:jc w:val="center"/>
              <w:textAlignment w:val="center"/>
              <w:rPr>
                <w:rFonts w:ascii="宋体" w:hAnsi="宋体"/>
                <w:bCs/>
                <w:color w:val="000000"/>
                <w:sz w:val="24"/>
              </w:rPr>
            </w:pPr>
            <w:r>
              <w:rPr>
                <w:rFonts w:ascii="宋体" w:hAnsi="宋体"/>
                <w:bCs/>
                <w:color w:val="000000"/>
                <w:sz w:val="24"/>
              </w:rPr>
              <w:t>员</w:t>
            </w:r>
          </w:p>
          <w:p>
            <w:pPr>
              <w:autoSpaceDN w:val="0"/>
              <w:jc w:val="center"/>
              <w:textAlignment w:val="center"/>
              <w:rPr>
                <w:rFonts w:ascii="宋体" w:hAnsi="宋体"/>
                <w:bCs/>
                <w:color w:val="000000"/>
                <w:sz w:val="24"/>
              </w:rPr>
            </w:pPr>
            <w:r>
              <w:rPr>
                <w:rFonts w:ascii="宋体" w:hAnsi="宋体"/>
                <w:bCs/>
                <w:color w:val="000000"/>
                <w:sz w:val="24"/>
              </w:rPr>
              <w:t>设</w:t>
            </w:r>
          </w:p>
          <w:p>
            <w:pPr>
              <w:autoSpaceDN w:val="0"/>
              <w:jc w:val="center"/>
              <w:textAlignment w:val="center"/>
              <w:rPr>
                <w:rFonts w:ascii="宋体" w:hAnsi="宋体"/>
                <w:bCs/>
                <w:color w:val="000000"/>
                <w:sz w:val="24"/>
              </w:rPr>
            </w:pPr>
            <w:r>
              <w:rPr>
                <w:rFonts w:ascii="宋体" w:hAnsi="宋体"/>
                <w:bCs/>
                <w:color w:val="000000"/>
                <w:sz w:val="24"/>
              </w:rPr>
              <w:t>备</w:t>
            </w:r>
          </w:p>
          <w:p>
            <w:pPr>
              <w:autoSpaceDN w:val="0"/>
              <w:jc w:val="center"/>
              <w:textAlignment w:val="center"/>
              <w:rPr>
                <w:rFonts w:ascii="宋体" w:hAnsi="宋体"/>
                <w:bCs/>
                <w:color w:val="000000"/>
                <w:sz w:val="24"/>
              </w:rPr>
            </w:pPr>
            <w:r>
              <w:rPr>
                <w:rFonts w:ascii="宋体" w:hAnsi="宋体"/>
                <w:bCs/>
                <w:color w:val="000000"/>
                <w:sz w:val="24"/>
              </w:rPr>
              <w:t>到</w:t>
            </w:r>
          </w:p>
          <w:p>
            <w:pPr>
              <w:autoSpaceDN w:val="0"/>
              <w:jc w:val="center"/>
              <w:textAlignment w:val="center"/>
              <w:rPr>
                <w:rFonts w:ascii="宋体" w:hAnsi="宋体"/>
                <w:bCs/>
                <w:color w:val="000000"/>
                <w:sz w:val="24"/>
              </w:rPr>
            </w:pPr>
            <w:r>
              <w:rPr>
                <w:rFonts w:ascii="宋体" w:hAnsi="宋体"/>
                <w:bCs/>
                <w:color w:val="000000"/>
                <w:sz w:val="24"/>
              </w:rPr>
              <w:t>位</w:t>
            </w:r>
          </w:p>
        </w:tc>
        <w:tc>
          <w:tcPr>
            <w:tcW w:w="132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JJX10102</w:t>
            </w:r>
            <w:r>
              <w:rPr>
                <w:rFonts w:hint="eastAsia" w:ascii="宋体" w:hAnsi="宋体"/>
                <w:bCs/>
                <w:color w:val="000000"/>
                <w:sz w:val="24"/>
              </w:rPr>
              <w:t>3</w:t>
            </w:r>
          </w:p>
        </w:tc>
        <w:tc>
          <w:tcPr>
            <w:tcW w:w="4185"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宋体" w:hAnsi="宋体"/>
                <w:bCs/>
                <w:color w:val="000000"/>
                <w:sz w:val="24"/>
              </w:rPr>
            </w:pPr>
            <w:r>
              <w:rPr>
                <w:rFonts w:ascii="宋体" w:hAnsi="宋体"/>
                <w:bCs/>
                <w:color w:val="000000"/>
                <w:sz w:val="24"/>
              </w:rPr>
              <w:t>企业所属监理人员冒用他人证书从事监理工作的</w:t>
            </w:r>
          </w:p>
        </w:tc>
        <w:tc>
          <w:tcPr>
            <w:tcW w:w="17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10分∕人次</w:t>
            </w:r>
          </w:p>
        </w:tc>
      </w:tr>
      <w:tr>
        <w:tblPrEx>
          <w:tblLayout w:type="fixed"/>
          <w:tblCellMar>
            <w:top w:w="0" w:type="dxa"/>
            <w:left w:w="108" w:type="dxa"/>
            <w:bottom w:w="0" w:type="dxa"/>
            <w:right w:w="108" w:type="dxa"/>
          </w:tblCellMar>
        </w:tblPrEx>
        <w:trPr>
          <w:trHeight w:val="960" w:hRule="atLeast"/>
        </w:trPr>
        <w:tc>
          <w:tcPr>
            <w:tcW w:w="466" w:type="dxa"/>
            <w:vMerge w:val="continue"/>
            <w:tcBorders>
              <w:top w:val="single" w:color="000000" w:sz="4" w:space="0"/>
              <w:left w:val="single" w:color="000000" w:sz="4" w:space="0"/>
              <w:bottom w:val="single" w:color="000000" w:sz="4" w:space="0"/>
              <w:right w:val="single" w:color="000000" w:sz="4" w:space="0"/>
            </w:tcBorders>
            <w:vAlign w:val="center"/>
          </w:tcPr>
          <w:p>
            <w:pPr>
              <w:rPr>
                <w:bCs/>
                <w:sz w:val="24"/>
              </w:rPr>
            </w:pPr>
          </w:p>
        </w:tc>
        <w:tc>
          <w:tcPr>
            <w:tcW w:w="961" w:type="dxa"/>
            <w:vMerge w:val="continue"/>
            <w:tcBorders>
              <w:top w:val="single" w:color="000000" w:sz="4" w:space="0"/>
              <w:left w:val="single" w:color="000000" w:sz="4" w:space="0"/>
              <w:bottom w:val="single" w:color="000000" w:sz="4" w:space="0"/>
              <w:right w:val="single" w:color="000000" w:sz="4" w:space="0"/>
            </w:tcBorders>
            <w:vAlign w:val="center"/>
          </w:tcPr>
          <w:p>
            <w:pPr>
              <w:rPr>
                <w:bCs/>
                <w:sz w:val="24"/>
              </w:rPr>
            </w:pPr>
          </w:p>
        </w:tc>
        <w:tc>
          <w:tcPr>
            <w:tcW w:w="132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JJX10102</w:t>
            </w:r>
            <w:r>
              <w:rPr>
                <w:rFonts w:hint="eastAsia" w:ascii="宋体" w:hAnsi="宋体"/>
                <w:bCs/>
                <w:color w:val="000000"/>
                <w:sz w:val="24"/>
              </w:rPr>
              <w:t>4</w:t>
            </w:r>
          </w:p>
        </w:tc>
        <w:tc>
          <w:tcPr>
            <w:tcW w:w="4185"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宋体" w:hAnsi="宋体"/>
                <w:bCs/>
                <w:color w:val="000000"/>
                <w:sz w:val="24"/>
              </w:rPr>
            </w:pPr>
            <w:r>
              <w:rPr>
                <w:rFonts w:ascii="宋体" w:hAnsi="宋体"/>
                <w:bCs/>
                <w:color w:val="000000"/>
                <w:sz w:val="24"/>
              </w:rPr>
              <w:t>监理人员使用假证书从事监理工作的</w:t>
            </w:r>
          </w:p>
        </w:tc>
        <w:tc>
          <w:tcPr>
            <w:tcW w:w="17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5分∕人次</w:t>
            </w:r>
          </w:p>
        </w:tc>
      </w:tr>
      <w:tr>
        <w:tblPrEx>
          <w:tblLayout w:type="fixed"/>
          <w:tblCellMar>
            <w:top w:w="0" w:type="dxa"/>
            <w:left w:w="108" w:type="dxa"/>
            <w:bottom w:w="0" w:type="dxa"/>
            <w:right w:w="108" w:type="dxa"/>
          </w:tblCellMar>
        </w:tblPrEx>
        <w:trPr>
          <w:trHeight w:val="960" w:hRule="atLeast"/>
        </w:trPr>
        <w:tc>
          <w:tcPr>
            <w:tcW w:w="466" w:type="dxa"/>
            <w:vMerge w:val="continue"/>
            <w:tcBorders>
              <w:top w:val="single" w:color="000000" w:sz="4" w:space="0"/>
              <w:left w:val="single" w:color="000000" w:sz="4" w:space="0"/>
              <w:bottom w:val="single" w:color="000000" w:sz="4" w:space="0"/>
              <w:right w:val="single" w:color="000000" w:sz="4" w:space="0"/>
            </w:tcBorders>
            <w:vAlign w:val="center"/>
          </w:tcPr>
          <w:p>
            <w:pPr>
              <w:rPr>
                <w:bCs/>
                <w:sz w:val="24"/>
              </w:rPr>
            </w:pPr>
          </w:p>
        </w:tc>
        <w:tc>
          <w:tcPr>
            <w:tcW w:w="961" w:type="dxa"/>
            <w:vMerge w:val="continue"/>
            <w:tcBorders>
              <w:top w:val="single" w:color="000000" w:sz="4" w:space="0"/>
              <w:left w:val="single" w:color="000000" w:sz="4" w:space="0"/>
              <w:bottom w:val="single" w:color="000000" w:sz="4" w:space="0"/>
              <w:right w:val="single" w:color="000000" w:sz="4" w:space="0"/>
            </w:tcBorders>
            <w:vAlign w:val="center"/>
          </w:tcPr>
          <w:p>
            <w:pPr>
              <w:rPr>
                <w:bCs/>
                <w:sz w:val="24"/>
              </w:rPr>
            </w:pPr>
          </w:p>
        </w:tc>
        <w:tc>
          <w:tcPr>
            <w:tcW w:w="132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JJX10102</w:t>
            </w:r>
            <w:r>
              <w:rPr>
                <w:rFonts w:hint="eastAsia" w:ascii="宋体" w:hAnsi="宋体"/>
                <w:bCs/>
                <w:color w:val="000000"/>
                <w:sz w:val="24"/>
              </w:rPr>
              <w:t>5</w:t>
            </w:r>
          </w:p>
        </w:tc>
        <w:tc>
          <w:tcPr>
            <w:tcW w:w="4185"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宋体" w:hAnsi="宋体"/>
                <w:bCs/>
                <w:color w:val="000000"/>
                <w:sz w:val="24"/>
              </w:rPr>
            </w:pPr>
            <w:r>
              <w:rPr>
                <w:rFonts w:ascii="宋体" w:hAnsi="宋体"/>
                <w:bCs/>
                <w:color w:val="000000"/>
                <w:sz w:val="24"/>
              </w:rPr>
              <w:t>监理人员有吃拿卡要行为的</w:t>
            </w:r>
          </w:p>
        </w:tc>
        <w:tc>
          <w:tcPr>
            <w:tcW w:w="17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5分∕人次</w:t>
            </w:r>
          </w:p>
        </w:tc>
      </w:tr>
      <w:tr>
        <w:tblPrEx>
          <w:tblLayout w:type="fixed"/>
          <w:tblCellMar>
            <w:top w:w="0" w:type="dxa"/>
            <w:left w:w="108" w:type="dxa"/>
            <w:bottom w:w="0" w:type="dxa"/>
            <w:right w:w="108" w:type="dxa"/>
          </w:tblCellMar>
        </w:tblPrEx>
        <w:trPr>
          <w:trHeight w:val="960" w:hRule="atLeast"/>
        </w:trPr>
        <w:tc>
          <w:tcPr>
            <w:tcW w:w="466" w:type="dxa"/>
            <w:vMerge w:val="continue"/>
            <w:tcBorders>
              <w:top w:val="single" w:color="000000" w:sz="4" w:space="0"/>
              <w:left w:val="single" w:color="000000" w:sz="4" w:space="0"/>
              <w:bottom w:val="single" w:color="000000" w:sz="4" w:space="0"/>
              <w:right w:val="single" w:color="000000" w:sz="4" w:space="0"/>
            </w:tcBorders>
            <w:vAlign w:val="center"/>
          </w:tcPr>
          <w:p>
            <w:pPr>
              <w:rPr>
                <w:bCs/>
                <w:sz w:val="24"/>
              </w:rPr>
            </w:pPr>
          </w:p>
        </w:tc>
        <w:tc>
          <w:tcPr>
            <w:tcW w:w="961" w:type="dxa"/>
            <w:vMerge w:val="continue"/>
            <w:tcBorders>
              <w:top w:val="single" w:color="000000" w:sz="4" w:space="0"/>
              <w:left w:val="single" w:color="000000" w:sz="4" w:space="0"/>
              <w:bottom w:val="single" w:color="000000" w:sz="4" w:space="0"/>
              <w:right w:val="single" w:color="000000" w:sz="4" w:space="0"/>
            </w:tcBorders>
            <w:vAlign w:val="center"/>
          </w:tcPr>
          <w:p>
            <w:pPr>
              <w:rPr>
                <w:bCs/>
                <w:sz w:val="24"/>
              </w:rPr>
            </w:pPr>
          </w:p>
        </w:tc>
        <w:tc>
          <w:tcPr>
            <w:tcW w:w="132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JJX10102</w:t>
            </w:r>
            <w:r>
              <w:rPr>
                <w:rFonts w:hint="eastAsia" w:ascii="宋体" w:hAnsi="宋体"/>
                <w:bCs/>
                <w:color w:val="000000"/>
                <w:sz w:val="24"/>
              </w:rPr>
              <w:t>6</w:t>
            </w:r>
          </w:p>
        </w:tc>
        <w:tc>
          <w:tcPr>
            <w:tcW w:w="4185"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宋体" w:hAnsi="宋体"/>
                <w:bCs/>
                <w:color w:val="000000"/>
                <w:sz w:val="24"/>
              </w:rPr>
            </w:pPr>
            <w:r>
              <w:rPr>
                <w:rFonts w:ascii="宋体" w:hAnsi="宋体"/>
                <w:bCs/>
                <w:color w:val="000000"/>
                <w:sz w:val="24"/>
              </w:rPr>
              <w:t>未按投标承诺的条件配备总监、副总监、驻地监理、总监代表的</w:t>
            </w:r>
          </w:p>
        </w:tc>
        <w:tc>
          <w:tcPr>
            <w:tcW w:w="17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5分∕人次</w:t>
            </w:r>
          </w:p>
        </w:tc>
      </w:tr>
      <w:tr>
        <w:tblPrEx>
          <w:tblLayout w:type="fixed"/>
          <w:tblCellMar>
            <w:top w:w="0" w:type="dxa"/>
            <w:left w:w="108" w:type="dxa"/>
            <w:bottom w:w="0" w:type="dxa"/>
            <w:right w:w="108" w:type="dxa"/>
          </w:tblCellMar>
        </w:tblPrEx>
        <w:trPr>
          <w:trHeight w:val="1200" w:hRule="atLeast"/>
        </w:trPr>
        <w:tc>
          <w:tcPr>
            <w:tcW w:w="466" w:type="dxa"/>
            <w:vMerge w:val="continue"/>
            <w:tcBorders>
              <w:top w:val="single" w:color="000000" w:sz="4" w:space="0"/>
              <w:left w:val="single" w:color="000000" w:sz="4" w:space="0"/>
              <w:bottom w:val="single" w:color="000000" w:sz="4" w:space="0"/>
              <w:right w:val="single" w:color="000000" w:sz="4" w:space="0"/>
            </w:tcBorders>
            <w:vAlign w:val="center"/>
          </w:tcPr>
          <w:p>
            <w:pPr>
              <w:rPr>
                <w:bCs/>
                <w:sz w:val="24"/>
              </w:rPr>
            </w:pPr>
          </w:p>
        </w:tc>
        <w:tc>
          <w:tcPr>
            <w:tcW w:w="961" w:type="dxa"/>
            <w:vMerge w:val="continue"/>
            <w:tcBorders>
              <w:top w:val="single" w:color="000000" w:sz="4" w:space="0"/>
              <w:left w:val="single" w:color="000000" w:sz="4" w:space="0"/>
              <w:bottom w:val="single" w:color="000000" w:sz="4" w:space="0"/>
              <w:right w:val="single" w:color="000000" w:sz="4" w:space="0"/>
            </w:tcBorders>
            <w:vAlign w:val="center"/>
          </w:tcPr>
          <w:p>
            <w:pPr>
              <w:rPr>
                <w:bCs/>
                <w:sz w:val="24"/>
              </w:rPr>
            </w:pPr>
          </w:p>
        </w:tc>
        <w:tc>
          <w:tcPr>
            <w:tcW w:w="132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JJX10102</w:t>
            </w:r>
            <w:r>
              <w:rPr>
                <w:rFonts w:hint="eastAsia" w:ascii="宋体" w:hAnsi="宋体"/>
                <w:bCs/>
                <w:color w:val="000000"/>
                <w:sz w:val="24"/>
              </w:rPr>
              <w:t>7</w:t>
            </w:r>
          </w:p>
        </w:tc>
        <w:tc>
          <w:tcPr>
            <w:tcW w:w="4185"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宋体" w:hAnsi="宋体"/>
                <w:bCs/>
                <w:color w:val="000000"/>
                <w:sz w:val="24"/>
              </w:rPr>
            </w:pPr>
            <w:r>
              <w:rPr>
                <w:rFonts w:ascii="宋体" w:hAnsi="宋体"/>
                <w:bCs/>
                <w:color w:val="000000"/>
                <w:sz w:val="24"/>
              </w:rPr>
              <w:t>派驻到工程建设项目上的总监、副总监、驻地监理、总监代表未在中标监理企业从业登记的</w:t>
            </w:r>
          </w:p>
        </w:tc>
        <w:tc>
          <w:tcPr>
            <w:tcW w:w="17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5分/人次</w:t>
            </w:r>
          </w:p>
        </w:tc>
      </w:tr>
      <w:tr>
        <w:tblPrEx>
          <w:tblLayout w:type="fixed"/>
          <w:tblCellMar>
            <w:top w:w="0" w:type="dxa"/>
            <w:left w:w="108" w:type="dxa"/>
            <w:bottom w:w="0" w:type="dxa"/>
            <w:right w:w="108" w:type="dxa"/>
          </w:tblCellMar>
        </w:tblPrEx>
        <w:trPr>
          <w:trHeight w:val="1200" w:hRule="atLeast"/>
        </w:trPr>
        <w:tc>
          <w:tcPr>
            <w:tcW w:w="466" w:type="dxa"/>
            <w:vMerge w:val="continue"/>
            <w:tcBorders>
              <w:top w:val="single" w:color="000000" w:sz="4" w:space="0"/>
              <w:left w:val="single" w:color="000000" w:sz="4" w:space="0"/>
              <w:bottom w:val="single" w:color="000000" w:sz="4" w:space="0"/>
              <w:right w:val="single" w:color="000000" w:sz="4" w:space="0"/>
            </w:tcBorders>
            <w:vAlign w:val="center"/>
          </w:tcPr>
          <w:p>
            <w:pPr>
              <w:rPr>
                <w:bCs/>
                <w:sz w:val="24"/>
              </w:rPr>
            </w:pPr>
          </w:p>
        </w:tc>
        <w:tc>
          <w:tcPr>
            <w:tcW w:w="961" w:type="dxa"/>
            <w:vMerge w:val="continue"/>
            <w:tcBorders>
              <w:top w:val="single" w:color="000000" w:sz="4" w:space="0"/>
              <w:left w:val="single" w:color="000000" w:sz="4" w:space="0"/>
              <w:bottom w:val="single" w:color="000000" w:sz="4" w:space="0"/>
              <w:right w:val="single" w:color="000000" w:sz="4" w:space="0"/>
            </w:tcBorders>
            <w:vAlign w:val="center"/>
          </w:tcPr>
          <w:p>
            <w:pPr>
              <w:rPr>
                <w:bCs/>
                <w:sz w:val="24"/>
              </w:rPr>
            </w:pPr>
          </w:p>
        </w:tc>
        <w:tc>
          <w:tcPr>
            <w:tcW w:w="132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JJX10102</w:t>
            </w:r>
            <w:r>
              <w:rPr>
                <w:rFonts w:hint="eastAsia" w:ascii="宋体" w:hAnsi="宋体"/>
                <w:bCs/>
                <w:color w:val="000000"/>
                <w:sz w:val="24"/>
              </w:rPr>
              <w:t>8</w:t>
            </w:r>
          </w:p>
        </w:tc>
        <w:tc>
          <w:tcPr>
            <w:tcW w:w="4185"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宋体" w:hAnsi="宋体"/>
                <w:bCs/>
                <w:color w:val="000000"/>
                <w:sz w:val="24"/>
              </w:rPr>
            </w:pPr>
            <w:r>
              <w:rPr>
                <w:rFonts w:ascii="宋体" w:hAnsi="宋体"/>
                <w:bCs/>
                <w:color w:val="000000"/>
                <w:sz w:val="24"/>
              </w:rPr>
              <w:t>派驻到工程建设项目上</w:t>
            </w:r>
            <w:r>
              <w:rPr>
                <w:rFonts w:hint="eastAsia" w:ascii="宋体" w:hAnsi="宋体"/>
                <w:bCs/>
                <w:color w:val="000000"/>
                <w:sz w:val="24"/>
              </w:rPr>
              <w:t>的</w:t>
            </w:r>
            <w:r>
              <w:rPr>
                <w:rFonts w:ascii="宋体" w:hAnsi="宋体"/>
                <w:bCs/>
                <w:color w:val="000000"/>
                <w:sz w:val="24"/>
              </w:rPr>
              <w:t>监理工程师在中标监理企业从业登记的</w:t>
            </w:r>
            <w:r>
              <w:rPr>
                <w:rFonts w:hint="eastAsia" w:ascii="宋体" w:hAnsi="宋体"/>
                <w:bCs/>
                <w:color w:val="000000"/>
                <w:sz w:val="24"/>
              </w:rPr>
              <w:t>人数不足合同约定监理工程师总人数50%的</w:t>
            </w:r>
          </w:p>
        </w:tc>
        <w:tc>
          <w:tcPr>
            <w:tcW w:w="17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hint="eastAsia" w:ascii="宋体" w:hAnsi="宋体"/>
                <w:bCs/>
                <w:color w:val="000000"/>
                <w:sz w:val="24"/>
              </w:rPr>
              <w:t>每少1人，扣5</w:t>
            </w:r>
            <w:r>
              <w:rPr>
                <w:rFonts w:ascii="宋体" w:hAnsi="宋体"/>
                <w:bCs/>
                <w:color w:val="000000"/>
                <w:sz w:val="24"/>
              </w:rPr>
              <w:t>分/人次</w:t>
            </w:r>
          </w:p>
        </w:tc>
      </w:tr>
      <w:tr>
        <w:tblPrEx>
          <w:tblLayout w:type="fixed"/>
          <w:tblCellMar>
            <w:top w:w="0" w:type="dxa"/>
            <w:left w:w="108" w:type="dxa"/>
            <w:bottom w:w="0" w:type="dxa"/>
            <w:right w:w="108" w:type="dxa"/>
          </w:tblCellMar>
        </w:tblPrEx>
        <w:trPr>
          <w:trHeight w:val="960" w:hRule="atLeast"/>
        </w:trPr>
        <w:tc>
          <w:tcPr>
            <w:tcW w:w="466" w:type="dxa"/>
            <w:vMerge w:val="continue"/>
            <w:tcBorders>
              <w:top w:val="single" w:color="000000" w:sz="4" w:space="0"/>
              <w:left w:val="single" w:color="000000" w:sz="4" w:space="0"/>
              <w:bottom w:val="single" w:color="000000" w:sz="4" w:space="0"/>
              <w:right w:val="single" w:color="000000" w:sz="4" w:space="0"/>
            </w:tcBorders>
            <w:vAlign w:val="center"/>
          </w:tcPr>
          <w:p>
            <w:pPr>
              <w:rPr>
                <w:bCs/>
                <w:sz w:val="24"/>
              </w:rPr>
            </w:pPr>
          </w:p>
        </w:tc>
        <w:tc>
          <w:tcPr>
            <w:tcW w:w="961" w:type="dxa"/>
            <w:vMerge w:val="continue"/>
            <w:tcBorders>
              <w:top w:val="single" w:color="000000" w:sz="4" w:space="0"/>
              <w:left w:val="single" w:color="000000" w:sz="4" w:space="0"/>
              <w:bottom w:val="single" w:color="000000" w:sz="4" w:space="0"/>
              <w:right w:val="single" w:color="000000" w:sz="4" w:space="0"/>
            </w:tcBorders>
            <w:vAlign w:val="center"/>
          </w:tcPr>
          <w:p>
            <w:pPr>
              <w:rPr>
                <w:bCs/>
                <w:sz w:val="24"/>
              </w:rPr>
            </w:pPr>
          </w:p>
        </w:tc>
        <w:tc>
          <w:tcPr>
            <w:tcW w:w="132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JJX10102</w:t>
            </w:r>
            <w:r>
              <w:rPr>
                <w:rFonts w:hint="eastAsia" w:ascii="宋体" w:hAnsi="宋体"/>
                <w:bCs/>
                <w:color w:val="000000"/>
                <w:sz w:val="24"/>
              </w:rPr>
              <w:t>9</w:t>
            </w:r>
          </w:p>
        </w:tc>
        <w:tc>
          <w:tcPr>
            <w:tcW w:w="4185"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宋体" w:hAnsi="宋体"/>
                <w:bCs/>
                <w:color w:val="000000"/>
                <w:sz w:val="24"/>
              </w:rPr>
            </w:pPr>
            <w:r>
              <w:rPr>
                <w:rFonts w:ascii="宋体" w:hAnsi="宋体"/>
                <w:bCs/>
                <w:color w:val="000000"/>
                <w:sz w:val="24"/>
              </w:rPr>
              <w:t>未经业主许可调换总监、副总监、驻地监理、总监代表的</w:t>
            </w:r>
          </w:p>
        </w:tc>
        <w:tc>
          <w:tcPr>
            <w:tcW w:w="17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hint="eastAsia" w:ascii="宋体" w:hAnsi="宋体"/>
                <w:bCs/>
                <w:color w:val="000000"/>
                <w:sz w:val="24"/>
              </w:rPr>
              <w:t>5</w:t>
            </w:r>
            <w:r>
              <w:rPr>
                <w:rFonts w:ascii="宋体" w:hAnsi="宋体"/>
                <w:bCs/>
                <w:color w:val="000000"/>
                <w:sz w:val="24"/>
              </w:rPr>
              <w:t>分∕人次</w:t>
            </w:r>
          </w:p>
        </w:tc>
      </w:tr>
      <w:tr>
        <w:tblPrEx>
          <w:tblLayout w:type="fixed"/>
          <w:tblCellMar>
            <w:top w:w="0" w:type="dxa"/>
            <w:left w:w="108" w:type="dxa"/>
            <w:bottom w:w="0" w:type="dxa"/>
            <w:right w:w="108" w:type="dxa"/>
          </w:tblCellMar>
        </w:tblPrEx>
        <w:trPr>
          <w:trHeight w:val="960" w:hRule="atLeast"/>
        </w:trPr>
        <w:tc>
          <w:tcPr>
            <w:tcW w:w="466" w:type="dxa"/>
            <w:vMerge w:val="continue"/>
            <w:tcBorders>
              <w:top w:val="single" w:color="000000" w:sz="4" w:space="0"/>
              <w:left w:val="single" w:color="000000" w:sz="4" w:space="0"/>
              <w:bottom w:val="single" w:color="000000" w:sz="4" w:space="0"/>
              <w:right w:val="single" w:color="000000" w:sz="4" w:space="0"/>
            </w:tcBorders>
            <w:vAlign w:val="center"/>
          </w:tcPr>
          <w:p>
            <w:pPr>
              <w:rPr>
                <w:bCs/>
                <w:sz w:val="24"/>
              </w:rPr>
            </w:pPr>
          </w:p>
        </w:tc>
        <w:tc>
          <w:tcPr>
            <w:tcW w:w="961" w:type="dxa"/>
            <w:vMerge w:val="continue"/>
            <w:tcBorders>
              <w:top w:val="single" w:color="000000" w:sz="4" w:space="0"/>
              <w:left w:val="single" w:color="000000" w:sz="4" w:space="0"/>
              <w:bottom w:val="single" w:color="000000" w:sz="4" w:space="0"/>
              <w:right w:val="single" w:color="000000" w:sz="4" w:space="0"/>
            </w:tcBorders>
            <w:vAlign w:val="center"/>
          </w:tcPr>
          <w:p>
            <w:pPr>
              <w:rPr>
                <w:bCs/>
                <w:sz w:val="24"/>
              </w:rPr>
            </w:pPr>
          </w:p>
        </w:tc>
        <w:tc>
          <w:tcPr>
            <w:tcW w:w="132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JJX1010</w:t>
            </w:r>
            <w:r>
              <w:rPr>
                <w:rFonts w:hint="eastAsia" w:ascii="宋体" w:hAnsi="宋体"/>
                <w:bCs/>
                <w:color w:val="000000"/>
                <w:sz w:val="24"/>
              </w:rPr>
              <w:t>30</w:t>
            </w:r>
          </w:p>
        </w:tc>
        <w:tc>
          <w:tcPr>
            <w:tcW w:w="4185"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宋体" w:hAnsi="宋体"/>
                <w:bCs/>
                <w:color w:val="000000"/>
                <w:sz w:val="24"/>
              </w:rPr>
            </w:pPr>
            <w:r>
              <w:rPr>
                <w:rFonts w:ascii="宋体" w:hAnsi="宋体"/>
                <w:bCs/>
                <w:color w:val="000000"/>
                <w:sz w:val="24"/>
              </w:rPr>
              <w:t>实际到岗监理工程师不足合同约定70%的</w:t>
            </w:r>
          </w:p>
        </w:tc>
        <w:tc>
          <w:tcPr>
            <w:tcW w:w="17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3分/次</w:t>
            </w:r>
          </w:p>
        </w:tc>
      </w:tr>
      <w:tr>
        <w:tblPrEx>
          <w:tblLayout w:type="fixed"/>
          <w:tblCellMar>
            <w:top w:w="0" w:type="dxa"/>
            <w:left w:w="108" w:type="dxa"/>
            <w:bottom w:w="0" w:type="dxa"/>
            <w:right w:w="108" w:type="dxa"/>
          </w:tblCellMar>
        </w:tblPrEx>
        <w:trPr>
          <w:trHeight w:val="1260" w:hRule="atLeast"/>
        </w:trPr>
        <w:tc>
          <w:tcPr>
            <w:tcW w:w="466" w:type="dxa"/>
            <w:vMerge w:val="continue"/>
            <w:tcBorders>
              <w:top w:val="single" w:color="000000" w:sz="4" w:space="0"/>
              <w:left w:val="single" w:color="000000" w:sz="4" w:space="0"/>
              <w:bottom w:val="single" w:color="000000" w:sz="4" w:space="0"/>
              <w:right w:val="single" w:color="000000" w:sz="4" w:space="0"/>
            </w:tcBorders>
            <w:vAlign w:val="center"/>
          </w:tcPr>
          <w:p>
            <w:pPr>
              <w:rPr>
                <w:bCs/>
                <w:sz w:val="24"/>
              </w:rPr>
            </w:pPr>
          </w:p>
        </w:tc>
        <w:tc>
          <w:tcPr>
            <w:tcW w:w="961" w:type="dxa"/>
            <w:vMerge w:val="continue"/>
            <w:tcBorders>
              <w:top w:val="single" w:color="000000" w:sz="4" w:space="0"/>
              <w:left w:val="single" w:color="000000" w:sz="4" w:space="0"/>
              <w:bottom w:val="single" w:color="000000" w:sz="4" w:space="0"/>
              <w:right w:val="single" w:color="000000" w:sz="4" w:space="0"/>
            </w:tcBorders>
            <w:vAlign w:val="center"/>
          </w:tcPr>
          <w:p>
            <w:pPr>
              <w:rPr>
                <w:bCs/>
                <w:sz w:val="24"/>
              </w:rPr>
            </w:pPr>
          </w:p>
        </w:tc>
        <w:tc>
          <w:tcPr>
            <w:tcW w:w="132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JJX10103</w:t>
            </w:r>
            <w:r>
              <w:rPr>
                <w:rFonts w:hint="eastAsia" w:ascii="宋体" w:hAnsi="宋体"/>
                <w:bCs/>
                <w:color w:val="000000"/>
                <w:sz w:val="24"/>
              </w:rPr>
              <w:t>1</w:t>
            </w:r>
          </w:p>
        </w:tc>
        <w:tc>
          <w:tcPr>
            <w:tcW w:w="4185"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宋体" w:hAnsi="宋体"/>
                <w:bCs/>
                <w:color w:val="000000"/>
                <w:sz w:val="24"/>
              </w:rPr>
            </w:pPr>
            <w:r>
              <w:rPr>
                <w:rFonts w:ascii="宋体" w:hAnsi="宋体"/>
                <w:bCs/>
                <w:color w:val="000000"/>
                <w:sz w:val="24"/>
              </w:rPr>
              <w:t>监理工地试验室未经质量监督机构备案审核或实际工作中不满足备案要求的</w:t>
            </w:r>
          </w:p>
        </w:tc>
        <w:tc>
          <w:tcPr>
            <w:tcW w:w="17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3分∕次</w:t>
            </w:r>
          </w:p>
        </w:tc>
      </w:tr>
      <w:tr>
        <w:tblPrEx>
          <w:tblLayout w:type="fixed"/>
          <w:tblCellMar>
            <w:top w:w="0" w:type="dxa"/>
            <w:left w:w="108" w:type="dxa"/>
            <w:bottom w:w="0" w:type="dxa"/>
            <w:right w:w="108" w:type="dxa"/>
          </w:tblCellMar>
        </w:tblPrEx>
        <w:trPr>
          <w:trHeight w:val="875" w:hRule="atLeast"/>
        </w:trPr>
        <w:tc>
          <w:tcPr>
            <w:tcW w:w="466" w:type="dxa"/>
            <w:vMerge w:val="continue"/>
            <w:tcBorders>
              <w:top w:val="single" w:color="000000" w:sz="4" w:space="0"/>
              <w:left w:val="single" w:color="000000" w:sz="4" w:space="0"/>
              <w:bottom w:val="single" w:color="000000" w:sz="4" w:space="0"/>
              <w:right w:val="single" w:color="000000" w:sz="4" w:space="0"/>
            </w:tcBorders>
            <w:vAlign w:val="center"/>
          </w:tcPr>
          <w:p>
            <w:pPr>
              <w:rPr>
                <w:bCs/>
                <w:sz w:val="24"/>
              </w:rPr>
            </w:pPr>
          </w:p>
        </w:tc>
        <w:tc>
          <w:tcPr>
            <w:tcW w:w="961" w:type="dxa"/>
            <w:vMerge w:val="continue"/>
            <w:tcBorders>
              <w:top w:val="single" w:color="000000" w:sz="4" w:space="0"/>
              <w:left w:val="single" w:color="000000" w:sz="4" w:space="0"/>
              <w:bottom w:val="single" w:color="000000" w:sz="4" w:space="0"/>
              <w:right w:val="single" w:color="000000" w:sz="4" w:space="0"/>
            </w:tcBorders>
            <w:vAlign w:val="center"/>
          </w:tcPr>
          <w:p>
            <w:pPr>
              <w:rPr>
                <w:bCs/>
                <w:sz w:val="24"/>
              </w:rPr>
            </w:pPr>
          </w:p>
        </w:tc>
        <w:tc>
          <w:tcPr>
            <w:tcW w:w="132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JJX10103</w:t>
            </w:r>
            <w:r>
              <w:rPr>
                <w:rFonts w:hint="eastAsia" w:ascii="宋体" w:hAnsi="宋体"/>
                <w:bCs/>
                <w:color w:val="000000"/>
                <w:sz w:val="24"/>
              </w:rPr>
              <w:t>2</w:t>
            </w:r>
          </w:p>
        </w:tc>
        <w:tc>
          <w:tcPr>
            <w:tcW w:w="4185"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宋体" w:hAnsi="宋体"/>
                <w:bCs/>
                <w:color w:val="000000"/>
                <w:sz w:val="24"/>
              </w:rPr>
            </w:pPr>
            <w:r>
              <w:rPr>
                <w:rFonts w:ascii="宋体" w:hAnsi="宋体"/>
                <w:bCs/>
                <w:color w:val="000000"/>
                <w:sz w:val="24"/>
              </w:rPr>
              <w:t>监理工程师同时在两个及以上</w:t>
            </w:r>
            <w:r>
              <w:rPr>
                <w:rFonts w:hint="eastAsia" w:ascii="宋体" w:hAnsi="宋体"/>
                <w:bCs/>
                <w:color w:val="000000"/>
                <w:sz w:val="24"/>
              </w:rPr>
              <w:t>高速公路或大型水运工程</w:t>
            </w:r>
            <w:r>
              <w:rPr>
                <w:rFonts w:ascii="宋体" w:hAnsi="宋体"/>
                <w:bCs/>
                <w:color w:val="000000"/>
                <w:sz w:val="24"/>
              </w:rPr>
              <w:t>项目</w:t>
            </w:r>
            <w:r>
              <w:rPr>
                <w:rFonts w:hint="eastAsia" w:ascii="宋体" w:hAnsi="宋体"/>
                <w:bCs/>
                <w:color w:val="000000"/>
                <w:sz w:val="24"/>
              </w:rPr>
              <w:t>中</w:t>
            </w:r>
            <w:r>
              <w:rPr>
                <w:rFonts w:ascii="宋体" w:hAnsi="宋体"/>
                <w:bCs/>
                <w:color w:val="000000"/>
                <w:sz w:val="24"/>
              </w:rPr>
              <w:t>从业的</w:t>
            </w:r>
          </w:p>
        </w:tc>
        <w:tc>
          <w:tcPr>
            <w:tcW w:w="17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2分/人次</w:t>
            </w:r>
          </w:p>
        </w:tc>
      </w:tr>
      <w:tr>
        <w:tblPrEx>
          <w:tblLayout w:type="fixed"/>
          <w:tblCellMar>
            <w:top w:w="0" w:type="dxa"/>
            <w:left w:w="108" w:type="dxa"/>
            <w:bottom w:w="0" w:type="dxa"/>
            <w:right w:w="108" w:type="dxa"/>
          </w:tblCellMar>
        </w:tblPrEx>
        <w:trPr>
          <w:trHeight w:val="750" w:hRule="atLeast"/>
        </w:trPr>
        <w:tc>
          <w:tcPr>
            <w:tcW w:w="1427"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r>
              <w:rPr>
                <w:rFonts w:ascii="宋体" w:hAnsi="宋体"/>
                <w:bCs/>
                <w:color w:val="000000"/>
                <w:sz w:val="24"/>
              </w:rPr>
              <w:t>其他行为</w:t>
            </w: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p>
          <w:p>
            <w:pPr>
              <w:autoSpaceDN w:val="0"/>
              <w:jc w:val="center"/>
              <w:textAlignment w:val="center"/>
              <w:rPr>
                <w:rFonts w:ascii="宋体" w:hAnsi="宋体"/>
                <w:bCs/>
                <w:color w:val="000000"/>
                <w:sz w:val="24"/>
              </w:rPr>
            </w:pPr>
            <w:r>
              <w:rPr>
                <w:rFonts w:ascii="宋体" w:hAnsi="宋体"/>
                <w:bCs/>
                <w:color w:val="000000"/>
                <w:sz w:val="24"/>
              </w:rPr>
              <w:t>其他行为</w:t>
            </w:r>
          </w:p>
        </w:tc>
        <w:tc>
          <w:tcPr>
            <w:tcW w:w="132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JJX10103</w:t>
            </w:r>
            <w:r>
              <w:rPr>
                <w:rFonts w:hint="eastAsia" w:ascii="宋体" w:hAnsi="宋体"/>
                <w:bCs/>
                <w:color w:val="000000"/>
                <w:sz w:val="24"/>
              </w:rPr>
              <w:t>3</w:t>
            </w:r>
          </w:p>
        </w:tc>
        <w:tc>
          <w:tcPr>
            <w:tcW w:w="4185"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宋体" w:hAnsi="宋体"/>
                <w:bCs/>
                <w:color w:val="000000"/>
                <w:sz w:val="24"/>
              </w:rPr>
            </w:pPr>
            <w:r>
              <w:rPr>
                <w:rFonts w:ascii="宋体" w:hAnsi="宋体"/>
                <w:bCs/>
                <w:color w:val="000000"/>
                <w:sz w:val="24"/>
              </w:rPr>
              <w:t>监理企业应申请评价而拒绝申请评价的</w:t>
            </w:r>
          </w:p>
        </w:tc>
        <w:tc>
          <w:tcPr>
            <w:tcW w:w="17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直接定为D级</w:t>
            </w:r>
          </w:p>
        </w:tc>
      </w:tr>
      <w:tr>
        <w:tblPrEx>
          <w:tblLayout w:type="fixed"/>
          <w:tblCellMar>
            <w:top w:w="0" w:type="dxa"/>
            <w:left w:w="108" w:type="dxa"/>
            <w:bottom w:w="0" w:type="dxa"/>
            <w:right w:w="108" w:type="dxa"/>
          </w:tblCellMar>
        </w:tblPrEx>
        <w:trPr>
          <w:trHeight w:val="635" w:hRule="atLeast"/>
        </w:trPr>
        <w:tc>
          <w:tcPr>
            <w:tcW w:w="1427"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bCs/>
                <w:sz w:val="24"/>
              </w:rPr>
            </w:pPr>
          </w:p>
        </w:tc>
        <w:tc>
          <w:tcPr>
            <w:tcW w:w="132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JJX10103</w:t>
            </w:r>
            <w:r>
              <w:rPr>
                <w:rFonts w:hint="eastAsia" w:ascii="宋体" w:hAnsi="宋体"/>
                <w:bCs/>
                <w:color w:val="000000"/>
                <w:sz w:val="24"/>
              </w:rPr>
              <w:t>4</w:t>
            </w:r>
          </w:p>
        </w:tc>
        <w:tc>
          <w:tcPr>
            <w:tcW w:w="4185"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宋体" w:hAnsi="宋体"/>
                <w:bCs/>
                <w:color w:val="000000"/>
                <w:sz w:val="24"/>
              </w:rPr>
            </w:pPr>
            <w:r>
              <w:rPr>
                <w:rFonts w:ascii="宋体" w:hAnsi="宋体"/>
                <w:bCs/>
                <w:color w:val="000000"/>
                <w:sz w:val="24"/>
              </w:rPr>
              <w:t>被交通运输部通报批评的</w:t>
            </w:r>
          </w:p>
        </w:tc>
        <w:tc>
          <w:tcPr>
            <w:tcW w:w="17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直接定为D级</w:t>
            </w:r>
          </w:p>
        </w:tc>
      </w:tr>
      <w:tr>
        <w:tblPrEx>
          <w:tblLayout w:type="fixed"/>
          <w:tblCellMar>
            <w:top w:w="0" w:type="dxa"/>
            <w:left w:w="108" w:type="dxa"/>
            <w:bottom w:w="0" w:type="dxa"/>
            <w:right w:w="108" w:type="dxa"/>
          </w:tblCellMar>
        </w:tblPrEx>
        <w:trPr>
          <w:trHeight w:val="1125" w:hRule="atLeast"/>
        </w:trPr>
        <w:tc>
          <w:tcPr>
            <w:tcW w:w="1427"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bCs/>
                <w:sz w:val="24"/>
              </w:rPr>
            </w:pPr>
          </w:p>
        </w:tc>
        <w:tc>
          <w:tcPr>
            <w:tcW w:w="132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JJX10103</w:t>
            </w:r>
            <w:r>
              <w:rPr>
                <w:rFonts w:hint="eastAsia" w:ascii="宋体" w:hAnsi="宋体"/>
                <w:bCs/>
                <w:color w:val="000000"/>
                <w:sz w:val="24"/>
              </w:rPr>
              <w:t>5</w:t>
            </w:r>
          </w:p>
        </w:tc>
        <w:tc>
          <w:tcPr>
            <w:tcW w:w="4185"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宋体" w:hAnsi="宋体"/>
                <w:bCs/>
                <w:color w:val="000000"/>
                <w:sz w:val="24"/>
              </w:rPr>
            </w:pPr>
            <w:r>
              <w:rPr>
                <w:rFonts w:ascii="宋体" w:hAnsi="宋体"/>
                <w:bCs/>
                <w:color w:val="000000"/>
                <w:sz w:val="24"/>
              </w:rPr>
              <w:t>在申请资质许可、定期检验、资质复查及变更等过程中存在企业业绩弄虚作假的</w:t>
            </w:r>
          </w:p>
        </w:tc>
        <w:tc>
          <w:tcPr>
            <w:tcW w:w="17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发现一次，在全国信用等级降一级</w:t>
            </w:r>
          </w:p>
        </w:tc>
      </w:tr>
      <w:tr>
        <w:tblPrEx>
          <w:tblLayout w:type="fixed"/>
          <w:tblCellMar>
            <w:top w:w="0" w:type="dxa"/>
            <w:left w:w="108" w:type="dxa"/>
            <w:bottom w:w="0" w:type="dxa"/>
            <w:right w:w="108" w:type="dxa"/>
          </w:tblCellMar>
        </w:tblPrEx>
        <w:trPr>
          <w:trHeight w:val="1125" w:hRule="atLeast"/>
        </w:trPr>
        <w:tc>
          <w:tcPr>
            <w:tcW w:w="1427"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bCs/>
                <w:sz w:val="24"/>
              </w:rPr>
            </w:pPr>
          </w:p>
        </w:tc>
        <w:tc>
          <w:tcPr>
            <w:tcW w:w="132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JJX10103</w:t>
            </w:r>
            <w:r>
              <w:rPr>
                <w:rFonts w:hint="eastAsia" w:ascii="宋体" w:hAnsi="宋体"/>
                <w:bCs/>
                <w:color w:val="000000"/>
                <w:sz w:val="24"/>
              </w:rPr>
              <w:t>6</w:t>
            </w:r>
          </w:p>
        </w:tc>
        <w:tc>
          <w:tcPr>
            <w:tcW w:w="4185"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宋体" w:hAnsi="宋体"/>
                <w:bCs/>
                <w:color w:val="000000"/>
                <w:sz w:val="24"/>
              </w:rPr>
            </w:pPr>
            <w:r>
              <w:rPr>
                <w:rFonts w:ascii="宋体" w:hAnsi="宋体"/>
                <w:bCs/>
                <w:color w:val="000000"/>
                <w:sz w:val="24"/>
              </w:rPr>
              <w:t>监理企业在资质许可、资质复查、定期检验等过程中，存在监理工程师业绩等虚假的</w:t>
            </w:r>
          </w:p>
        </w:tc>
        <w:tc>
          <w:tcPr>
            <w:tcW w:w="17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在全国信用评价总分中扣</w:t>
            </w:r>
            <w:r>
              <w:rPr>
                <w:rFonts w:hint="eastAsia" w:ascii="宋体" w:hAnsi="宋体"/>
                <w:bCs/>
                <w:color w:val="000000"/>
                <w:sz w:val="24"/>
              </w:rPr>
              <w:t>2</w:t>
            </w:r>
            <w:r>
              <w:rPr>
                <w:rFonts w:ascii="宋体" w:hAnsi="宋体"/>
                <w:bCs/>
                <w:color w:val="000000"/>
                <w:sz w:val="24"/>
              </w:rPr>
              <w:t>分/人次</w:t>
            </w:r>
          </w:p>
        </w:tc>
      </w:tr>
      <w:tr>
        <w:tblPrEx>
          <w:tblLayout w:type="fixed"/>
          <w:tblCellMar>
            <w:top w:w="0" w:type="dxa"/>
            <w:left w:w="108" w:type="dxa"/>
            <w:bottom w:w="0" w:type="dxa"/>
            <w:right w:w="108" w:type="dxa"/>
          </w:tblCellMar>
        </w:tblPrEx>
        <w:trPr>
          <w:trHeight w:val="1125" w:hRule="atLeast"/>
        </w:trPr>
        <w:tc>
          <w:tcPr>
            <w:tcW w:w="1427"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bCs/>
                <w:sz w:val="24"/>
              </w:rPr>
            </w:pPr>
          </w:p>
        </w:tc>
        <w:tc>
          <w:tcPr>
            <w:tcW w:w="132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JJX10103</w:t>
            </w:r>
            <w:r>
              <w:rPr>
                <w:rFonts w:hint="eastAsia" w:ascii="宋体" w:hAnsi="宋体"/>
                <w:bCs/>
                <w:color w:val="000000"/>
                <w:sz w:val="24"/>
              </w:rPr>
              <w:t>7</w:t>
            </w:r>
          </w:p>
        </w:tc>
        <w:tc>
          <w:tcPr>
            <w:tcW w:w="4185"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宋体" w:hAnsi="宋体"/>
                <w:bCs/>
                <w:color w:val="000000"/>
                <w:sz w:val="24"/>
              </w:rPr>
            </w:pPr>
            <w:r>
              <w:rPr>
                <w:rFonts w:hint="eastAsia" w:ascii="宋体" w:hAnsi="宋体"/>
                <w:bCs/>
                <w:color w:val="000000"/>
                <w:sz w:val="24"/>
              </w:rPr>
              <w:t>监理企业根据</w:t>
            </w:r>
            <w:r>
              <w:rPr>
                <w:rFonts w:ascii="宋体" w:hAnsi="宋体"/>
                <w:bCs/>
                <w:color w:val="000000"/>
                <w:sz w:val="24"/>
              </w:rPr>
              <w:t>交通运输主管部门要求填报向社会公布的信息存在虚假的</w:t>
            </w:r>
          </w:p>
        </w:tc>
        <w:tc>
          <w:tcPr>
            <w:tcW w:w="17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在全国信用评价总分中扣</w:t>
            </w:r>
            <w:r>
              <w:rPr>
                <w:rFonts w:hint="eastAsia" w:ascii="宋体" w:hAnsi="宋体"/>
                <w:bCs/>
                <w:color w:val="000000"/>
                <w:sz w:val="24"/>
              </w:rPr>
              <w:t>3</w:t>
            </w:r>
            <w:r>
              <w:rPr>
                <w:rFonts w:ascii="宋体" w:hAnsi="宋体"/>
                <w:bCs/>
                <w:color w:val="000000"/>
                <w:sz w:val="24"/>
              </w:rPr>
              <w:t>分/次</w:t>
            </w:r>
          </w:p>
        </w:tc>
      </w:tr>
      <w:tr>
        <w:tblPrEx>
          <w:tblLayout w:type="fixed"/>
          <w:tblCellMar>
            <w:top w:w="0" w:type="dxa"/>
            <w:left w:w="108" w:type="dxa"/>
            <w:bottom w:w="0" w:type="dxa"/>
            <w:right w:w="108" w:type="dxa"/>
          </w:tblCellMar>
        </w:tblPrEx>
        <w:trPr>
          <w:trHeight w:val="1080" w:hRule="atLeast"/>
        </w:trPr>
        <w:tc>
          <w:tcPr>
            <w:tcW w:w="1427"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bCs/>
                <w:sz w:val="24"/>
              </w:rPr>
            </w:pPr>
          </w:p>
        </w:tc>
        <w:tc>
          <w:tcPr>
            <w:tcW w:w="132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JJX10103</w:t>
            </w:r>
            <w:r>
              <w:rPr>
                <w:rFonts w:hint="eastAsia" w:ascii="宋体" w:hAnsi="宋体"/>
                <w:bCs/>
                <w:color w:val="000000"/>
                <w:sz w:val="24"/>
              </w:rPr>
              <w:t>8</w:t>
            </w:r>
          </w:p>
        </w:tc>
        <w:tc>
          <w:tcPr>
            <w:tcW w:w="4185"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宋体" w:hAnsi="宋体"/>
                <w:bCs/>
                <w:color w:val="000000"/>
                <w:sz w:val="24"/>
              </w:rPr>
            </w:pPr>
            <w:r>
              <w:rPr>
                <w:rFonts w:ascii="宋体" w:hAnsi="宋体"/>
                <w:bCs/>
                <w:color w:val="000000"/>
                <w:sz w:val="24"/>
              </w:rPr>
              <w:t>被省级交通运输主管部门、质量监督机构或省级其他行政主管部门通报批评或行政处罚的</w:t>
            </w:r>
          </w:p>
        </w:tc>
        <w:tc>
          <w:tcPr>
            <w:tcW w:w="17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15分∕次</w:t>
            </w:r>
          </w:p>
        </w:tc>
      </w:tr>
      <w:tr>
        <w:tblPrEx>
          <w:tblLayout w:type="fixed"/>
          <w:tblCellMar>
            <w:top w:w="0" w:type="dxa"/>
            <w:left w:w="108" w:type="dxa"/>
            <w:bottom w:w="0" w:type="dxa"/>
            <w:right w:w="108" w:type="dxa"/>
          </w:tblCellMar>
        </w:tblPrEx>
        <w:trPr>
          <w:trHeight w:val="1125" w:hRule="atLeast"/>
        </w:trPr>
        <w:tc>
          <w:tcPr>
            <w:tcW w:w="1427"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bCs/>
                <w:sz w:val="24"/>
              </w:rPr>
            </w:pPr>
          </w:p>
        </w:tc>
        <w:tc>
          <w:tcPr>
            <w:tcW w:w="132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JJX10103</w:t>
            </w:r>
            <w:r>
              <w:rPr>
                <w:rFonts w:hint="eastAsia" w:ascii="宋体" w:hAnsi="宋体"/>
                <w:bCs/>
                <w:color w:val="000000"/>
                <w:sz w:val="24"/>
              </w:rPr>
              <w:t>9</w:t>
            </w:r>
          </w:p>
        </w:tc>
        <w:tc>
          <w:tcPr>
            <w:tcW w:w="4185"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宋体" w:hAnsi="宋体"/>
                <w:bCs/>
                <w:color w:val="000000"/>
                <w:sz w:val="24"/>
              </w:rPr>
            </w:pPr>
            <w:r>
              <w:rPr>
                <w:rFonts w:ascii="宋体" w:hAnsi="宋体"/>
                <w:bCs/>
                <w:color w:val="000000"/>
                <w:sz w:val="24"/>
              </w:rPr>
              <w:t>被地（市）级交通运输主管部门、质量监督机构</w:t>
            </w:r>
            <w:r>
              <w:rPr>
                <w:rFonts w:hint="eastAsia" w:ascii="宋体" w:hAnsi="宋体"/>
                <w:bCs/>
                <w:color w:val="000000"/>
                <w:sz w:val="24"/>
              </w:rPr>
              <w:t>或地（市）级其他行政主管</w:t>
            </w:r>
            <w:r>
              <w:rPr>
                <w:rFonts w:ascii="宋体" w:hAnsi="宋体"/>
                <w:bCs/>
                <w:color w:val="000000"/>
                <w:sz w:val="24"/>
              </w:rPr>
              <w:t>部门通报批评或行政处罚的</w:t>
            </w:r>
          </w:p>
        </w:tc>
        <w:tc>
          <w:tcPr>
            <w:tcW w:w="17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5分/次</w:t>
            </w:r>
          </w:p>
        </w:tc>
      </w:tr>
    </w:tbl>
    <w:p>
      <w:pPr>
        <w:spacing w:line="360" w:lineRule="auto"/>
        <w:jc w:val="center"/>
        <w:rPr>
          <w:rFonts w:hint="eastAsia" w:ascii="宋体" w:hAnsi="宋体"/>
          <w:bCs/>
          <w:sz w:val="28"/>
          <w:szCs w:val="28"/>
        </w:rPr>
      </w:pPr>
    </w:p>
    <w:p>
      <w:pPr>
        <w:spacing w:line="360" w:lineRule="auto"/>
        <w:rPr>
          <w:rFonts w:hint="eastAsia" w:ascii="宋体" w:hAnsi="宋体"/>
          <w:bCs/>
          <w:sz w:val="28"/>
        </w:rPr>
      </w:pPr>
      <w:r>
        <w:rPr>
          <w:rFonts w:hint="eastAsia" w:ascii="宋体" w:hAnsi="宋体"/>
          <w:bCs/>
          <w:sz w:val="28"/>
        </w:rPr>
        <w:t>注：</w:t>
      </w:r>
    </w:p>
    <w:p>
      <w:pPr>
        <w:spacing w:line="360" w:lineRule="auto"/>
        <w:rPr>
          <w:rFonts w:hint="eastAsia" w:ascii="宋体" w:hAnsi="宋体"/>
          <w:bCs/>
          <w:sz w:val="28"/>
          <w:szCs w:val="30"/>
        </w:rPr>
      </w:pPr>
      <w:r>
        <w:rPr>
          <w:rFonts w:hint="eastAsia" w:ascii="宋体" w:hAnsi="宋体"/>
          <w:bCs/>
          <w:sz w:val="28"/>
        </w:rPr>
        <w:t xml:space="preserve">    </w:t>
      </w:r>
      <w:r>
        <w:rPr>
          <w:rFonts w:hint="eastAsia" w:ascii="宋体" w:hAnsi="宋体"/>
          <w:bCs/>
          <w:sz w:val="28"/>
          <w:szCs w:val="30"/>
        </w:rPr>
        <w:t>1.</w:t>
      </w:r>
      <w:r>
        <w:rPr>
          <w:rFonts w:hint="eastAsia" w:ascii="宋体" w:hAnsi="宋体"/>
          <w:bCs/>
          <w:kern w:val="0"/>
          <w:sz w:val="28"/>
          <w:szCs w:val="30"/>
        </w:rPr>
        <w:t>JJX101006、JJX101007、JJX101010、JJX101011、JJX101013，</w:t>
      </w:r>
      <w:r>
        <w:rPr>
          <w:rFonts w:hint="eastAsia" w:ascii="宋体" w:hAnsi="宋体"/>
          <w:bCs/>
          <w:sz w:val="28"/>
          <w:szCs w:val="30"/>
        </w:rPr>
        <w:t>应根据事故调查组《事故认定或结案报告》，对监理责任认定情况及事故等级或程度进行相应扣分。质量事故、安全事故、质量问题等级划分标准见《公路工程质量事故等级划分及事故报告》（交公路发〔1999〕90号）、《水运工程质量事故等级划分及事故报告》（交通部水运质监字〔1999〕404号）、《生产安全事故报告和调查处理条例》（国务院第493号令）、《安全生产事故隐患排查治理暂行规定》（安监总局2007年第16号令）等文件。质量问题还包括被交通运输主管部门或质量监督机构责令返工、报废处理，或结构物加固补强造成永久性质量缺陷等情况。</w:t>
      </w:r>
    </w:p>
    <w:p>
      <w:pPr>
        <w:spacing w:line="360" w:lineRule="auto"/>
        <w:ind w:firstLine="420" w:firstLineChars="150"/>
        <w:rPr>
          <w:rFonts w:hint="eastAsia" w:ascii="宋体" w:hAnsi="宋体"/>
          <w:bCs/>
          <w:sz w:val="28"/>
          <w:szCs w:val="30"/>
        </w:rPr>
      </w:pPr>
      <w:r>
        <w:rPr>
          <w:rFonts w:hint="eastAsia" w:ascii="宋体" w:hAnsi="宋体"/>
          <w:bCs/>
          <w:kern w:val="0"/>
          <w:sz w:val="28"/>
          <w:szCs w:val="30"/>
        </w:rPr>
        <w:t>JJX101012</w:t>
      </w:r>
      <w:r>
        <w:rPr>
          <w:rFonts w:hint="eastAsia" w:ascii="宋体" w:hAnsi="宋体"/>
          <w:bCs/>
          <w:sz w:val="28"/>
          <w:szCs w:val="30"/>
        </w:rPr>
        <w:t>，安全事故隐患的分级情况见《2008年交通基础设施建设安全生产隐患排查治理工作实施意见》（厅质监字〔2008〕48号）的有关规定。本标准中的重大安全生产事故隐患（简称重大隐患）指列入各级交通运输主管门挂牌督办范围的重大隐患。</w:t>
      </w:r>
    </w:p>
    <w:p>
      <w:pPr>
        <w:spacing w:line="360" w:lineRule="auto"/>
        <w:ind w:firstLine="420" w:firstLineChars="150"/>
        <w:rPr>
          <w:rFonts w:hint="eastAsia" w:ascii="宋体" w:hAnsi="宋体"/>
          <w:bCs/>
          <w:sz w:val="28"/>
          <w:szCs w:val="18"/>
        </w:rPr>
      </w:pPr>
      <w:r>
        <w:rPr>
          <w:rFonts w:hint="eastAsia" w:ascii="宋体" w:hAnsi="宋体"/>
          <w:bCs/>
          <w:kern w:val="0"/>
          <w:sz w:val="28"/>
          <w:szCs w:val="30"/>
        </w:rPr>
        <w:t xml:space="preserve"> 2.JJX101015，“</w:t>
      </w:r>
      <w:r>
        <w:rPr>
          <w:rFonts w:ascii="宋体" w:hAnsi="宋体"/>
          <w:bCs/>
          <w:kern w:val="0"/>
          <w:sz w:val="28"/>
          <w:szCs w:val="30"/>
        </w:rPr>
        <w:t>未</w:t>
      </w:r>
      <w:r>
        <w:rPr>
          <w:rFonts w:hint="eastAsia" w:ascii="宋体" w:hAnsi="宋体"/>
          <w:bCs/>
          <w:kern w:val="0"/>
          <w:sz w:val="28"/>
          <w:szCs w:val="30"/>
        </w:rPr>
        <w:t>按规定</w:t>
      </w:r>
      <w:r>
        <w:rPr>
          <w:rFonts w:ascii="宋体" w:hAnsi="宋体"/>
          <w:bCs/>
          <w:kern w:val="0"/>
          <w:sz w:val="28"/>
          <w:szCs w:val="30"/>
        </w:rPr>
        <w:t>对施工组织设计、专项施工方案等进行审批的，或监理计划（规划）、监理实施细则未按规定审批的</w:t>
      </w:r>
      <w:r>
        <w:rPr>
          <w:rFonts w:hint="eastAsia" w:ascii="宋体" w:hAnsi="宋体"/>
          <w:bCs/>
          <w:kern w:val="0"/>
          <w:sz w:val="28"/>
          <w:szCs w:val="30"/>
        </w:rPr>
        <w:t>”，</w:t>
      </w:r>
      <w:r>
        <w:rPr>
          <w:rFonts w:hint="eastAsia" w:ascii="宋体" w:hAnsi="宋体"/>
          <w:bCs/>
          <w:sz w:val="28"/>
          <w:szCs w:val="18"/>
        </w:rPr>
        <w:t>是指监理未对施工单位提交的施工组织设计进行审批，包括安全技术措施、环保技术措施、施工现场临时用电方案、专项施工方案等，或者监理计划（规划）、监理实施细则未按规定审批的，扣5分/次。</w:t>
      </w:r>
    </w:p>
    <w:p>
      <w:pPr>
        <w:spacing w:line="360" w:lineRule="auto"/>
        <w:rPr>
          <w:rFonts w:hint="eastAsia" w:ascii="宋体" w:hAnsi="宋体"/>
          <w:bCs/>
          <w:sz w:val="28"/>
          <w:szCs w:val="30"/>
        </w:rPr>
      </w:pPr>
      <w:r>
        <w:rPr>
          <w:rFonts w:hint="eastAsia" w:ascii="宋体" w:hAnsi="宋体"/>
          <w:bCs/>
          <w:sz w:val="28"/>
          <w:szCs w:val="30"/>
        </w:rPr>
        <w:t xml:space="preserve">    3.JJX101</w:t>
      </w:r>
      <w:r>
        <w:rPr>
          <w:rFonts w:hint="eastAsia" w:ascii="宋体" w:hAnsi="宋体"/>
          <w:bCs/>
          <w:kern w:val="0"/>
          <w:sz w:val="28"/>
          <w:szCs w:val="30"/>
        </w:rPr>
        <w:t>017</w:t>
      </w:r>
      <w:r>
        <w:rPr>
          <w:rFonts w:hint="eastAsia" w:ascii="宋体" w:hAnsi="宋体"/>
          <w:bCs/>
          <w:sz w:val="28"/>
          <w:szCs w:val="30"/>
        </w:rPr>
        <w:t>，“存在假数据、假资料问题的”，主要扣分情况分以下几类：</w:t>
      </w:r>
    </w:p>
    <w:p>
      <w:pPr>
        <w:spacing w:line="360" w:lineRule="auto"/>
        <w:rPr>
          <w:rFonts w:hint="eastAsia" w:ascii="宋体" w:hAnsi="宋体"/>
          <w:bCs/>
          <w:sz w:val="28"/>
          <w:szCs w:val="30"/>
        </w:rPr>
      </w:pPr>
      <w:r>
        <w:rPr>
          <w:rFonts w:hint="eastAsia" w:ascii="宋体" w:hAnsi="宋体"/>
          <w:bCs/>
          <w:sz w:val="28"/>
          <w:szCs w:val="30"/>
        </w:rPr>
        <w:t xml:space="preserve">   （1）监理企业抽检数据不真实或出现严重偏差的；</w:t>
      </w:r>
    </w:p>
    <w:p>
      <w:pPr>
        <w:spacing w:line="360" w:lineRule="auto"/>
        <w:rPr>
          <w:rFonts w:hint="eastAsia" w:ascii="宋体" w:hAnsi="宋体"/>
          <w:bCs/>
          <w:sz w:val="28"/>
          <w:szCs w:val="30"/>
        </w:rPr>
      </w:pPr>
      <w:r>
        <w:rPr>
          <w:rFonts w:hint="eastAsia" w:ascii="宋体" w:hAnsi="宋体"/>
          <w:bCs/>
          <w:sz w:val="28"/>
          <w:szCs w:val="30"/>
        </w:rPr>
        <w:t xml:space="preserve">   （2）巡视、旁站、监理日志等记录不真实，与实际施工情况或监理事项不符；</w:t>
      </w:r>
    </w:p>
    <w:p>
      <w:pPr>
        <w:spacing w:line="360" w:lineRule="auto"/>
        <w:rPr>
          <w:rFonts w:hint="eastAsia" w:ascii="宋体" w:hAnsi="宋体"/>
          <w:bCs/>
          <w:sz w:val="28"/>
          <w:szCs w:val="30"/>
        </w:rPr>
      </w:pPr>
      <w:r>
        <w:rPr>
          <w:rFonts w:hint="eastAsia" w:ascii="宋体" w:hAnsi="宋体"/>
          <w:bCs/>
          <w:sz w:val="28"/>
          <w:szCs w:val="30"/>
        </w:rPr>
        <w:t xml:space="preserve">   （3）质量安全问题处理复查记录存在编造或不属实；</w:t>
      </w:r>
    </w:p>
    <w:p>
      <w:pPr>
        <w:spacing w:line="360" w:lineRule="auto"/>
        <w:rPr>
          <w:rFonts w:hint="eastAsia" w:ascii="宋体" w:hAnsi="宋体"/>
          <w:bCs/>
          <w:sz w:val="28"/>
          <w:szCs w:val="30"/>
        </w:rPr>
      </w:pPr>
      <w:r>
        <w:rPr>
          <w:rFonts w:hint="eastAsia" w:ascii="宋体" w:hAnsi="宋体"/>
          <w:bCs/>
          <w:sz w:val="28"/>
          <w:szCs w:val="30"/>
        </w:rPr>
        <w:t xml:space="preserve">   （4）标准试验、配合比设计验证审批资料虚假；</w:t>
      </w:r>
    </w:p>
    <w:p>
      <w:pPr>
        <w:spacing w:line="360" w:lineRule="auto"/>
        <w:rPr>
          <w:rFonts w:hint="eastAsia" w:ascii="宋体" w:hAnsi="宋体"/>
          <w:bCs/>
          <w:sz w:val="28"/>
          <w:szCs w:val="30"/>
        </w:rPr>
      </w:pPr>
      <w:r>
        <w:rPr>
          <w:rFonts w:hint="eastAsia" w:ascii="宋体" w:hAnsi="宋体"/>
          <w:bCs/>
          <w:sz w:val="28"/>
          <w:szCs w:val="30"/>
        </w:rPr>
        <w:t xml:space="preserve">   （5）其他监理文件和资料存在编造或不属实的；</w:t>
      </w:r>
    </w:p>
    <w:p>
      <w:pPr>
        <w:spacing w:line="360" w:lineRule="auto"/>
        <w:rPr>
          <w:rFonts w:hint="eastAsia" w:ascii="宋体" w:hAnsi="宋体"/>
          <w:bCs/>
          <w:sz w:val="28"/>
          <w:szCs w:val="30"/>
        </w:rPr>
      </w:pPr>
      <w:r>
        <w:rPr>
          <w:rFonts w:hint="eastAsia" w:ascii="宋体" w:hAnsi="宋体"/>
          <w:bCs/>
          <w:sz w:val="28"/>
          <w:szCs w:val="30"/>
        </w:rPr>
        <w:t xml:space="preserve">   （6）监理资料中存在违规代签现象的。</w:t>
      </w:r>
    </w:p>
    <w:p>
      <w:pPr>
        <w:spacing w:line="360" w:lineRule="auto"/>
        <w:ind w:firstLine="560" w:firstLineChars="200"/>
        <w:rPr>
          <w:rFonts w:hint="eastAsia" w:ascii="宋体" w:hAnsi="宋体"/>
          <w:bCs/>
          <w:sz w:val="28"/>
          <w:szCs w:val="30"/>
        </w:rPr>
      </w:pPr>
      <w:r>
        <w:rPr>
          <w:rFonts w:hint="eastAsia" w:ascii="宋体" w:hAnsi="宋体"/>
          <w:bCs/>
          <w:sz w:val="28"/>
          <w:szCs w:val="30"/>
        </w:rPr>
        <w:t>以上各类情况发现一次扣5分/类，多类同时发现的累加扣分。</w:t>
      </w:r>
    </w:p>
    <w:p>
      <w:pPr>
        <w:numPr>
          <w:ilvl w:val="0"/>
          <w:numId w:val="1"/>
        </w:numPr>
        <w:spacing w:line="360" w:lineRule="auto"/>
        <w:ind w:firstLine="560" w:firstLineChars="200"/>
        <w:rPr>
          <w:rFonts w:hint="eastAsia" w:ascii="宋体" w:hAnsi="宋体"/>
          <w:bCs/>
          <w:sz w:val="28"/>
          <w:szCs w:val="30"/>
        </w:rPr>
      </w:pPr>
      <w:r>
        <w:rPr>
          <w:rFonts w:hint="eastAsia" w:ascii="宋体" w:hAnsi="宋体"/>
          <w:bCs/>
          <w:sz w:val="28"/>
          <w:szCs w:val="30"/>
        </w:rPr>
        <w:t>JJX101018，“</w:t>
      </w:r>
      <w:r>
        <w:rPr>
          <w:rFonts w:ascii="宋体" w:hAnsi="宋体"/>
          <w:bCs/>
          <w:sz w:val="28"/>
          <w:szCs w:val="30"/>
        </w:rPr>
        <w:t>对施工现场发现的质量</w:t>
      </w:r>
      <w:r>
        <w:rPr>
          <w:rFonts w:hint="eastAsia" w:ascii="宋体" w:hAnsi="宋体"/>
          <w:bCs/>
          <w:sz w:val="28"/>
          <w:szCs w:val="30"/>
        </w:rPr>
        <w:t>问题</w:t>
      </w:r>
      <w:r>
        <w:rPr>
          <w:rFonts w:ascii="宋体" w:hAnsi="宋体"/>
          <w:bCs/>
          <w:sz w:val="28"/>
          <w:szCs w:val="30"/>
        </w:rPr>
        <w:t>、安全隐患、环保问题，未及时提出书面指令督促施工单位整改的</w:t>
      </w:r>
      <w:r>
        <w:rPr>
          <w:rFonts w:hint="eastAsia" w:ascii="宋体" w:hAnsi="宋体"/>
          <w:bCs/>
          <w:sz w:val="28"/>
          <w:szCs w:val="30"/>
        </w:rPr>
        <w:t>”：指工程现场发生质量问题、安全隐患或环保问题时，监理应及时向施工单位发出书面监理指令，督促施工单位整改，并对整改情况予以验收和书面确认。未按上述程序实施的，扣3分/项·</w:t>
      </w:r>
      <w:r>
        <w:rPr>
          <w:rFonts w:ascii="宋体" w:hAnsi="宋体"/>
          <w:bCs/>
          <w:sz w:val="28"/>
          <w:szCs w:val="30"/>
        </w:rPr>
        <w:t>次</w:t>
      </w:r>
      <w:r>
        <w:rPr>
          <w:rFonts w:hint="eastAsia" w:ascii="宋体" w:hAnsi="宋体"/>
          <w:bCs/>
          <w:sz w:val="28"/>
          <w:szCs w:val="30"/>
        </w:rPr>
        <w:t>，“项”指的是按照质量问题、安全隐患、环保问题分项。</w:t>
      </w:r>
    </w:p>
    <w:p>
      <w:pPr>
        <w:numPr>
          <w:ilvl w:val="0"/>
          <w:numId w:val="1"/>
        </w:numPr>
        <w:spacing w:line="360" w:lineRule="auto"/>
        <w:ind w:firstLine="560" w:firstLineChars="200"/>
        <w:rPr>
          <w:rFonts w:hint="eastAsia" w:ascii="宋体" w:hAnsi="宋体"/>
          <w:bCs/>
          <w:sz w:val="28"/>
          <w:szCs w:val="30"/>
        </w:rPr>
      </w:pPr>
      <w:r>
        <w:rPr>
          <w:rFonts w:ascii="宋体" w:hAnsi="宋体"/>
          <w:bCs/>
          <w:sz w:val="28"/>
          <w:szCs w:val="30"/>
        </w:rPr>
        <w:t>JJX1010</w:t>
      </w:r>
      <w:r>
        <w:rPr>
          <w:rFonts w:hint="eastAsia" w:ascii="宋体" w:hAnsi="宋体"/>
          <w:bCs/>
          <w:sz w:val="28"/>
          <w:szCs w:val="30"/>
        </w:rPr>
        <w:t>20，</w:t>
      </w:r>
      <w:r>
        <w:rPr>
          <w:rFonts w:ascii="宋体" w:hAnsi="宋体"/>
          <w:bCs/>
          <w:sz w:val="28"/>
          <w:szCs w:val="30"/>
        </w:rPr>
        <w:t>监理日志、巡视、旁站记录中重要内容未记录的</w:t>
      </w:r>
      <w:r>
        <w:rPr>
          <w:rFonts w:hint="eastAsia" w:ascii="宋体" w:hAnsi="宋体"/>
          <w:bCs/>
          <w:sz w:val="28"/>
          <w:szCs w:val="30"/>
        </w:rPr>
        <w:t>，扣</w:t>
      </w:r>
      <w:r>
        <w:rPr>
          <w:rFonts w:ascii="宋体" w:hAnsi="宋体"/>
          <w:bCs/>
          <w:sz w:val="28"/>
          <w:szCs w:val="30"/>
        </w:rPr>
        <w:t>2分/</w:t>
      </w:r>
      <w:r>
        <w:rPr>
          <w:rFonts w:hint="eastAsia" w:ascii="宋体" w:hAnsi="宋体"/>
          <w:bCs/>
          <w:sz w:val="28"/>
          <w:szCs w:val="30"/>
        </w:rPr>
        <w:t>项·</w:t>
      </w:r>
      <w:r>
        <w:rPr>
          <w:rFonts w:ascii="宋体" w:hAnsi="宋体"/>
          <w:bCs/>
          <w:sz w:val="28"/>
          <w:szCs w:val="30"/>
        </w:rPr>
        <w:t>次</w:t>
      </w:r>
      <w:r>
        <w:rPr>
          <w:rFonts w:hint="eastAsia" w:ascii="宋体" w:hAnsi="宋体"/>
          <w:bCs/>
          <w:sz w:val="28"/>
          <w:szCs w:val="30"/>
        </w:rPr>
        <w:t>，“项”指的是按照监理日志、巡视和旁站分项。</w:t>
      </w:r>
    </w:p>
    <w:p>
      <w:pPr>
        <w:spacing w:line="360" w:lineRule="auto"/>
        <w:rPr>
          <w:rFonts w:hint="eastAsia" w:ascii="宋体" w:hAnsi="宋体"/>
          <w:bCs/>
          <w:sz w:val="28"/>
          <w:szCs w:val="30"/>
        </w:rPr>
      </w:pPr>
      <w:r>
        <w:rPr>
          <w:rFonts w:hint="eastAsia" w:ascii="宋体" w:hAnsi="宋体"/>
          <w:bCs/>
          <w:sz w:val="28"/>
          <w:szCs w:val="30"/>
        </w:rPr>
        <w:t xml:space="preserve">    6.JJX1</w:t>
      </w:r>
      <w:r>
        <w:rPr>
          <w:rFonts w:hint="eastAsia" w:ascii="宋体" w:hAnsi="宋体"/>
          <w:bCs/>
          <w:kern w:val="0"/>
          <w:sz w:val="28"/>
          <w:szCs w:val="30"/>
        </w:rPr>
        <w:t>01026</w:t>
      </w:r>
      <w:r>
        <w:rPr>
          <w:rFonts w:hint="eastAsia" w:ascii="宋体" w:hAnsi="宋体"/>
          <w:bCs/>
          <w:sz w:val="28"/>
          <w:szCs w:val="30"/>
        </w:rPr>
        <w:t>，“未按投标承诺的条件配备总监、副总监、驻地监理工程师、总监代表的”：指监理企业派驻现场关键人的岗位能力不满足合同要求，如主要业绩、职称、专业、资格要求等。主要扣分情况分以下几类：</w:t>
      </w:r>
    </w:p>
    <w:p>
      <w:pPr>
        <w:spacing w:line="360" w:lineRule="auto"/>
        <w:ind w:firstLine="554" w:firstLineChars="198"/>
        <w:rPr>
          <w:rFonts w:hint="eastAsia" w:ascii="宋体" w:hAnsi="宋体"/>
          <w:bCs/>
          <w:sz w:val="28"/>
          <w:szCs w:val="30"/>
        </w:rPr>
      </w:pPr>
      <w:r>
        <w:rPr>
          <w:rFonts w:hint="eastAsia" w:ascii="宋体" w:hAnsi="宋体"/>
          <w:bCs/>
          <w:sz w:val="28"/>
          <w:szCs w:val="30"/>
        </w:rPr>
        <w:t>（1）派驻关键人条件有降低的，即使有履行变更手续经业主同意的情形，或关键人到岗时间不足合同约定时间的2/3，扣5分/人次，；</w:t>
      </w:r>
    </w:p>
    <w:p>
      <w:pPr>
        <w:spacing w:line="360" w:lineRule="auto"/>
        <w:ind w:firstLine="554" w:firstLineChars="198"/>
        <w:rPr>
          <w:rFonts w:hint="eastAsia" w:ascii="宋体" w:hAnsi="宋体"/>
          <w:bCs/>
          <w:sz w:val="28"/>
          <w:szCs w:val="30"/>
        </w:rPr>
      </w:pPr>
      <w:r>
        <w:rPr>
          <w:rFonts w:hint="eastAsia" w:ascii="宋体" w:hAnsi="宋体"/>
          <w:bCs/>
          <w:sz w:val="28"/>
          <w:szCs w:val="30"/>
        </w:rPr>
        <w:t>（3）关键人条件无降低，但每一个关键人岗位在施工监理期内累计变更次数达到两次（含）以上的，从第二次变更起，施工监理期每变更一次扣2分/人次（只变更一次不扣分）；</w:t>
      </w:r>
    </w:p>
    <w:p>
      <w:pPr>
        <w:spacing w:line="360" w:lineRule="auto"/>
        <w:ind w:left="99" w:leftChars="47" w:firstLine="280" w:firstLineChars="100"/>
        <w:rPr>
          <w:rFonts w:hint="eastAsia" w:ascii="宋体" w:hAnsi="宋体"/>
          <w:bCs/>
          <w:sz w:val="28"/>
          <w:szCs w:val="30"/>
        </w:rPr>
      </w:pPr>
      <w:r>
        <w:rPr>
          <w:rFonts w:hint="eastAsia" w:ascii="宋体" w:hAnsi="宋体"/>
          <w:bCs/>
          <w:sz w:val="28"/>
          <w:szCs w:val="30"/>
        </w:rPr>
        <w:t xml:space="preserve"> （4）关键人条件有降低，且每一个岗位在施工监理期内累计变更次数超过两次（含）以上，应按照上述第（2）和（3）条累加扣分。</w:t>
      </w:r>
    </w:p>
    <w:p>
      <w:pPr>
        <w:spacing w:line="360" w:lineRule="auto"/>
        <w:ind w:firstLine="420" w:firstLineChars="150"/>
        <w:rPr>
          <w:rFonts w:hint="eastAsia" w:ascii="宋体" w:hAnsi="宋体"/>
          <w:bCs/>
          <w:sz w:val="28"/>
          <w:szCs w:val="30"/>
        </w:rPr>
      </w:pPr>
      <w:r>
        <w:rPr>
          <w:rFonts w:hint="eastAsia" w:ascii="宋体" w:hAnsi="宋体"/>
          <w:bCs/>
          <w:sz w:val="28"/>
          <w:szCs w:val="30"/>
        </w:rPr>
        <w:t xml:space="preserve">  7.</w:t>
      </w:r>
      <w:r>
        <w:rPr>
          <w:rFonts w:hint="eastAsia" w:ascii="宋体" w:hAnsi="宋体"/>
          <w:bCs/>
          <w:sz w:val="28"/>
          <w:szCs w:val="18"/>
        </w:rPr>
        <w:t xml:space="preserve"> </w:t>
      </w:r>
      <w:r>
        <w:rPr>
          <w:rFonts w:hint="eastAsia" w:ascii="宋体" w:hAnsi="宋体"/>
          <w:bCs/>
          <w:sz w:val="28"/>
          <w:szCs w:val="30"/>
        </w:rPr>
        <w:t>JJX101028，“</w:t>
      </w:r>
      <w:r>
        <w:rPr>
          <w:rFonts w:ascii="宋体" w:hAnsi="宋体"/>
          <w:bCs/>
          <w:color w:val="000000"/>
          <w:sz w:val="28"/>
        </w:rPr>
        <w:t>派驻到工程建设项目上</w:t>
      </w:r>
      <w:r>
        <w:rPr>
          <w:rFonts w:hint="eastAsia" w:ascii="宋体" w:hAnsi="宋体"/>
          <w:bCs/>
          <w:color w:val="000000"/>
          <w:sz w:val="28"/>
        </w:rPr>
        <w:t>的</w:t>
      </w:r>
      <w:r>
        <w:rPr>
          <w:rFonts w:ascii="宋体" w:hAnsi="宋体"/>
          <w:bCs/>
          <w:color w:val="000000"/>
          <w:sz w:val="28"/>
        </w:rPr>
        <w:t>监理工程师在中标监理企业从业登记的</w:t>
      </w:r>
      <w:r>
        <w:rPr>
          <w:rFonts w:hint="eastAsia" w:ascii="宋体" w:hAnsi="宋体"/>
          <w:bCs/>
          <w:color w:val="000000"/>
          <w:sz w:val="28"/>
        </w:rPr>
        <w:t>人数不足合同约定监理工程师总人数50%的”：指监理工程师在中标企业从业登记人数少于合同约定监理工程师总人数的50%时，每少1人扣5分/次，不够1人按1人扣分计算；登记在中标企业监理工程师人数大于等于总人数50%时不扣分。</w:t>
      </w:r>
      <w:r>
        <w:rPr>
          <w:rFonts w:hint="eastAsia" w:ascii="宋体" w:hAnsi="宋体"/>
          <w:bCs/>
          <w:sz w:val="28"/>
          <w:szCs w:val="30"/>
        </w:rPr>
        <w:t xml:space="preserve">  </w:t>
      </w:r>
    </w:p>
    <w:p>
      <w:pPr>
        <w:spacing w:line="360" w:lineRule="auto"/>
        <w:ind w:firstLine="420" w:firstLineChars="150"/>
        <w:rPr>
          <w:rFonts w:hint="eastAsia" w:ascii="宋体" w:hAnsi="宋体"/>
          <w:bCs/>
          <w:sz w:val="28"/>
          <w:szCs w:val="18"/>
        </w:rPr>
      </w:pPr>
      <w:r>
        <w:rPr>
          <w:rFonts w:hint="eastAsia" w:ascii="宋体" w:hAnsi="宋体"/>
          <w:bCs/>
          <w:sz w:val="28"/>
          <w:szCs w:val="30"/>
        </w:rPr>
        <w:t xml:space="preserve">  8.JJX101032，“</w:t>
      </w:r>
      <w:r>
        <w:rPr>
          <w:rFonts w:ascii="宋体" w:hAnsi="宋体"/>
          <w:bCs/>
          <w:color w:val="000000"/>
          <w:sz w:val="28"/>
        </w:rPr>
        <w:t>监理工程师同时在两个及以上</w:t>
      </w:r>
      <w:r>
        <w:rPr>
          <w:rFonts w:hint="eastAsia" w:ascii="宋体" w:hAnsi="宋体"/>
          <w:bCs/>
          <w:color w:val="000000"/>
          <w:sz w:val="28"/>
        </w:rPr>
        <w:t>高速公路或大型水运工程</w:t>
      </w:r>
      <w:r>
        <w:rPr>
          <w:rFonts w:ascii="宋体" w:hAnsi="宋体"/>
          <w:bCs/>
          <w:color w:val="000000"/>
          <w:sz w:val="28"/>
        </w:rPr>
        <w:t>项目</w:t>
      </w:r>
      <w:r>
        <w:rPr>
          <w:rFonts w:hint="eastAsia" w:ascii="宋体" w:hAnsi="宋体"/>
          <w:bCs/>
          <w:color w:val="000000"/>
          <w:sz w:val="28"/>
        </w:rPr>
        <w:t>中</w:t>
      </w:r>
      <w:r>
        <w:rPr>
          <w:rFonts w:ascii="宋体" w:hAnsi="宋体"/>
          <w:bCs/>
          <w:color w:val="000000"/>
          <w:sz w:val="28"/>
        </w:rPr>
        <w:t>从业的</w:t>
      </w:r>
      <w:r>
        <w:rPr>
          <w:rFonts w:hint="eastAsia" w:ascii="宋体" w:hAnsi="宋体"/>
          <w:bCs/>
          <w:color w:val="000000"/>
          <w:sz w:val="28"/>
        </w:rPr>
        <w:t>”</w:t>
      </w:r>
      <w:r>
        <w:rPr>
          <w:rFonts w:hint="eastAsia" w:ascii="宋体" w:hAnsi="宋体"/>
          <w:bCs/>
          <w:sz w:val="28"/>
          <w:szCs w:val="30"/>
        </w:rPr>
        <w:t>：指</w:t>
      </w:r>
      <w:r>
        <w:rPr>
          <w:rFonts w:ascii="宋体" w:hAnsi="宋体"/>
          <w:bCs/>
          <w:color w:val="000000"/>
          <w:sz w:val="28"/>
        </w:rPr>
        <w:t>监理工程师同时在两个及以上</w:t>
      </w:r>
      <w:r>
        <w:rPr>
          <w:rFonts w:hint="eastAsia" w:ascii="宋体" w:hAnsi="宋体"/>
          <w:bCs/>
          <w:color w:val="000000"/>
          <w:sz w:val="28"/>
        </w:rPr>
        <w:t>高速公路或大型水运工程</w:t>
      </w:r>
      <w:r>
        <w:rPr>
          <w:rFonts w:ascii="宋体" w:hAnsi="宋体"/>
          <w:bCs/>
          <w:color w:val="000000"/>
          <w:sz w:val="28"/>
        </w:rPr>
        <w:t>项目</w:t>
      </w:r>
      <w:r>
        <w:rPr>
          <w:rFonts w:hint="eastAsia" w:ascii="宋体" w:hAnsi="宋体"/>
          <w:bCs/>
          <w:color w:val="000000"/>
          <w:sz w:val="28"/>
        </w:rPr>
        <w:t>中</w:t>
      </w:r>
      <w:r>
        <w:rPr>
          <w:rFonts w:hint="eastAsia" w:ascii="宋体" w:hAnsi="宋体"/>
          <w:bCs/>
          <w:sz w:val="28"/>
          <w:szCs w:val="18"/>
        </w:rPr>
        <w:t>兼职的，扣2分/人次，但其中有暂停施工的项目除外。</w:t>
      </w:r>
    </w:p>
    <w:p>
      <w:pPr>
        <w:spacing w:line="360" w:lineRule="auto"/>
        <w:ind w:firstLine="420" w:firstLineChars="150"/>
        <w:rPr>
          <w:rFonts w:hint="eastAsia" w:ascii="宋体" w:hAnsi="宋体"/>
          <w:bCs/>
          <w:sz w:val="28"/>
          <w:szCs w:val="18"/>
        </w:rPr>
      </w:pPr>
      <w:r>
        <w:rPr>
          <w:rFonts w:hint="eastAsia" w:ascii="宋体" w:hAnsi="宋体"/>
          <w:bCs/>
          <w:sz w:val="28"/>
          <w:szCs w:val="18"/>
        </w:rPr>
        <w:t xml:space="preserve"> </w:t>
      </w:r>
      <w:r>
        <w:rPr>
          <w:rFonts w:hint="eastAsia" w:ascii="宋体" w:hAnsi="宋体"/>
          <w:bCs/>
          <w:kern w:val="0"/>
          <w:sz w:val="28"/>
          <w:szCs w:val="30"/>
        </w:rPr>
        <w:t xml:space="preserve"> 9.JJX101037，“</w:t>
      </w:r>
      <w:r>
        <w:rPr>
          <w:rFonts w:hint="eastAsia" w:ascii="宋体" w:hAnsi="宋体"/>
          <w:bCs/>
          <w:sz w:val="28"/>
          <w:szCs w:val="30"/>
        </w:rPr>
        <w:t>监理企业根据</w:t>
      </w:r>
      <w:r>
        <w:rPr>
          <w:rFonts w:ascii="宋体" w:hAnsi="宋体"/>
          <w:bCs/>
          <w:sz w:val="28"/>
          <w:szCs w:val="30"/>
        </w:rPr>
        <w:t>交通运输主管部门要求填报向社会公布的信息存在虚假的</w:t>
      </w:r>
      <w:r>
        <w:rPr>
          <w:rFonts w:hint="eastAsia" w:ascii="宋体" w:hAnsi="宋体"/>
          <w:bCs/>
          <w:sz w:val="28"/>
          <w:szCs w:val="30"/>
        </w:rPr>
        <w:t>”:</w:t>
      </w:r>
      <w:r>
        <w:rPr>
          <w:rFonts w:hint="eastAsia" w:ascii="宋体" w:hAnsi="宋体"/>
          <w:bCs/>
          <w:sz w:val="28"/>
          <w:szCs w:val="18"/>
        </w:rPr>
        <w:t>监理企业向社会公布的信息包括企业基本信息、企业业绩、主要从业人员信息、人员业绩等，经查实，存在虚假的，在全国信用评价总分上扣3分/次。</w:t>
      </w:r>
    </w:p>
    <w:p>
      <w:pPr>
        <w:spacing w:line="360" w:lineRule="auto"/>
        <w:ind w:firstLine="560" w:firstLineChars="200"/>
        <w:rPr>
          <w:rFonts w:hint="eastAsia" w:ascii="宋体" w:hAnsi="宋体"/>
          <w:bCs/>
          <w:sz w:val="28"/>
          <w:szCs w:val="30"/>
        </w:rPr>
      </w:pPr>
      <w:r>
        <w:rPr>
          <w:rFonts w:hint="eastAsia" w:ascii="宋体" w:hAnsi="宋体"/>
          <w:bCs/>
          <w:sz w:val="28"/>
          <w:szCs w:val="30"/>
        </w:rPr>
        <w:t>10.JJX</w:t>
      </w:r>
      <w:r>
        <w:rPr>
          <w:rFonts w:hint="eastAsia" w:ascii="宋体" w:hAnsi="宋体"/>
          <w:bCs/>
          <w:kern w:val="0"/>
          <w:sz w:val="28"/>
          <w:szCs w:val="30"/>
        </w:rPr>
        <w:t>101038和JJX101039</w:t>
      </w:r>
      <w:r>
        <w:rPr>
          <w:rFonts w:hint="eastAsia" w:ascii="宋体" w:hAnsi="宋体"/>
          <w:bCs/>
          <w:sz w:val="28"/>
          <w:szCs w:val="30"/>
        </w:rPr>
        <w:t>，被省级或地（市）级交通运输主管部门、质量监督机构、</w:t>
      </w:r>
      <w:r>
        <w:rPr>
          <w:rFonts w:hint="eastAsia" w:ascii="宋体" w:hAnsi="宋体"/>
          <w:bCs/>
          <w:sz w:val="28"/>
          <w:szCs w:val="18"/>
        </w:rPr>
        <w:t>省级或地（市）级其他行政主管部门通报批评或行政处罚的</w:t>
      </w:r>
      <w:r>
        <w:rPr>
          <w:rFonts w:hint="eastAsia" w:ascii="宋体" w:hAnsi="宋体"/>
          <w:bCs/>
          <w:sz w:val="28"/>
          <w:szCs w:val="30"/>
        </w:rPr>
        <w:t>：当通报批评</w:t>
      </w:r>
      <w:r>
        <w:rPr>
          <w:rFonts w:hint="eastAsia" w:ascii="宋体" w:hAnsi="宋体"/>
          <w:bCs/>
          <w:sz w:val="28"/>
          <w:szCs w:val="18"/>
        </w:rPr>
        <w:t>或行政处罚</w:t>
      </w:r>
      <w:r>
        <w:rPr>
          <w:rFonts w:hint="eastAsia" w:ascii="宋体" w:hAnsi="宋体"/>
          <w:bCs/>
          <w:sz w:val="28"/>
          <w:szCs w:val="30"/>
        </w:rPr>
        <w:t>涉及到标准中其他具体失信行为时，原则上不重复扣分，应按“就高不就低”原则进行扣分。</w:t>
      </w:r>
    </w:p>
    <w:p>
      <w:pPr>
        <w:spacing w:line="360" w:lineRule="auto"/>
        <w:ind w:firstLine="420" w:firstLineChars="150"/>
        <w:rPr>
          <w:rFonts w:hint="eastAsia" w:ascii="宋体" w:hAnsi="宋体"/>
          <w:bCs/>
          <w:sz w:val="28"/>
          <w:szCs w:val="18"/>
        </w:rPr>
      </w:pPr>
      <w:r>
        <w:rPr>
          <w:rFonts w:hint="eastAsia" w:ascii="宋体" w:hAnsi="宋体"/>
          <w:bCs/>
          <w:sz w:val="28"/>
          <w:szCs w:val="18"/>
        </w:rPr>
        <w:t xml:space="preserve"> 11.关于监理企业在项目实施中发生失信行为扣分的“次”，作如下解释：有关主管部门在检查中发现的监理企业存在失信行为，依据标准进行相应扣分，并要求监理企业在一定时限内整改，整改期内不重复扣分。整改期后，相关主管部门仍发现同一失信行为时，可进行下一次扣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A75372"/>
    <w:rsid w:val="5DA75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2018-06-14T07:39:00Z</dcterms:created>
  <dc:creator>+妖魔小丑</dc:creator>
  <cp:lastModifiedBy>+妖魔小丑</cp:lastModifiedBy>
  <dcterms:modified xsi:type="dcterms:W3CDTF">2018-06-14T07:40:32Z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