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9C21">
      <w:pPr>
        <w:pStyle w:val="3"/>
        <w:spacing w:line="360" w:lineRule="auto"/>
        <w:ind w:left="0" w:leftChars="0" w:right="0" w:firstLine="0" w:firstLineChars="0"/>
        <w:rPr>
          <w:rFonts w:hint="eastAsia" w:ascii="黑体" w:hAnsi="黑体" w:eastAsia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highlight w:val="none"/>
        </w:rPr>
        <w:t>附件2</w:t>
      </w:r>
    </w:p>
    <w:p w14:paraId="56E40A05">
      <w:pPr>
        <w:pStyle w:val="3"/>
        <w:spacing w:line="360" w:lineRule="auto"/>
        <w:ind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陕西省公路设计企业信用行为评价计算方法</w:t>
      </w:r>
      <w:bookmarkEnd w:id="0"/>
    </w:p>
    <w:p w14:paraId="6163E4FE">
      <w:pPr>
        <w:pStyle w:val="3"/>
        <w:spacing w:line="360" w:lineRule="auto"/>
        <w:ind w:right="0" w:firstLine="636" w:firstLineChars="198"/>
        <w:rPr>
          <w:rFonts w:hint="eastAsia" w:ascii="仿宋_GB2312" w:hAnsi="黑体" w:eastAsia="仿宋_GB2312"/>
          <w:b/>
          <w:sz w:val="32"/>
          <w:szCs w:val="32"/>
          <w:highlight w:val="none"/>
        </w:rPr>
      </w:pPr>
    </w:p>
    <w:p w14:paraId="79133F74">
      <w:pPr>
        <w:pStyle w:val="3"/>
        <w:spacing w:line="360" w:lineRule="auto"/>
        <w:ind w:right="0" w:firstLine="633" w:firstLineChars="198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一、单项评价（以合同段为评价单元）</w:t>
      </w:r>
    </w:p>
    <w:p w14:paraId="169A269E">
      <w:pPr>
        <w:pStyle w:val="3"/>
        <w:spacing w:line="360" w:lineRule="auto"/>
        <w:ind w:right="0" w:firstLine="321" w:firstLineChars="100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 xml:space="preserve"> 企业投标行为信用评价得分：</w:t>
      </w:r>
      <w:r>
        <w:rPr>
          <w:rFonts w:hint="eastAsia" w:ascii="仿宋_GB2312" w:hAnsi="仿宋" w:eastAsia="仿宋_GB2312"/>
          <w:bCs/>
          <w:position w:val="-28"/>
          <w:sz w:val="32"/>
          <w:szCs w:val="32"/>
          <w:highlight w:val="none"/>
        </w:rPr>
        <w:drawing>
          <wp:inline distT="0" distB="0" distL="114300" distR="114300">
            <wp:extent cx="977900" cy="4362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，其中，i为不良投标行为数量，A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为不良投标行为对应的扣分标准。</w:t>
      </w:r>
    </w:p>
    <w:p w14:paraId="5CE4BE50">
      <w:pPr>
        <w:pStyle w:val="3"/>
        <w:spacing w:line="360" w:lineRule="auto"/>
        <w:ind w:right="0" w:firstLine="320" w:firstLineChars="100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 xml:space="preserve">  企业履约行为信用评价得分：</w:t>
      </w:r>
      <w:r>
        <w:rPr>
          <w:rFonts w:hint="eastAsia" w:ascii="仿宋_GB2312" w:hAnsi="仿宋" w:eastAsia="仿宋_GB2312"/>
          <w:bCs/>
          <w:position w:val="-28"/>
          <w:sz w:val="32"/>
          <w:szCs w:val="32"/>
          <w:highlight w:val="none"/>
        </w:rPr>
        <w:drawing>
          <wp:inline distT="0" distB="0" distL="114300" distR="114300">
            <wp:extent cx="968375" cy="436245"/>
            <wp:effectExtent l="0" t="0" r="0" b="190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，其中，i为不良履约行为数量，B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为不良履约行为对应的扣分标准。</w:t>
      </w:r>
    </w:p>
    <w:p w14:paraId="595668AD">
      <w:pPr>
        <w:pStyle w:val="3"/>
        <w:spacing w:line="360" w:lineRule="auto"/>
        <w:ind w:right="0" w:firstLine="633" w:firstLineChars="198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各市（区）交通运输局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项目法人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评价</w:t>
      </w:r>
    </w:p>
    <w:p w14:paraId="341B499F">
      <w:pPr>
        <w:pStyle w:val="3"/>
        <w:spacing w:line="360" w:lineRule="auto"/>
        <w:ind w:right="0" w:firstLine="633" w:firstLineChars="198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企业在某局（单位）投标行为评价得分和履约行为评价得分计算公式为：</w:t>
      </w:r>
    </w:p>
    <w:p w14:paraId="23EDCE41">
      <w:pPr>
        <w:pStyle w:val="3"/>
        <w:spacing w:line="360" w:lineRule="auto"/>
        <w:ind w:right="0" w:firstLine="652" w:firstLineChars="204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投标行为评价得分：</w:t>
      </w:r>
      <w:r>
        <w:rPr>
          <w:rFonts w:hint="eastAsia" w:ascii="仿宋_GB2312" w:hAnsi="仿宋" w:eastAsia="仿宋_GB2312"/>
          <w:bCs/>
          <w:position w:val="-28"/>
          <w:sz w:val="32"/>
          <w:szCs w:val="32"/>
          <w:highlight w:val="none"/>
        </w:rPr>
        <w:drawing>
          <wp:inline distT="0" distB="0" distL="114300" distR="114300">
            <wp:extent cx="1254760" cy="528320"/>
            <wp:effectExtent l="0" t="0" r="0" b="444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24C3">
      <w:pPr>
        <w:pStyle w:val="3"/>
        <w:spacing w:line="360" w:lineRule="auto"/>
        <w:ind w:right="0" w:firstLine="0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 xml:space="preserve">    （i为企业在某局（单位）被进行投标行为评价的合同段数量，i=1、2、…n，</w:t>
      </w:r>
      <w:r>
        <w:rPr>
          <w:rFonts w:hint="eastAsia" w:ascii="仿宋_GB2312" w:hAnsi="仿宋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38430" cy="170180"/>
            <wp:effectExtent l="0" t="0" r="13970" b="63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为企业在某合同段投标行为信用评价得分）</w:t>
      </w:r>
    </w:p>
    <w:p w14:paraId="2901EB1B">
      <w:pPr>
        <w:pStyle w:val="3"/>
        <w:spacing w:line="360" w:lineRule="auto"/>
        <w:ind w:right="0" w:firstLine="809" w:firstLineChars="253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履约行为评价得分：</w:t>
      </w:r>
      <w:r>
        <w:rPr>
          <w:rFonts w:hint="eastAsia" w:ascii="仿宋_GB2312" w:hAnsi="仿宋" w:eastAsia="仿宋_GB2312"/>
          <w:bCs/>
          <w:position w:val="-28"/>
          <w:sz w:val="32"/>
          <w:szCs w:val="32"/>
          <w:highlight w:val="none"/>
        </w:rPr>
        <w:drawing>
          <wp:inline distT="0" distB="0" distL="114300" distR="114300">
            <wp:extent cx="2167255" cy="527050"/>
            <wp:effectExtent l="0" t="0" r="0" b="571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4ED6">
      <w:pPr>
        <w:pStyle w:val="3"/>
        <w:spacing w:line="360" w:lineRule="auto"/>
        <w:ind w:right="0" w:firstLine="640" w:firstLineChars="200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（i为企业在某局（单位）被进行履约行为评价的合同段数量，i=1、2、…n，</w:t>
      </w:r>
      <w:r>
        <w:rPr>
          <w:rFonts w:hint="eastAsia" w:ascii="仿宋_GB2312" w:hAnsi="仿宋" w:eastAsia="仿宋_GB2312"/>
          <w:position w:val="-4"/>
          <w:sz w:val="32"/>
          <w:szCs w:val="32"/>
          <w:highlight w:val="none"/>
        </w:rPr>
        <w:t>L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为企业在某合同段履约行为信用评价得分，C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为企业所履约合同段的标价）</w:t>
      </w:r>
    </w:p>
    <w:p w14:paraId="14C02F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3" w:firstLineChars="198"/>
        <w:jc w:val="both"/>
        <w:textAlignment w:val="baseline"/>
        <w:outlineLvl w:val="9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设计企业在某局（单位）综合评分：</w:t>
      </w:r>
    </w:p>
    <w:p w14:paraId="448378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80" w:firstLineChars="150"/>
        <w:jc w:val="both"/>
        <w:textAlignment w:val="baseline"/>
        <w:outlineLvl w:val="9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</w:t>
      </w:r>
      <w:r>
        <w:rPr>
          <w:rFonts w:hint="eastAsia" w:ascii="仿宋_GB2312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80975" cy="166370"/>
            <wp:effectExtent l="0" t="0" r="0" b="317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highlight w:val="none"/>
        </w:rPr>
        <w:t>=a</w:t>
      </w:r>
      <w:r>
        <w:rPr>
          <w:rFonts w:hint="eastAsia" w:ascii="仿宋_GB2312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39700" cy="165100"/>
            <wp:effectExtent l="0" t="0" r="12700" b="444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highlight w:val="none"/>
        </w:rPr>
        <w:t>+b</w:t>
      </w:r>
      <w:r>
        <w:rPr>
          <w:rFonts w:hint="eastAsia" w:ascii="仿宋_GB2312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39700" cy="165100"/>
            <wp:effectExtent l="0" t="0" r="12700" b="444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highlight w:val="none"/>
        </w:rPr>
        <w:t>-</w:t>
      </w:r>
      <w:r>
        <w:rPr>
          <w:rFonts w:hint="eastAsia" w:ascii="仿宋_GB2312" w:eastAsia="仿宋_GB2312"/>
          <w:position w:val="-28"/>
          <w:sz w:val="32"/>
          <w:szCs w:val="32"/>
          <w:highlight w:val="none"/>
        </w:rPr>
        <w:drawing>
          <wp:inline distT="0" distB="0" distL="114300" distR="114300">
            <wp:extent cx="292100" cy="431800"/>
            <wp:effectExtent l="0" t="0" r="0" b="5715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highlight w:val="none"/>
        </w:rPr>
        <w:t>Q</w:t>
      </w:r>
      <w:r>
        <w:rPr>
          <w:rFonts w:hint="eastAsia" w:ascii="仿宋_GB2312" w:eastAsia="仿宋_GB2312"/>
          <w:position w:val="-6"/>
          <w:sz w:val="32"/>
          <w:szCs w:val="32"/>
          <w:highlight w:val="none"/>
        </w:rPr>
        <w:drawing>
          <wp:inline distT="0" distB="0" distL="114300" distR="114300">
            <wp:extent cx="88265" cy="165100"/>
            <wp:effectExtent l="0" t="0" r="6985" b="508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1C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800" w:firstLineChars="250"/>
        <w:jc w:val="both"/>
        <w:textAlignment w:val="baseline"/>
        <w:outlineLvl w:val="9"/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(设计企业投标行为评价得分为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drawing>
          <wp:inline distT="0" distB="0" distL="114300" distR="114300">
            <wp:extent cx="139700" cy="165100"/>
            <wp:effectExtent l="0" t="0" r="12700" b="4445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，履约行为评价得分为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drawing>
          <wp:inline distT="0" distB="0" distL="114300" distR="114300">
            <wp:extent cx="139700" cy="165100"/>
            <wp:effectExtent l="0" t="0" r="12700" b="444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,Q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 xml:space="preserve">为其他行为对应扣分标准。a、b为评分系数，当评价周期内企业在某局（单位）只存在投标行为评价时，a=1，b=0；当评价周期内企业在某局（单位）只存在履约行为评价时，a=0,b=1；当企业在某局（单位）同时存在投标行为评价和履约行为评价时，a=0.2,b=0.8) </w:t>
      </w:r>
    </w:p>
    <w:p w14:paraId="5952C800">
      <w:pPr>
        <w:pStyle w:val="3"/>
        <w:spacing w:line="360" w:lineRule="auto"/>
        <w:ind w:right="0" w:firstLine="633" w:firstLineChars="198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 xml:space="preserve"> 三、全省综合评价</w:t>
      </w:r>
    </w:p>
    <w:p w14:paraId="0D4B5A99">
      <w:pPr>
        <w:pStyle w:val="3"/>
        <w:spacing w:line="360" w:lineRule="auto"/>
        <w:ind w:right="0" w:firstLine="745" w:firstLineChars="232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bCs/>
          <w:position w:val="-30"/>
          <w:sz w:val="32"/>
          <w:szCs w:val="32"/>
          <w:highlight w:val="none"/>
          <w:vertAlign w:val="subscript"/>
        </w:rPr>
        <w:drawing>
          <wp:inline distT="0" distB="0" distL="114300" distR="114300">
            <wp:extent cx="4972050" cy="648970"/>
            <wp:effectExtent l="0" t="0" r="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847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38430" cy="170180"/>
            <wp:effectExtent l="0" t="0" r="13970" b="63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为设计企业在某局（单位）投标行为评分。</w:t>
      </w:r>
      <w:r>
        <w:rPr>
          <w:rFonts w:hint="eastAsia" w:ascii="仿宋_GB2312" w:hAnsi="仿宋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38430" cy="170180"/>
            <wp:effectExtent l="0" t="0" r="13970" b="635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highlight w:val="none"/>
          <w:vertAlign w:val="subscript"/>
        </w:rPr>
        <w:t>j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为设计企业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在某局（单位）履约行为评分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。Q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k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为企业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在某局（单位）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其他行为评价的扣分分值。C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j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为企业在该局（单位）参与履约行为评价合同段的标价总额。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i、j、k分别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为对企业进行投标信用评价、履约信用评价和其他行为评价的局（单位）数量，G为对企业进行信用评价的全部局（单位）数量。l为省级层面认定的不良行为数量，R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  <w:vertAlign w:val="subscript"/>
        </w:rPr>
        <w:t>l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为省级层面认定的不良行为对应的扣分标准。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a、b为评分系数，当评价周期内企业只存在投标行为评价时，a=1,b=0;当企业只存在履约行为评价时，a=0,b=1；当企业同时存在投标行为评价和履约行为评价时，a=0.2,b=0.8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highlight w:val="none"/>
        </w:rPr>
        <w:t>。</w:t>
      </w:r>
    </w:p>
    <w:p w14:paraId="45808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18"/>
          <w:highlight w:val="none"/>
          <w:lang w:val="en-US" w:eastAsia="zh-CN"/>
        </w:rPr>
        <w:t>各市（区）交通运输局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lang w:eastAsia="zh-CN"/>
        </w:rPr>
        <w:t>项目法人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应按时上报</w:t>
      </w:r>
      <w:r>
        <w:rPr>
          <w:rFonts w:hint="eastAsia" w:ascii="仿宋_GB2312" w:hAnsi="仿宋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38430" cy="170180"/>
            <wp:effectExtent l="0" t="0" r="13970" b="63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highlight w:val="none"/>
          <w:vertAlign w:val="subscript"/>
        </w:rPr>
        <w:t>i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position w:val="-4"/>
          <w:sz w:val="32"/>
          <w:szCs w:val="32"/>
          <w:highlight w:val="none"/>
        </w:rPr>
        <w:drawing>
          <wp:inline distT="0" distB="0" distL="114300" distR="114300">
            <wp:extent cx="138430" cy="170180"/>
            <wp:effectExtent l="0" t="0" r="13970" b="635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highlight w:val="none"/>
          <w:vertAlign w:val="subscript"/>
        </w:rPr>
        <w:t>j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、C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j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、Q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vertAlign w:val="subscript"/>
        </w:rPr>
        <w:t>k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等数值。</w:t>
      </w:r>
    </w:p>
    <w:p w14:paraId="5D748B36"/>
    <w:sectPr>
      <w:headerReference r:id="rId3" w:type="default"/>
      <w:footerReference r:id="rId4" w:type="default"/>
      <w:pgSz w:w="11905" w:h="16838"/>
      <w:pgMar w:top="1701" w:right="1474" w:bottom="1417" w:left="1587" w:header="850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967CF0-6470-4EE4-9B46-BCB41CA79E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03A5ED5-747D-4428-B0EC-15F7617241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C351FFA-E564-463C-994D-54D9169827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09410D-68D9-40DB-A752-EAA70898C8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4D1BE49-C094-4BA5-96C1-02D9051CEF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E6BB9">
    <w:pPr>
      <w:pStyle w:val="4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0E88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90E88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CCDDBD">
    <w:pPr>
      <w:pStyle w:val="4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EFA9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80058"/>
    <w:rsid w:val="0AF1686C"/>
    <w:rsid w:val="3EA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unhideWhenUsed/>
    <w:uiPriority w:val="99"/>
    <w:pPr>
      <w:widowControl w:val="0"/>
      <w:ind w:firstLine="822" w:firstLineChars="257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2024-12-20T03:16:00Z</dcterms:created>
  <dc:creator>mr.Deja Vu</dc:creator>
  <cp:lastModifiedBy>mr.Deja Vu</cp:lastModifiedBy>
  <dcterms:modified xsi:type="dcterms:W3CDTF">2024-12-20T03:16:45Z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7052DA2750DD4211BC0EEAEE49BCDC59_11</vt:lpwstr>
  </property>
</Properties>
</file>