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b w:val="0"/>
          <w:bCs w:val="0"/>
          <w:color w:val="000000"/>
          <w:positio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position w:val="0"/>
          <w:sz w:val="32"/>
          <w:szCs w:val="32"/>
          <w:highlight w:val="none"/>
          <w:u w:val="none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position w:val="0"/>
          <w:sz w:val="36"/>
          <w:szCs w:val="36"/>
          <w:highlight w:val="none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position w:val="0"/>
          <w:sz w:val="36"/>
          <w:szCs w:val="36"/>
          <w:highlight w:val="none"/>
          <w:u w:val="none"/>
          <w:lang w:val="en-US" w:eastAsia="zh-CN"/>
        </w:rPr>
        <w:t>全省交通运输安全生产重大事故隐患排查整治和重大风险防范化解2023行动统计表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position w:val="0"/>
          <w:sz w:val="44"/>
          <w:szCs w:val="4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position w:val="0"/>
          <w:sz w:val="24"/>
          <w:szCs w:val="24"/>
          <w:highlight w:val="none"/>
          <w:u w:val="none"/>
          <w:lang w:val="en-US" w:eastAsia="zh-CN"/>
        </w:rPr>
        <w:t>填报单位：                                                                                      填报日期：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411"/>
        <w:gridCol w:w="397"/>
        <w:gridCol w:w="397"/>
        <w:gridCol w:w="397"/>
        <w:gridCol w:w="397"/>
        <w:gridCol w:w="396"/>
        <w:gridCol w:w="398"/>
        <w:gridCol w:w="396"/>
        <w:gridCol w:w="398"/>
        <w:gridCol w:w="398"/>
        <w:gridCol w:w="397"/>
        <w:gridCol w:w="397"/>
        <w:gridCol w:w="396"/>
        <w:gridCol w:w="397"/>
        <w:gridCol w:w="397"/>
        <w:gridCol w:w="397"/>
        <w:gridCol w:w="397"/>
        <w:gridCol w:w="242"/>
        <w:gridCol w:w="252"/>
        <w:gridCol w:w="239"/>
        <w:gridCol w:w="242"/>
        <w:gridCol w:w="229"/>
        <w:gridCol w:w="242"/>
        <w:gridCol w:w="253"/>
        <w:gridCol w:w="272"/>
        <w:gridCol w:w="396"/>
        <w:gridCol w:w="398"/>
        <w:gridCol w:w="396"/>
        <w:gridCol w:w="397"/>
        <w:gridCol w:w="397"/>
        <w:gridCol w:w="398"/>
        <w:gridCol w:w="396"/>
        <w:gridCol w:w="398"/>
        <w:gridCol w:w="397"/>
        <w:gridCol w:w="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/>
              </w:rPr>
              <w:t>单位</w:t>
            </w:r>
          </w:p>
        </w:tc>
        <w:tc>
          <w:tcPr>
            <w:tcW w:w="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/>
              </w:rPr>
              <w:t>层级</w:t>
            </w:r>
          </w:p>
        </w:tc>
        <w:tc>
          <w:tcPr>
            <w:tcW w:w="3176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/>
              </w:rPr>
              <w:t>总体情况</w:t>
            </w:r>
          </w:p>
        </w:tc>
        <w:tc>
          <w:tcPr>
            <w:tcW w:w="31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/>
              </w:rPr>
              <w:t>对企业自查自改进行抽查检查情况</w:t>
            </w:r>
          </w:p>
        </w:tc>
        <w:tc>
          <w:tcPr>
            <w:tcW w:w="5939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/>
              </w:rPr>
              <w:t>部门精准严格执法情况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9" w:hRule="atLeast"/>
          <w:jc w:val="center"/>
        </w:trPr>
        <w:tc>
          <w:tcPr>
            <w:tcW w:w="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/>
              </w:rPr>
              <w:t>排查发现的一般隐患（个）</w:t>
            </w:r>
          </w:p>
        </w:tc>
        <w:tc>
          <w:tcPr>
            <w:tcW w:w="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/>
              </w:rPr>
              <w:t>一般隐患中已整改的（个）</w:t>
            </w:r>
          </w:p>
        </w:tc>
        <w:tc>
          <w:tcPr>
            <w:tcW w:w="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/>
              </w:rPr>
              <w:t>企业自查发现的重大事故隐患（个）</w:t>
            </w:r>
          </w:p>
        </w:tc>
        <w:tc>
          <w:tcPr>
            <w:tcW w:w="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/>
              </w:rPr>
              <w:t>企业自查发现的重大事故隐患中已完成整改的（个）</w:t>
            </w:r>
          </w:p>
        </w:tc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/>
              </w:rPr>
              <w:t>部门检查发现的重大事故隐患（个）</w:t>
            </w:r>
          </w:p>
        </w:tc>
        <w:tc>
          <w:tcPr>
            <w:tcW w:w="3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/>
              </w:rPr>
              <w:t>部门检查发现重大事故隐患中已完成整改的（个）</w:t>
            </w:r>
          </w:p>
        </w:tc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/>
              </w:rPr>
              <w:t>政府挂牌督办的重大事故隐患（个）</w:t>
            </w:r>
          </w:p>
        </w:tc>
        <w:tc>
          <w:tcPr>
            <w:tcW w:w="3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/>
              </w:rPr>
              <w:t>挂牌督办重大事故隐患中已完成整改的（个）</w:t>
            </w:r>
          </w:p>
        </w:tc>
        <w:tc>
          <w:tcPr>
            <w:tcW w:w="39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/>
              </w:rPr>
              <w:t>部门抽查检查的企业总数（家）</w:t>
            </w:r>
          </w:p>
        </w:tc>
        <w:tc>
          <w:tcPr>
            <w:tcW w:w="39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/>
              </w:rPr>
              <w:t>企业主要负责人未按要求亲自研究排查整治工作（家）</w:t>
            </w:r>
          </w:p>
        </w:tc>
        <w:tc>
          <w:tcPr>
            <w:tcW w:w="39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/>
              </w:rPr>
              <w:t>企业主要负责人未带队检查（家）</w:t>
            </w:r>
          </w:p>
        </w:tc>
        <w:tc>
          <w:tcPr>
            <w:tcW w:w="39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/>
              </w:rPr>
              <w:t>企业未制定分管负责人职责清单（家）</w:t>
            </w:r>
          </w:p>
        </w:tc>
        <w:tc>
          <w:tcPr>
            <w:tcW w:w="39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/>
              </w:rPr>
              <w:t>企业未依法建立安全管理机构和配足安全管理人员（家）</w:t>
            </w:r>
          </w:p>
        </w:tc>
        <w:tc>
          <w:tcPr>
            <w:tcW w:w="39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/>
              </w:rPr>
              <w:t>电焊等特种作业岗位人员无证上岗作业（家）</w:t>
            </w: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/>
              </w:rPr>
              <w:t>外包外租安全管理混乱（家）</w:t>
            </w:r>
          </w:p>
        </w:tc>
        <w:tc>
          <w:tcPr>
            <w:tcW w:w="39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/>
              </w:rPr>
              <w:t>未按规定开展应急演练、员工不熟悉逃生出口（家）</w:t>
            </w:r>
          </w:p>
        </w:tc>
        <w:tc>
          <w:tcPr>
            <w:tcW w:w="49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/>
              </w:rPr>
              <w:t>帮扶指导重点市（个次）</w:t>
            </w:r>
          </w:p>
        </w:tc>
        <w:tc>
          <w:tcPr>
            <w:tcW w:w="48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/>
              </w:rPr>
              <w:t>帮扶指导重点县（个次）</w:t>
            </w:r>
          </w:p>
        </w:tc>
        <w:tc>
          <w:tcPr>
            <w:tcW w:w="47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/>
              </w:rPr>
              <w:t>帮扶指导重点企业（家次）</w:t>
            </w:r>
          </w:p>
        </w:tc>
        <w:tc>
          <w:tcPr>
            <w:tcW w:w="52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/>
              </w:rPr>
              <w:t>行政处罚（次，万元）</w:t>
            </w:r>
          </w:p>
        </w:tc>
        <w:tc>
          <w:tcPr>
            <w:tcW w:w="39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/>
              </w:rPr>
              <w:t>企业和企业主要负责人“一案双罚”（次）</w:t>
            </w:r>
          </w:p>
        </w:tc>
        <w:tc>
          <w:tcPr>
            <w:tcW w:w="39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/>
              </w:rPr>
              <w:t>移送司法机关（人）</w:t>
            </w:r>
          </w:p>
        </w:tc>
        <w:tc>
          <w:tcPr>
            <w:tcW w:w="39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/>
              </w:rPr>
              <w:t>责令停产整顿（家）</w:t>
            </w:r>
          </w:p>
        </w:tc>
        <w:tc>
          <w:tcPr>
            <w:tcW w:w="39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/>
              </w:rPr>
              <w:t>曝光企业（家）</w:t>
            </w:r>
          </w:p>
        </w:tc>
        <w:tc>
          <w:tcPr>
            <w:tcW w:w="39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/>
              </w:rPr>
              <w:t>约谈企业（家）</w:t>
            </w:r>
          </w:p>
        </w:tc>
        <w:tc>
          <w:tcPr>
            <w:tcW w:w="39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/>
              </w:rPr>
              <w:t>联合惩戒企业（家）</w:t>
            </w:r>
          </w:p>
        </w:tc>
        <w:tc>
          <w:tcPr>
            <w:tcW w:w="39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/>
              </w:rPr>
              <w:t>公布典型执法案例（个）</w:t>
            </w:r>
          </w:p>
        </w:tc>
        <w:tc>
          <w:tcPr>
            <w:tcW w:w="39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/>
              </w:rPr>
              <w:t>其中，危险作业罪案例（个）</w:t>
            </w:r>
          </w:p>
        </w:tc>
        <w:tc>
          <w:tcPr>
            <w:tcW w:w="39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/>
              </w:rPr>
              <w:t>责任倒查追责问责（人）</w:t>
            </w:r>
          </w:p>
        </w:tc>
        <w:tc>
          <w:tcPr>
            <w:tcW w:w="3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/>
              </w:rPr>
              <w:t>约谈通报有关地区及部门（次）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/>
              </w:rPr>
              <w:t>个</w:t>
            </w:r>
          </w:p>
        </w:tc>
        <w:tc>
          <w:tcPr>
            <w:tcW w:w="2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/>
              </w:rPr>
              <w:t>次</w:t>
            </w:r>
          </w:p>
        </w:tc>
        <w:tc>
          <w:tcPr>
            <w:tcW w:w="2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/>
              </w:rPr>
              <w:t>个</w:t>
            </w:r>
          </w:p>
        </w:tc>
        <w:tc>
          <w:tcPr>
            <w:tcW w:w="2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/>
              </w:rPr>
              <w:t>次</w:t>
            </w:r>
          </w:p>
        </w:tc>
        <w:tc>
          <w:tcPr>
            <w:tcW w:w="2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/>
              </w:rPr>
              <w:t>家</w:t>
            </w:r>
          </w:p>
        </w:tc>
        <w:tc>
          <w:tcPr>
            <w:tcW w:w="2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/>
              </w:rPr>
              <w:t>次</w:t>
            </w:r>
          </w:p>
        </w:tc>
        <w:tc>
          <w:tcPr>
            <w:tcW w:w="2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/>
              </w:rPr>
              <w:t>次</w:t>
            </w:r>
          </w:p>
        </w:tc>
        <w:tc>
          <w:tcPr>
            <w:tcW w:w="2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/>
              </w:rPr>
              <w:t>万元</w:t>
            </w:r>
          </w:p>
        </w:tc>
        <w:tc>
          <w:tcPr>
            <w:tcW w:w="3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/>
              </w:rPr>
              <w:t>省级</w:t>
            </w: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/>
              </w:rPr>
              <w:t>市级</w:t>
            </w: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2"/>
                <w:szCs w:val="12"/>
                <w:u w:val="none"/>
                <w:lang w:val="en-US" w:eastAsia="zh-CN"/>
              </w:rPr>
              <w:t>县级</w:t>
            </w: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黑体" w:hAnsi="宋体" w:eastAsia="黑体" w:cs="黑体"/>
                <w:i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6" w:hRule="atLeast"/>
          <w:jc w:val="center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说明</w:t>
            </w:r>
          </w:p>
        </w:tc>
        <w:tc>
          <w:tcPr>
            <w:tcW w:w="12702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1.表自5月份开始上报，每月2日、16日前上报截至上月末、本月15日的累计情况。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.表中内容应围绕方案具体要求如实填报，特别是对企业自查情况进行抽查检查时，要深挖细查，查出真问题。如：电焊等人员无证上岗作业，既要通过现场检查发现问题，也要通过对企业动火等特种作业存单进行检查核实来发现问题；外包外租管理混乱，是指符合以下情形之一的：承包承租方不具备安全生产条件、未取得相应资质，双方未签订安全生产协议，安全生产管理职责不清，未纳入本企业统一管理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3.表中明确提出省、市、县三级的有关事项需要分开进行统计上报。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4.表中事项，填报单位未涉及的，不填。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color w:val="000000"/>
          <w:position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position w:val="0"/>
          <w:sz w:val="24"/>
          <w:szCs w:val="24"/>
          <w:highlight w:val="none"/>
          <w:u w:val="none"/>
          <w:lang w:val="en-US" w:eastAsia="zh-CN"/>
        </w:rPr>
        <w:t xml:space="preserve">      审核人：                          填报人：                          联系电话：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lZDA2YTNlMGM4M2VjN2Q4NzQ1Yjc4ZmFlOTA5MzEifQ=="/>
  </w:docVars>
  <w:rsids>
    <w:rsidRoot w:val="0F2A116E"/>
    <w:rsid w:val="0F2A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仿宋_GB2312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2023-07-06T13:59:00Z</dcterms:created>
  <dc:creator>mr.Deja Vu</dc:creator>
  <cp:lastModifiedBy>mr.Deja Vu</cp:lastModifiedBy>
  <dcterms:modified xsi:type="dcterms:W3CDTF">2023-07-06T13:59:33Z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28B98EDBF3CA4F909A706B24173525FF_11</vt:lpwstr>
  </property>
</Properties>
</file>